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458.96484375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GONZALEZ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JHON ALEXANDER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DEL DOCUMENTO DE LA PRIMER ENTREGA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GYM SENA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Jorge Andres Gonzalez Andrade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HU1.2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Asignar Permisos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permitirá asignar permisos a los usuarios</w:t>
      </w: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Administrador ingresa al sistema y permitirá el acceso a cada usuario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Los usuarios tendrán sus propias acciones asociadas a su respectivo rol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mostrará una vista diferente dependiendo del rol</w:t>
            </w:r>
          </w:p>
          <w:p w:rsidR="00000000" w:rsidDel="00000000" w:rsidP="00000000" w:rsidRDefault="00000000" w:rsidRPr="00000000" w14:paraId="000000A8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br w:type="textWrapping"/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que arranca el sistema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login.py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se crea la clase encargada de la gestión del login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permisos.py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permisos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modelo.py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modelo la cual estará encargada  de gestionar los procesos con la BD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Ventana permisos angular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agrega la ventana permisos del sistema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Se debe tener en cuenta que ya deben existir usuarios registrados en la Base de datos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E9">
          <w:pPr>
            <w:widowControl w:val="0"/>
            <w:jc w:val="both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847850" cy="1343025"/>
                <wp:effectExtent b="0" l="0" r="0" t="0"/>
                <wp:docPr descr="https://lh5.googleusercontent.com/qd1rLzg9gnzn7bFOS1BCqJzX0WOD_wIJNe9JvzIwqMX2iZeMk5s0qRXlhxHtTtbhO0EH_kt57OFg-FV3w-XWgVHmrkuO9eis6HDuKTV_IYv9dMLT8yq6XAorbCUZMRt3V_ZrqbA" id="3" name="image1.png"/>
                <a:graphic>
                  <a:graphicData uri="http://schemas.openxmlformats.org/drawingml/2006/picture">
                    <pic:pic>
                      <pic:nvPicPr>
                        <pic:cNvPr descr="https://lh5.googleusercontent.com/qd1rLzg9gnzn7bFOS1BCqJzX0WOD_wIJNe9JvzIwqMX2iZeMk5s0qRXlhxHtTtbhO0EH_kt57OFg-FV3w-XWgVHmrkuO9eis6HDuKTV_IYv9dMLT8yq6XAorbCUZMRt3V_Zrqb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E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876.0468750000001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F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02/03/2021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L+IR34CBXKhowtrEM8FrDaBig==">AMUW2mVs4Kgc6X7fCn2KsVQ/Qw4INNqvP93ClH0t+vJUp2EQvreBweHkZbaE7EIp7REHp/M68//th+5tcjmn3tCxzw6P1+7zOH6xwg6E8pYVd0u8JyAq2JZz78SLnCx+bn17PIfm8o1af8m4K3kgz4puUg9zOPCgN8Bs4XRP8xMpokkamk8YXQG0rr6VQAAb8aB5r94sMKGg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