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.96484375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JHON ALEXANDER BUENO ESPINOSA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HU2.0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Registrar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permitirá asignar permisos a los usuarios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administrador verá un campo de texto y un botón que le permitirán consultar los resultado del usuario por su documento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administrador verá lo resultados se verán en una tabla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clase test.py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 se encarga de gestionar  el test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Ventana  test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agregara la ventana para realizar el test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usuarios registrados en la Base de datos y tener sus datos corporales  guardados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D9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4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.0468750000001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1zcHeaUEF3q1X7LaOznDTOpsA==">AMUW2mXWT1VbMSGl9FUW5lpEWkmOKTlqooZNsnjeR7/q9YsXtp0+OOFIeWP7IGUyIOMdIz9sB0GmVi4G/sMOfFJB4/V5VAPQaVP0TM+2GQydqfmiALdkmoRtEvG06A5EW73DTc1Q0gwEeXb2A24ASMGmy5/sHFaMPPOa9SDXjKv4SZgbJFIhpas=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