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80"/>
        <w:jc w:val="center"/>
      </w:pPr>
      <w:r>
        <w:rPr>
          <w:rFonts w:ascii="Arial" w:cs="Arial" w:eastAsia="Arial" w:hAnsi="Arial"/>
          <w:b/>
          <w:bCs/>
          <w:color w:val="7C3AED"/>
          <w:sz w:val="120"/>
          <w:szCs w:val="120"/>
        </w:rPr>
        <w:t xml:space="preserve">OMEGA</w:t>
      </w:r>
    </w:p>
    <w:p>
      <w:pPr>
        <w:spacing w:before="0" w:after="80"/>
        <w:jc w:val="center"/>
      </w:pPr>
      <w:r>
        <w:rPr>
          <w:rFonts w:ascii="Arial" w:cs="Arial" w:eastAsia="Arial" w:hAnsi="Arial"/>
          <w:b/>
          <w:bCs/>
          <w:color w:val="64748B"/>
          <w:sz w:val="34"/>
          <w:szCs w:val="34"/>
        </w:rPr>
        <w:t xml:space="preserve">RAISEN OMEGA</w:t>
      </w:r>
    </w:p>
    <w:p>
      <w:pPr>
        <w:pBdr>
          <w:bottom w:val="single" w:color="7C3AED" w:sz="2" w:space="1"/>
        </w:pBdr>
        <w:spacing w:before="160" w:after="160"/>
      </w:pPr>
      <w:r>
        <w:t xml:space="preserve"/>
      </w:r>
    </w:p>
    <w:p>
      <w:pPr>
        <w:spacing w:before="120" w:after="80"/>
        <w:jc w:val="center"/>
      </w:pPr>
      <w:r>
        <w:rPr>
          <w:rFonts w:ascii="Arial" w:cs="Arial" w:eastAsia="Arial" w:hAnsi="Arial"/>
          <w:b/>
          <w:bCs/>
          <w:color w:val="0F172A"/>
          <w:sz w:val="48"/>
          <w:szCs w:val="48"/>
        </w:rPr>
        <w:t xml:space="preserve">PROPUESTA COMERCIAL &amp; DE INVERSIÓN</w:t>
      </w:r>
    </w:p>
    <w:p>
      <w:pPr>
        <w:spacing w:before="0" w:after="120"/>
        <w:jc w:val="center"/>
      </w:pPr>
      <w:r>
        <w:rPr>
          <w:rFonts w:ascii="Arial" w:cs="Arial" w:eastAsia="Arial" w:hAnsi="Arial"/>
          <w:i/>
          <w:iCs/>
          <w:color w:val="64748B"/>
          <w:sz w:val="24"/>
          <w:szCs w:val="24"/>
        </w:rPr>
        <w:t xml:space="preserve">Sistema AI Enterprise Multi-Agente | 100 Empleados AI | Crecimiento Orgánico Autónomo</w:t>
      </w:r>
    </w:p>
    <w:p>
      <w:pPr>
        <w:spacing w:before="16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BD5E1" w:sz="1"/>
              <w:left w:val="single" w:color="CBD5E1" w:sz="1"/>
              <w:bottom w:val="single" w:color="CBD5E1" w:sz="1"/>
              <w:right w:val="single" w:color="CBD5E1" w:sz="1"/>
            </w:tcBorders>
            <w:shd w:fill="E2E8F0" w:val="clear"/>
            <w:tcMar>
              <w:top w:type="dxa" w:w="100"/>
              <w:left w:type="dxa" w:w="140"/>
              <w:bottom w:type="dxa" w:w="100"/>
              <w:right w:type="dxa" w:w="140"/>
            </w:tcMar>
            <w:vAlign w:val="top"/>
          </w:tcPr>
          <w:p>
            <w:pPr>
              <w:jc w:val="left"/>
            </w:pPr>
            <w:r>
              <w:rPr>
                <w:rFonts w:ascii="Arial" w:cs="Arial" w:eastAsia="Arial" w:hAnsi="Arial"/>
                <w:b/>
                <w:bCs/>
                <w:i w:val="false"/>
                <w:iCs w:val="false"/>
                <w:color w:val="0F172A"/>
                <w:sz w:val="20"/>
                <w:szCs w:val="20"/>
              </w:rPr>
              <w:t xml:space="preserve">Documento</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F172A"/>
                <w:sz w:val="20"/>
                <w:szCs w:val="20"/>
              </w:rPr>
              <w:t xml:space="preserve">Propuesta Comercial &amp; Pitch de Inversión v2.0</w:t>
            </w:r>
          </w:p>
        </w:tc>
      </w:tr>
      <w:tr>
        <w:tc>
          <w:tcPr>
            <w:tcW w:type="dxa" w:w="2800"/>
            <w:tcBorders>
              <w:top w:val="single" w:color="CBD5E1" w:sz="1"/>
              <w:left w:val="single" w:color="CBD5E1" w:sz="1"/>
              <w:bottom w:val="single" w:color="CBD5E1" w:sz="1"/>
              <w:right w:val="single" w:color="CBD5E1" w:sz="1"/>
            </w:tcBorders>
            <w:shd w:fill="E2E8F0" w:val="clear"/>
            <w:tcMar>
              <w:top w:type="dxa" w:w="100"/>
              <w:left w:type="dxa" w:w="140"/>
              <w:bottom w:type="dxa" w:w="100"/>
              <w:right w:type="dxa" w:w="140"/>
            </w:tcMar>
            <w:vAlign w:val="top"/>
          </w:tcPr>
          <w:p>
            <w:pPr>
              <w:jc w:val="left"/>
            </w:pPr>
            <w:r>
              <w:rPr>
                <w:rFonts w:ascii="Arial" w:cs="Arial" w:eastAsia="Arial" w:hAnsi="Arial"/>
                <w:b/>
                <w:bCs/>
                <w:i w:val="false"/>
                <w:iCs w:val="false"/>
                <w:color w:val="0F172A"/>
                <w:sz w:val="20"/>
                <w:szCs w:val="20"/>
              </w:rPr>
              <w:t xml:space="preserve">Fecha</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F172A"/>
                <w:sz w:val="20"/>
                <w:szCs w:val="20"/>
              </w:rPr>
              <w:t xml:space="preserve">Febrero 2026</w:t>
            </w:r>
          </w:p>
        </w:tc>
      </w:tr>
      <w:tr>
        <w:tc>
          <w:tcPr>
            <w:tcW w:type="dxa" w:w="2800"/>
            <w:tcBorders>
              <w:top w:val="single" w:color="CBD5E1" w:sz="1"/>
              <w:left w:val="single" w:color="CBD5E1" w:sz="1"/>
              <w:bottom w:val="single" w:color="CBD5E1" w:sz="1"/>
              <w:right w:val="single" w:color="CBD5E1" w:sz="1"/>
            </w:tcBorders>
            <w:shd w:fill="E2E8F0" w:val="clear"/>
            <w:tcMar>
              <w:top w:type="dxa" w:w="100"/>
              <w:left w:type="dxa" w:w="140"/>
              <w:bottom w:type="dxa" w:w="100"/>
              <w:right w:type="dxa" w:w="140"/>
            </w:tcMar>
            <w:vAlign w:val="top"/>
          </w:tcPr>
          <w:p>
            <w:pPr>
              <w:jc w:val="left"/>
            </w:pPr>
            <w:r>
              <w:rPr>
                <w:rFonts w:ascii="Arial" w:cs="Arial" w:eastAsia="Arial" w:hAnsi="Arial"/>
                <w:b/>
                <w:bCs/>
                <w:i w:val="false"/>
                <w:iCs w:val="false"/>
                <w:color w:val="0F172A"/>
                <w:sz w:val="20"/>
                <w:szCs w:val="20"/>
              </w:rPr>
              <w:t xml:space="preserve">Fundador</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F172A"/>
                <w:sz w:val="20"/>
                <w:szCs w:val="20"/>
              </w:rPr>
              <w:t xml:space="preserve">Ibrain — CTO &amp; CEO, OMEGA</w:t>
            </w:r>
          </w:p>
        </w:tc>
      </w:tr>
      <w:tr>
        <w:tc>
          <w:tcPr>
            <w:tcW w:type="dxa" w:w="2800"/>
            <w:tcBorders>
              <w:top w:val="single" w:color="CBD5E1" w:sz="1"/>
              <w:left w:val="single" w:color="CBD5E1" w:sz="1"/>
              <w:bottom w:val="single" w:color="CBD5E1" w:sz="1"/>
              <w:right w:val="single" w:color="CBD5E1" w:sz="1"/>
            </w:tcBorders>
            <w:shd w:fill="E2E8F0" w:val="clear"/>
            <w:tcMar>
              <w:top w:type="dxa" w:w="100"/>
              <w:left w:type="dxa" w:w="140"/>
              <w:bottom w:type="dxa" w:w="100"/>
              <w:right w:type="dxa" w:w="140"/>
            </w:tcMar>
            <w:vAlign w:val="top"/>
          </w:tcPr>
          <w:p>
            <w:pPr>
              <w:jc w:val="left"/>
            </w:pPr>
            <w:r>
              <w:rPr>
                <w:rFonts w:ascii="Arial" w:cs="Arial" w:eastAsia="Arial" w:hAnsi="Arial"/>
                <w:b/>
                <w:bCs/>
                <w:i w:val="false"/>
                <w:iCs w:val="false"/>
                <w:color w:val="0F172A"/>
                <w:sz w:val="20"/>
                <w:szCs w:val="20"/>
              </w:rPr>
              <w:t xml:space="preserve">Clasificación</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bCs/>
                <w:i w:val="false"/>
                <w:iCs w:val="false"/>
                <w:color w:val="DC2626"/>
                <w:sz w:val="20"/>
                <w:szCs w:val="20"/>
              </w:rPr>
              <w:t xml:space="preserve">🔴 CONFIDENCIAL — Máximo 3 Inversionistas</w:t>
            </w:r>
          </w:p>
        </w:tc>
      </w:tr>
      <w:tr>
        <w:tc>
          <w:tcPr>
            <w:tcW w:type="dxa" w:w="2800"/>
            <w:tcBorders>
              <w:top w:val="single" w:color="CBD5E1" w:sz="1"/>
              <w:left w:val="single" w:color="CBD5E1" w:sz="1"/>
              <w:bottom w:val="single" w:color="CBD5E1" w:sz="1"/>
              <w:right w:val="single" w:color="CBD5E1" w:sz="1"/>
            </w:tcBorders>
            <w:shd w:fill="E2E8F0" w:val="clear"/>
            <w:tcMar>
              <w:top w:type="dxa" w:w="100"/>
              <w:left w:type="dxa" w:w="140"/>
              <w:bottom w:type="dxa" w:w="100"/>
              <w:right w:type="dxa" w:w="140"/>
            </w:tcMar>
            <w:vAlign w:val="top"/>
          </w:tcPr>
          <w:p>
            <w:pPr>
              <w:jc w:val="left"/>
            </w:pPr>
            <w:r>
              <w:rPr>
                <w:rFonts w:ascii="Arial" w:cs="Arial" w:eastAsia="Arial" w:hAnsi="Arial"/>
                <w:b/>
                <w:bCs/>
                <w:i w:val="false"/>
                <w:iCs w:val="false"/>
                <w:color w:val="0F172A"/>
                <w:sz w:val="20"/>
                <w:szCs w:val="20"/>
              </w:rPr>
              <w:t xml:space="preserve">Base de Operaciones</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F172A"/>
                <w:sz w:val="20"/>
                <w:szCs w:val="20"/>
              </w:rPr>
              <w:t xml:space="preserve">Puerto Rico, USA → Caribe → Latam</w:t>
            </w:r>
          </w:p>
        </w:tc>
      </w:tr>
    </w:tbl>
    <w:p>
      <w:pPr>
        <w:spacing w:before="160" w:after="0"/>
      </w:pPr>
      <w:r>
        <w:t xml:space="preserve"/>
      </w:r>
    </w:p>
    <w:p>
      <w:pPr>
        <w:spacing w:before="0" w:after="80"/>
        <w:jc w:val="center"/>
      </w:pPr>
      <w:r>
        <w:rPr>
          <w:rFonts w:ascii="Arial" w:cs="Arial" w:eastAsia="Arial" w:hAnsi="Arial"/>
          <w:b/>
          <w:bCs/>
          <w:i/>
          <w:iCs/>
          <w:color w:val="7C3AED"/>
          <w:sz w:val="24"/>
          <w:szCs w:val="24"/>
        </w:rPr>
        <w:t xml:space="preserve">"La empresa de marketing AI que se construye, opera, y crece sola."</w:t>
      </w:r>
    </w:p>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7C3AED"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La Oportunidad en Una Frase</w:t>
            </w:r>
          </w:p>
          <w:p>
            <w:pPr>
              <w:spacing w:before="0" w:after="0"/>
            </w:pPr>
            <w:r>
              <w:rPr>
                <w:rFonts w:ascii="Arial" w:cs="Arial" w:eastAsia="Arial" w:hAnsi="Arial"/>
                <w:i/>
                <w:iCs/>
                <w:color w:val="FFFFFF"/>
                <w:sz w:val="20"/>
                <w:szCs w:val="20"/>
              </w:rPr>
              <w:t xml:space="preserve">OMEGA es una plataforma SaaS de marketing AI que licencia una empresa interna de 100 agentes organizados en 7 departamentos con jerarquía real, memoria a largo plazo, y capacidad de crecer de forma autónoma — entregando resultados de agencia enterprise a precio de software.</w:t>
            </w:r>
          </w:p>
        </w:tc>
      </w:tr>
    </w:tbl>
    <w:p>
      <w:pPr>
        <w:spacing w:before="80" w:after="0"/>
      </w:pPr>
      <w:r>
        <w:t xml:space="preserve"/>
      </w:r>
    </w:p>
    <w:p>
      <w:pPr>
        <w:spacing w:before="80" w:after="100"/>
      </w:pPr>
      <w:r>
        <w:rPr>
          <w:rFonts w:ascii="Arial" w:cs="Arial" w:eastAsia="Arial" w:hAnsi="Arial"/>
          <w:b w:val="false"/>
          <w:bCs w:val="false"/>
          <w:i w:val="false"/>
          <w:iCs w:val="false"/>
          <w:color w:val="0F172A"/>
          <w:sz w:val="22"/>
          <w:szCs w:val="22"/>
        </w:rPr>
        <w:t xml:space="preserve">El mercado global de marketing AI supera los $35 billones en 2026 y crece al 28% anual. OMEGA no compite como herramienta genérica — es la única plataforma del mercado que licencia una organización AI completa que ejecuta el marketing 24/7, se auto-mejora, y crece sola.</w:t>
      </w:r>
    </w:p>
    <w:p>
      <w:pPr>
        <w:spacing w:before="80" w:after="0"/>
      </w:pPr>
      <w:r>
        <w:t xml:space="preserve"/>
      </w:r>
    </w:p>
    <w:p>
      <w:pPr>
        <w:pStyle w:val="Heading3"/>
        <w:spacing w:before="280" w:after="120"/>
      </w:pPr>
      <w:r>
        <w:rPr>
          <w:rFonts w:ascii="Arial" w:cs="Arial" w:eastAsia="Arial" w:hAnsi="Arial"/>
          <w:b/>
          <w:bCs/>
          <w:color w:val="7C3AED"/>
          <w:sz w:val="26"/>
          <w:szCs w:val="26"/>
        </w:rPr>
        <w:t xml:space="preserve">El Problema que OMEGA Resuelve</w:t>
      </w:r>
    </w:p>
    <w:p>
      <w:pPr>
        <w:pStyle w:val="ListParagraph"/>
        <w:numPr>
          <w:ilvl w:val="0"/>
          <w:numId w:val="2"/>
        </w:numPr>
        <w:spacing w:before="60" w:after="60"/>
      </w:pPr>
      <w:r>
        <w:rPr>
          <w:rFonts w:ascii="Arial" w:cs="Arial" w:eastAsia="Arial" w:hAnsi="Arial"/>
          <w:color w:val="0F172A"/>
          <w:sz w:val="20"/>
          <w:szCs w:val="20"/>
        </w:rPr>
        <w:t xml:space="preserve">Contratar una agencia de marketing cuesta $2,000-$8,000/mes con resultados inconsistentes</w:t>
      </w:r>
    </w:p>
    <w:p>
      <w:pPr>
        <w:pStyle w:val="ListParagraph"/>
        <w:numPr>
          <w:ilvl w:val="0"/>
          <w:numId w:val="2"/>
        </w:numPr>
        <w:spacing w:before="60" w:after="60"/>
      </w:pPr>
      <w:r>
        <w:rPr>
          <w:rFonts w:ascii="Arial" w:cs="Arial" w:eastAsia="Arial" w:hAnsi="Arial"/>
          <w:color w:val="0F172A"/>
          <w:sz w:val="20"/>
          <w:szCs w:val="20"/>
        </w:rPr>
        <w:t xml:space="preserve">Las herramientas disponibles (Hootsuite, Buffer, Sprout) son schedulers — no equipos que piensan y ejecutan</w:t>
      </w:r>
    </w:p>
    <w:p>
      <w:pPr>
        <w:pStyle w:val="ListParagraph"/>
        <w:numPr>
          <w:ilvl w:val="0"/>
          <w:numId w:val="2"/>
        </w:numPr>
        <w:spacing w:before="60" w:after="60"/>
      </w:pPr>
      <w:r>
        <w:rPr>
          <w:rFonts w:ascii="Arial" w:cs="Arial" w:eastAsia="Arial" w:hAnsi="Arial"/>
          <w:color w:val="0F172A"/>
          <w:sz w:val="20"/>
          <w:szCs w:val="20"/>
        </w:rPr>
        <w:t xml:space="preserve">El talento humano de marketing es escaso, caro, y con curva de aprendizaje larga por cliente</w:t>
      </w:r>
    </w:p>
    <w:p>
      <w:pPr>
        <w:spacing w:before="80" w:after="0"/>
      </w:pPr>
      <w:r>
        <w:t xml:space="preserve"/>
      </w:r>
    </w:p>
    <w:p>
      <w:pPr>
        <w:pStyle w:val="Heading3"/>
        <w:spacing w:before="280" w:after="120"/>
      </w:pPr>
      <w:r>
        <w:rPr>
          <w:rFonts w:ascii="Arial" w:cs="Arial" w:eastAsia="Arial" w:hAnsi="Arial"/>
          <w:b/>
          <w:bCs/>
          <w:color w:val="7C3AED"/>
          <w:sz w:val="26"/>
          <w:szCs w:val="26"/>
        </w:rPr>
        <w:t xml:space="preserve">Números Clave — Proyección 24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800"/>
      </w:tblGrid>
      <w:tr>
        <w:trPr>
          <w:tblHeader/>
        </w:trPr>
        <w:tc>
          <w:tcPr>
            <w:tcW w:type="dxa" w:w="23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Métrica</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 6</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 12</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 18</w:t>
            </w:r>
          </w:p>
        </w:tc>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 24</w:t>
            </w:r>
          </w:p>
        </w:tc>
      </w:tr>
      <w:tr>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Clientes Activos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280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520</w:t>
            </w:r>
          </w:p>
        </w:tc>
      </w:tr>
      <w:tr>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MRR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$21,500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$68,000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$162,000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$318,000</w:t>
            </w:r>
          </w:p>
        </w:tc>
      </w:tr>
      <w:tr>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ARR (anualizado)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$258,000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$816,000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$1.94M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$3.82M</w:t>
            </w:r>
          </w:p>
        </w:tc>
      </w:tr>
      <w:tr>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Resellers Activos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50</w:t>
            </w:r>
          </w:p>
        </w:tc>
      </w:tr>
      <w:tr>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Gross Margin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79%</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83%</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88%</w:t>
            </w:r>
          </w:p>
        </w:tc>
      </w:tr>
    </w:tbl>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ESTRUCTURA DE PRECIOS — MODELO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Principio de Precios</w:t>
            </w:r>
          </w:p>
          <w:p>
            <w:pPr>
              <w:spacing w:before="0" w:after="0"/>
            </w:pPr>
            <w:r>
              <w:rPr>
                <w:rFonts w:ascii="Arial" w:cs="Arial" w:eastAsia="Arial" w:hAnsi="Arial"/>
                <w:i/>
                <w:iCs/>
                <w:color w:val="FFFFFF"/>
                <w:sz w:val="20"/>
                <w:szCs w:val="20"/>
              </w:rPr>
              <w:t xml:space="preserve">Todos los planes base incrementaron 30% sobre la versión inicial. Refleja el valor real de la organización AI que el cliente recibe. El cliente no compra software — accede a una empresa operativa completa.</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PLAN STARTER — $199/mes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Componente</w:t>
            </w:r>
          </w:p>
        </w:tc>
        <w:tc>
          <w:tcPr>
            <w:tcW w:type="dxa" w:w="59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Detalle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Industrias objetivo</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Restaurantes, pequeños comercios, emprendedores, freelancers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Usuarios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 negocio, 1 usuario admin</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Redes sociales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 plataformas conectadas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Contenido AI</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20 posts/mes generados automáticamente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CRM</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Hasta 100 leads/mes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Organización AI incluida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 agentes core: RAFA (Copy), DUDA (Social), ECHO (Soporte), REVIEW (Reputación), NURTURE (Leads)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Upgrade modular</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Puede contratar agentes adicionales de cualquier departamento (ver sección Agentes Add-On)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Ruta a 7 departamentos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Si el Starter quiere acceso completo, puede contratar agentes de todos los departamentos — el costo acumulado lo acerca al plan Reseller sin el setup fee único</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PLAN PRO — $389/mes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Componente</w:t>
            </w:r>
          </w:p>
        </w:tc>
        <w:tc>
          <w:tcPr>
            <w:tcW w:type="dxa" w:w="59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Detalle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Industrias objetivo</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Realtors, contratistas, médicos, salones, clínicas, despachos profesionales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Usuarios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 negocio, hasta 3 usuarios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Redes sociales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 plataformas + scheduling avanzado</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Contenido AI</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Ilimitado + imágenes DALL-E 3 + video scripts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CRM</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Leads ilimitados + formularios dinámicos + scoring automático</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Reputación</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Google Reviews automation + crisis monitoring</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Competitive Intelligence</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Monitoreo de hasta 5 competidores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Organización AI incluida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12 agentes: Departamento completo de Marketing (ATLAS y su equipo) + Comunidad (KIRA)</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Upgrade modular</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Puede contratar agentes de los 5 departamentos restantes (Producto, Ops, Finanzas, Futuros, HR)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Soporte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Priority — respuesta &lt; 2 horas</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PLAN ENTERPRISE — $780/mes a $1,950/mes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Componente</w:t>
            </w:r>
          </w:p>
        </w:tc>
        <w:tc>
          <w:tcPr>
            <w:tcW w:type="dxa" w:w="59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Detalle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Industrias objetivo</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Cadenas, empresas medianas, grupos corporativos, multi-sede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Usuarios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Multi-sede, usuarios ilimitados, roles personalizados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Redes sociales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Todas + TikTok Ads + LinkedIn Ads + Meta Ads integrado</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Contenido AI</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Ilimitado + campañas completas + contenido por vertical</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CRM</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Completo con integración MLS/IDX (Real Estate) + API custom</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ORACLE Access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Inteligencia de mercado semanal específica para su industria</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Vertical personalizado</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Agentes AI pre-configurados para su industria y mercado</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Dedicated Account Agent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Un agente AI exclusivo 24/7 para la cuenta</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Organización AI incluida</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Acceso completo a los 7 departamentos (40-100 agentes)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Soporte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Línea directa 24/7 + reunión estratégica mensual con fundador</w:t>
            </w:r>
          </w:p>
        </w:tc>
      </w:tr>
    </w:tbl>
    <w:p>
      <w:pPr>
        <w:spacing w:before="80" w:after="0"/>
      </w:pPr>
      <w:r>
        <w:t xml:space="preserve"/>
      </w:r>
    </w:p>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MODELO DE AGENTES ADD-ON — Empleados AI por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El Concepto: Contrata al Experto que Necesitas, Cuando lo Necesitas</w:t>
            </w:r>
          </w:p>
          <w:p>
            <w:pPr>
              <w:spacing w:before="0" w:after="0"/>
            </w:pPr>
            <w:r>
              <w:rPr>
                <w:rFonts w:ascii="Arial" w:cs="Arial" w:eastAsia="Arial" w:hAnsi="Arial"/>
                <w:i/>
                <w:iCs/>
                <w:color w:val="FFFFFF"/>
                <w:sz w:val="20"/>
                <w:szCs w:val="20"/>
              </w:rPr>
              <w:t xml:space="preserve">Un cliente Starter o Pro puede expandir su organización AI contratando agentes individuales de cualquier departamento. El precio depende del nivel de expertise del agente, el departamento al que pertenece, y el período de contratación. Sin contratos anuales obligatorios — aunque contratar por más tiempo reduce el costo mensual.</w:t>
            </w:r>
          </w:p>
        </w:tc>
      </w:tr>
    </w:tbl>
    <w:p>
      <w:pPr>
        <w:spacing w:before="80" w:after="0"/>
      </w:pPr>
      <w:r>
        <w:t xml:space="preserve"/>
      </w:r>
    </w:p>
    <w:p>
      <w:pPr>
        <w:pStyle w:val="Heading3"/>
        <w:spacing w:before="280" w:after="120"/>
      </w:pPr>
      <w:r>
        <w:rPr>
          <w:rFonts w:ascii="Arial" w:cs="Arial" w:eastAsia="Arial" w:hAnsi="Arial"/>
          <w:b/>
          <w:bCs/>
          <w:color w:val="7C3AED"/>
          <w:sz w:val="26"/>
          <w:szCs w:val="26"/>
        </w:rPr>
        <w:t xml:space="preserve">Tabla de Precios por Agente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200"/>
        <w:gridCol w:w="1400"/>
        <w:gridCol w:w="1400"/>
      </w:tblGrid>
      <w:tr>
        <w:trPr>
          <w:tblHeader/>
        </w:trPr>
        <w:tc>
          <w:tcPr>
            <w:tcW w:type="dxa" w:w="20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Departamento</w:t>
            </w:r>
          </w:p>
        </w:tc>
        <w:tc>
          <w:tcPr>
            <w:tcW w:type="dxa" w:w="23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Agente / Rol</w:t>
            </w:r>
          </w:p>
        </w:tc>
        <w:tc>
          <w:tcPr>
            <w:tcW w:type="dxa" w:w="1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Junior (entry)</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Senior (specialized)</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Director Level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Marketing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Copywriter, Social Media, Paid Traffic</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$249/mes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Producto &amp; Tech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QA, Bug Triage, Architecture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$99/mes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$169/mes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$279/mes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Operaciones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Onboarding, Support, Retention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$219/mes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Finanzas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Billing, Revenue, Churn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$99/mes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$159/mes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$249/mes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Comunidad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Reputation, Lead Nurturing, Verticals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$209/mes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Futuros (ORACLE)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Trend Research, Opportunity Synth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$149/mes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$229/mes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$349/mes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People &amp; HR</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Recruitment AI, Payroll Assist, Culture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$149/mes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$249/mes</w:t>
            </w:r>
          </w:p>
        </w:tc>
      </w:tr>
    </w:tbl>
    <w:p>
      <w:pPr>
        <w:spacing w:before="80" w:after="0"/>
      </w:pPr>
      <w:r>
        <w:t xml:space="preserve"/>
      </w:r>
    </w:p>
    <w:p>
      <w:pPr>
        <w:pStyle w:val="Heading3"/>
        <w:spacing w:before="280" w:after="120"/>
      </w:pPr>
      <w:r>
        <w:rPr>
          <w:rFonts w:ascii="Arial" w:cs="Arial" w:eastAsia="Arial" w:hAnsi="Arial"/>
          <w:b/>
          <w:bCs/>
          <w:color w:val="7C3AED"/>
          <w:sz w:val="26"/>
          <w:szCs w:val="26"/>
        </w:rPr>
        <w:t xml:space="preserve">Descuentos por Período de Contratación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Período</w:t>
            </w:r>
          </w:p>
        </w:tc>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Descuento</w:t>
            </w:r>
          </w:p>
        </w:tc>
        <w:tc>
          <w:tcPr>
            <w:tcW w:type="dxa" w:w="51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Ejemplo (Senior Marketing @ $149/mes)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Mensual (sin compromiso)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Precio base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$149/mes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Trimestral (3 meses)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 descuento</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$134/mes — $402 total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Semestral (6 meses)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18% descuento</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$122/mes — $732 total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Anual (12 meses)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28% descuento</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$107/mes — $1,284 total</w:t>
            </w:r>
          </w:p>
        </w:tc>
      </w:tr>
    </w:tbl>
    <w:p>
      <w:pPr>
        <w:spacing w:before="80" w:after="0"/>
      </w:pPr>
      <w:r>
        <w:t xml:space="preserve"/>
      </w:r>
    </w:p>
    <w:p>
      <w:pPr>
        <w:pStyle w:val="Heading3"/>
        <w:spacing w:before="280" w:after="120"/>
      </w:pPr>
      <w:r>
        <w:rPr>
          <w:rFonts w:ascii="Arial" w:cs="Arial" w:eastAsia="Arial" w:hAnsi="Arial"/>
          <w:b/>
          <w:bCs/>
          <w:color w:val="7C3AED"/>
          <w:sz w:val="26"/>
          <w:szCs w:val="26"/>
        </w:rPr>
        <w:t xml:space="preserve">Lógica del Upgrade — De Starter a Organización Completa</w:t>
      </w:r>
    </w:p>
    <w:p>
      <w:pPr>
        <w:spacing w:before="80" w:after="100"/>
      </w:pPr>
      <w:r>
        <w:rPr>
          <w:rFonts w:ascii="Arial" w:cs="Arial" w:eastAsia="Arial" w:hAnsi="Arial"/>
          <w:b w:val="false"/>
          <w:bCs w:val="false"/>
          <w:i w:val="false"/>
          <w:iCs w:val="false"/>
          <w:color w:val="0F172A"/>
          <w:sz w:val="22"/>
          <w:szCs w:val="22"/>
        </w:rPr>
        <w:t xml:space="preserve">Un cliente Starter que quiere acceso a los 7 departamentos completos puede construirlo por módulos. El sistema es transparente: en algún punto, el costo acumulado de agentes add-on se aproxima al plan Reseller — y en ese momento OMEGA le presenta la opción de hacer el upgrade al Reseller (sin setup fee único, solo el mensual más alto) o de mantenerse en su configuración modular.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480"/>
        <w:gridCol w:w="1080"/>
      </w:tblGrid>
      <w:tr>
        <w:trPr>
          <w:tblHeader/>
        </w:trPr>
        <w:tc>
          <w:tcPr>
            <w:tcW w:type="dxa" w:w="2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Escenario</w:t>
            </w:r>
          </w:p>
        </w:tc>
        <w:tc>
          <w:tcPr>
            <w:tcW w:type="dxa" w:w="2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Plan Base</w:t>
            </w:r>
          </w:p>
        </w:tc>
        <w:tc>
          <w:tcPr>
            <w:tcW w:type="dxa" w:w="2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Agentes Add-On</w:t>
            </w:r>
          </w:p>
        </w:tc>
        <w:tc>
          <w:tcPr>
            <w:tcW w:type="dxa" w:w="148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Total/mes</w:t>
            </w:r>
          </w:p>
        </w:tc>
        <w:tc>
          <w:tcPr>
            <w:tcW w:type="dxa" w:w="108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vs. Reseller $3,500/mes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Starter + 5 agentes Senior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$199</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$149×5 = $745</w:t>
            </w:r>
          </w:p>
        </w:tc>
        <w:tc>
          <w:tcPr>
            <w:tcW w:type="dxa" w:w="1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$944/mes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Reseller 3.7x más — pero incluye licencia para vender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Pro + 3 departamentos completos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$389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$149×8 = $1,192</w:t>
            </w:r>
          </w:p>
        </w:tc>
        <w:tc>
          <w:tcPr>
            <w:tcW w:type="dxa" w:w="1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$1,581/mes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Reseller 2.2x más — con derecho a 30% comisión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Pro + 6 departamentos Senior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$389</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$149×14 = $2,086</w:t>
            </w:r>
          </w:p>
        </w:tc>
        <w:tc>
          <w:tcPr>
            <w:tcW w:type="dxa" w:w="1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$2,475/mes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Reseller solo $1,025 más — OMEGA recomienda upgrade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59669"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La Conversación de Upgrade</w:t>
            </w:r>
          </w:p>
          <w:p>
            <w:pPr>
              <w:spacing w:before="0" w:after="0"/>
            </w:pPr>
            <w:r>
              <w:rPr>
                <w:rFonts w:ascii="Arial" w:cs="Arial" w:eastAsia="Arial" w:hAnsi="Arial"/>
                <w:i/>
                <w:iCs/>
                <w:color w:val="FFFFFF"/>
                <w:sz w:val="20"/>
                <w:szCs w:val="20"/>
              </w:rPr>
              <w:t xml:space="preserve">Cuando un cliente modular supera $2,000/mes en agentes add-on, SOPHIA (el agente de HR de OMEGA) activa automáticamente una conversación de upgrade: "Estás a $1,500 de tener una empresa AI completa bajo tu marca y el derecho de venderla a otros. ¿Tiene sentido hablar del plan Reseller?"</w:t>
            </w:r>
          </w:p>
        </w:tc>
      </w:tr>
    </w:tbl>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PLAN RESELLER WHITE-LABEL — LA LICENCIA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7C3AED"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No estás comprando una herramienta. Estás licenciando una empresa.</w:t>
            </w:r>
          </w:p>
          <w:p>
            <w:pPr>
              <w:spacing w:before="0" w:after="0"/>
            </w:pPr>
            <w:r>
              <w:rPr>
                <w:rFonts w:ascii="Arial" w:cs="Arial" w:eastAsia="Arial" w:hAnsi="Arial"/>
                <w:i/>
                <w:iCs/>
                <w:color w:val="FFFFFF"/>
                <w:sz w:val="20"/>
                <w:szCs w:val="20"/>
              </w:rPr>
              <w:t xml:space="preserve">La licencia Reseller de OMEGA es el equivalente a comprar una franquicia de agencia de marketing AI de clase mundial. Comparable a la licencia de CrossFit ($6K/año solo por el nombre) — OMEGA te da la empresa completa, operando, con 100 empleados AI expertos, bajo tu marca, con actualizaciones perpetuas incluidas.</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Estructura de Precios Reseller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Componente</w:t>
            </w:r>
          </w:p>
        </w:tc>
        <w:tc>
          <w:tcPr>
            <w:tcW w:type="dxa" w:w="2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Rango</w:t>
            </w:r>
          </w:p>
        </w:tc>
        <w:tc>
          <w:tcPr>
            <w:tcW w:type="dxa" w:w="47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Factor Determinante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Setup Fee (pago único)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$25,000 — $35,000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Industria + complejidad del vertical + curva de aprendizaje del mercado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Licencia mensual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$3,500 — $5,000/mes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Tamaño del portfolio + mercado operado + nivel de personalización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Comisión a OMEGA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30% del revenue global del reseller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Sobre todo lo que el reseller facture a sus clientes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Stripe propio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Reseller conecta su Stripe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Cobra directamente a sus clientes. OMEGA factura el 30% mensualmente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Actualizaciones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Incluidas en la licencia mensual</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Cada mejora de OMEGA (nuevos agentes, features, verticales) llega automáticamente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Protección de cartera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Cláusula de continuidad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Si el reseller no paga 90 días, OMEGA toma los clientes directamente y los opera</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El Setup Fee — Por qué $25K-$35K es el Precio Correcto</w:t>
      </w:r>
    </w:p>
    <w:p>
      <w:pPr>
        <w:spacing w:before="80" w:after="100"/>
      </w:pPr>
      <w:r>
        <w:rPr>
          <w:rFonts w:ascii="Arial" w:cs="Arial" w:eastAsia="Arial" w:hAnsi="Arial"/>
          <w:b w:val="false"/>
          <w:bCs w:val="false"/>
          <w:i w:val="false"/>
          <w:iCs w:val="false"/>
          <w:color w:val="0F172A"/>
          <w:sz w:val="22"/>
          <w:szCs w:val="22"/>
        </w:rPr>
        <w:t xml:space="preserve">El setup fee no es una barrera — es la inversión inicial de un negocio serio. Incluye:</w:t>
      </w:r>
    </w:p>
    <w:p>
      <w:pPr>
        <w:pStyle w:val="ListParagraph"/>
        <w:numPr>
          <w:ilvl w:val="0"/>
          <w:numId w:val="2"/>
        </w:numPr>
        <w:spacing w:before="60" w:after="60"/>
      </w:pPr>
      <w:r>
        <w:rPr>
          <w:rFonts w:ascii="Arial" w:cs="Arial" w:eastAsia="Arial" w:hAnsi="Arial"/>
          <w:color w:val="0F172A"/>
          <w:sz w:val="20"/>
          <w:szCs w:val="20"/>
        </w:rPr>
        <w:t xml:space="preserve">Configuración completa del white-label: branding, dominio, subdominios, Stripe, identidad visual</w:t>
      </w:r>
    </w:p>
    <w:p>
      <w:pPr>
        <w:pStyle w:val="ListParagraph"/>
        <w:numPr>
          <w:ilvl w:val="0"/>
          <w:numId w:val="2"/>
        </w:numPr>
        <w:spacing w:before="60" w:after="60"/>
      </w:pPr>
      <w:r>
        <w:rPr>
          <w:rFonts w:ascii="Arial" w:cs="Arial" w:eastAsia="Arial" w:hAnsi="Arial"/>
          <w:color w:val="0F172A"/>
          <w:sz w:val="20"/>
          <w:szCs w:val="20"/>
        </w:rPr>
        <w:t xml:space="preserve">Entrenamiento de los 7 directores AI con el contexto específico de la industria del reseller</w:t>
      </w:r>
    </w:p>
    <w:p>
      <w:pPr>
        <w:pStyle w:val="ListParagraph"/>
        <w:numPr>
          <w:ilvl w:val="0"/>
          <w:numId w:val="2"/>
        </w:numPr>
        <w:spacing w:before="60" w:after="60"/>
      </w:pPr>
      <w:r>
        <w:rPr>
          <w:rFonts w:ascii="Arial" w:cs="Arial" w:eastAsia="Arial" w:hAnsi="Arial"/>
          <w:color w:val="0F172A"/>
          <w:sz w:val="20"/>
          <w:szCs w:val="20"/>
        </w:rPr>
        <w:t xml:space="preserve">Calibración de ORACLE para el mercado y geografía donde operará el reseller</w:t>
      </w:r>
    </w:p>
    <w:p>
      <w:pPr>
        <w:pStyle w:val="ListParagraph"/>
        <w:numPr>
          <w:ilvl w:val="0"/>
          <w:numId w:val="2"/>
        </w:numPr>
        <w:spacing w:before="60" w:after="60"/>
      </w:pPr>
      <w:r>
        <w:rPr>
          <w:rFonts w:ascii="Arial" w:cs="Arial" w:eastAsia="Arial" w:hAnsi="Arial"/>
          <w:color w:val="0F172A"/>
          <w:sz w:val="20"/>
          <w:szCs w:val="20"/>
        </w:rPr>
        <w:t xml:space="preserve">Onboarding profundo de 30 días con el fundador para garantizar que el reseller entiende y puede vender el sistema</w:t>
      </w:r>
    </w:p>
    <w:p>
      <w:pPr>
        <w:pStyle w:val="ListParagraph"/>
        <w:numPr>
          <w:ilvl w:val="0"/>
          <w:numId w:val="2"/>
        </w:numPr>
        <w:spacing w:before="60" w:after="60"/>
      </w:pPr>
      <w:r>
        <w:rPr>
          <w:rFonts w:ascii="Arial" w:cs="Arial" w:eastAsia="Arial" w:hAnsi="Arial"/>
          <w:color w:val="0F172A"/>
          <w:sz w:val="20"/>
          <w:szCs w:val="20"/>
        </w:rPr>
        <w:t xml:space="preserve">Transferencia de know-how: estrategias de ventas, scripts, pitch deck personalizado, y casos de uso por industria</w:t>
      </w:r>
    </w:p>
    <w:p>
      <w:pPr>
        <w:pStyle w:val="ListParagraph"/>
        <w:numPr>
          <w:ilvl w:val="0"/>
          <w:numId w:val="2"/>
        </w:numPr>
        <w:spacing w:before="60" w:after="60"/>
      </w:pPr>
      <w:r>
        <w:rPr>
          <w:rFonts w:ascii="Arial" w:cs="Arial" w:eastAsia="Arial" w:hAnsi="Arial"/>
          <w:color w:val="0F172A"/>
          <w:sz w:val="20"/>
          <w:szCs w:val="20"/>
        </w:rPr>
        <w:t xml:space="preserve">Acceso al OMEGA Command Center — el reseller puede ver su organización AI en tiempo real</w:t>
      </w:r>
    </w:p>
    <w:p>
      <w:pPr>
        <w:pStyle w:val="ListParagraph"/>
        <w:numPr>
          <w:ilvl w:val="0"/>
          <w:numId w:val="2"/>
        </w:numPr>
        <w:spacing w:before="60" w:after="60"/>
      </w:pPr>
      <w:r>
        <w:rPr>
          <w:rFonts w:ascii="Arial" w:cs="Arial" w:eastAsia="Arial" w:hAnsi="Arial"/>
          <w:color w:val="0F172A"/>
          <w:sz w:val="20"/>
          <w:szCs w:val="20"/>
        </w:rPr>
        <w:t xml:space="preserve">SLA de soporte prioritario en el primer año de operación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Industria / Mercado</w:t>
            </w:r>
          </w:p>
        </w:tc>
        <w:tc>
          <w:tcPr>
            <w:tcW w:type="dxa" w:w="1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Setup Fee</w:t>
            </w:r>
          </w:p>
        </w:tc>
        <w:tc>
          <w:tcPr>
            <w:tcW w:type="dxa" w:w="1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Mensual</w:t>
            </w:r>
          </w:p>
        </w:tc>
        <w:tc>
          <w:tcPr>
            <w:tcW w:type="dxa" w:w="35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Factor de Complejidad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Agencias de Marketing Generales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$25,000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$3,500/mes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Baja — contexto general, sin vertical específico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Real Estate &amp; Realtors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$28,000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$4,000/mes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Media — requiere configuración MLS/IDX y contexto de mercado local</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Construcción &amp; Ferreterías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$30,000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$4,000/mes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Media-Alta — múltiples sub-industrias, pricing complejo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Salud &amp; Wellness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$32,000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$4,500/mes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Alta — terminología médica, compliance, flujos de pacientes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Franquicias &amp; Retail Chains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$35,000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$5,000/mes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Muy Alta — multi-sede, multi-marca, sistemas de reporteo complejos</w:t>
            </w:r>
          </w:p>
        </w:tc>
      </w:tr>
    </w:tbl>
    <w:p>
      <w:pPr>
        <w:spacing w:before="80" w:after="0"/>
      </w:pPr>
      <w:r>
        <w:t xml:space="preserve"/>
      </w:r>
    </w:p>
    <w:p>
      <w:r>
        <w:br w:type="page"/>
      </w:r>
    </w:p>
    <w:p>
      <w:pPr>
        <w:pStyle w:val="Heading2"/>
        <w:spacing w:before="360" w:after="160"/>
      </w:pPr>
      <w:r>
        <w:rPr>
          <w:rFonts w:ascii="Arial" w:cs="Arial" w:eastAsia="Arial" w:hAnsi="Arial"/>
          <w:b/>
          <w:bCs/>
          <w:color w:val="0F172A"/>
          <w:sz w:val="32"/>
          <w:szCs w:val="32"/>
        </w:rPr>
        <w:t xml:space="preserve">El ROI del Reseller — Por Qué es la Inversión más Inteligente del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59669"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Un reseller con 30 clientes a $800/mes promedio genera $24,000/mes. Paga a OMEGA $3,500 (licencia) + $7,200 (30% de $24K) = $10,700. Se queda con $13,300/mes netos. ROI sobre inversión inicial ($30K) en menos de 3 meses.</w:t>
            </w:r>
          </w:p>
          <w:p>
            <w:pPr>
              <w:spacing w:before="0" w:after="0"/>
            </w:pPr>
            <w:r>
              <w:rPr>
                <w:rFonts w:ascii="Arial" w:cs="Arial" w:eastAsia="Arial" w:hAnsi="Arial"/>
                <w:i/>
                <w:iCs/>
                <w:color w:val="FFFFFF"/>
                <w:sz w:val="20"/>
                <w:szCs w:val="20"/>
              </w:rPr>
              <w:t xml:space="preserve">Y eso con solo 30 clientes. Con 100 clientes a $600/mes: $60,000/mes brutos — $21,500 a OMEGA — $38,500/mes netos. La inversión de $30K se recupera en semanas.</w:t>
            </w:r>
          </w:p>
        </w:tc>
      </w:tr>
    </w:tbl>
    <w:p>
      <w:pPr>
        <w:spacing w:before="80" w:after="0"/>
      </w:pPr>
      <w:r>
        <w:t xml:space="preserve"/>
      </w:r>
    </w:p>
    <w:p>
      <w:pPr>
        <w:pStyle w:val="Heading3"/>
        <w:spacing w:before="280" w:after="120"/>
      </w:pPr>
      <w:r>
        <w:rPr>
          <w:rFonts w:ascii="Arial" w:cs="Arial" w:eastAsia="Arial" w:hAnsi="Arial"/>
          <w:b/>
          <w:bCs/>
          <w:color w:val="7C3AED"/>
          <w:sz w:val="26"/>
          <w:szCs w:val="26"/>
        </w:rPr>
        <w:t xml:space="preserve">Proyección de ROI del Reseller —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60"/>
        <w:gridCol w:w="2600"/>
        <w:gridCol w:w="1800"/>
        <w:gridCol w:w="1800"/>
      </w:tblGrid>
      <w:tr>
        <w:trPr>
          <w:tblHeader/>
        </w:trPr>
        <w:tc>
          <w:tcPr>
            <w:tcW w:type="dxa" w:w="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w:t>
            </w:r>
          </w:p>
        </w:tc>
        <w:tc>
          <w:tcPr>
            <w:tcW w:type="dxa" w:w="1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Clientes del Reseller</w:t>
            </w:r>
          </w:p>
        </w:tc>
        <w:tc>
          <w:tcPr>
            <w:tcW w:type="dxa" w:w="17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Revenue Bruto</w:t>
            </w:r>
          </w:p>
        </w:tc>
        <w:tc>
          <w:tcPr>
            <w:tcW w:type="dxa" w:w="2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Pago a OMEGA (30% + licencia)</w:t>
            </w:r>
          </w:p>
        </w:tc>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Neto del Reseller</w:t>
            </w:r>
          </w:p>
        </w:tc>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ROI Acumulado</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1</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$4,000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$4,700 (licencia $3,500 + $1,200 comisión)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Inversión inicial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$8,000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$5,900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$2,100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Recuperando</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18</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$14,400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$7,820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$6,580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Break-even aprox. Mes 4</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28</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$22,400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$10,220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$12,180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ROI positivo real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45</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$36,000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$14,300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$21,700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Setup fee recuperado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70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$56,000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$20,300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$35,700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3.5x sobre inversión inicial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100</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$80,000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$27,500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$52,500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15x+ sobre inversión inicial</w:t>
            </w:r>
          </w:p>
        </w:tc>
      </w:tr>
    </w:tbl>
    <w:p>
      <w:pPr>
        <w:spacing w:before="80" w:after="0"/>
      </w:pPr>
      <w:r>
        <w:t xml:space="preserve"/>
      </w:r>
    </w:p>
    <w:p>
      <w:pPr>
        <w:spacing w:before="80" w:after="100"/>
      </w:pPr>
      <w:r>
        <w:rPr>
          <w:rFonts w:ascii="Arial" w:cs="Arial" w:eastAsia="Arial" w:hAnsi="Arial"/>
          <w:b/>
          <w:bCs/>
          <w:i w:val="false"/>
          <w:iCs w:val="false"/>
          <w:color w:val="0F172A"/>
          <w:sz w:val="22"/>
          <w:szCs w:val="22"/>
        </w:rPr>
        <w:t xml:space="preserve">El reseller que llega a 100 clientes a $800/mes promedio genera $52,500 netos mensuales — $630,000/año. Sobre una inversión inicial de $30,000-$35,000 y un costo operativo mensual de $27,500. Eso es una empresa de marketing AI rentable, bajo su propia marca, sin haber construido nada.</w:t>
      </w:r>
    </w:p>
    <w:p>
      <w:pPr>
        <w:spacing w:before="80" w:after="0"/>
      </w:pPr>
      <w:r>
        <w:t xml:space="preserve"/>
      </w:r>
    </w:p>
    <w:p>
      <w:pPr>
        <w:pStyle w:val="Heading3"/>
        <w:spacing w:before="280" w:after="120"/>
      </w:pPr>
      <w:r>
        <w:rPr>
          <w:rFonts w:ascii="Arial" w:cs="Arial" w:eastAsia="Arial" w:hAnsi="Arial"/>
          <w:b/>
          <w:bCs/>
          <w:color w:val="7C3AED"/>
          <w:sz w:val="26"/>
          <w:szCs w:val="26"/>
        </w:rPr>
        <w:t xml:space="preserve">El Pitch de Ventas que se Vende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200"/>
              <w:left w:type="dxa" w:w="260"/>
              <w:bottom w:type="dxa" w:w="200"/>
              <w:right w:type="dxa" w:w="260"/>
            </w:tcMar>
          </w:tcPr>
          <w:p>
            <w:pPr>
              <w:spacing w:before="0" w:after="80"/>
            </w:pPr>
            <w:r>
              <w:rPr>
                <w:rFonts w:ascii="Arial" w:cs="Arial" w:eastAsia="Arial" w:hAnsi="Arial"/>
                <w:b/>
                <w:bCs/>
                <w:color w:val="D97706"/>
                <w:sz w:val="22"/>
                <w:szCs w:val="22"/>
              </w:rPr>
              <w:t xml:space="preserve">Lo que el reseller le dice a su prospecto:</w:t>
            </w:r>
          </w:p>
          <w:p>
            <w:pPr>
              <w:spacing w:before="0" w:after="80"/>
            </w:pPr>
            <w:r>
              <w:rPr>
                <w:rFonts w:ascii="Arial" w:cs="Arial" w:eastAsia="Arial" w:hAnsi="Arial"/>
                <w:i/>
                <w:iCs/>
                <w:color w:val="FFFFFF"/>
                <w:sz w:val="21"/>
                <w:szCs w:val="21"/>
              </w:rPr>
              <w:t xml:space="preserve">"Te ofrezco una agencia de marketing completa — 100 expertos trabajando en tu cuenta 24/7, con AI de última generación, bajo mi marca y mi garantía personal. Por $600-$1,200/mes. Lo que cualquier agencia tradicional te cobraría $3,000-$8,000/mes por la décima parte del servicio."</w:t>
            </w:r>
          </w:p>
          <w:p>
            <w:pPr>
              <w:spacing w:before="80" w:after="40"/>
            </w:pPr>
            <w:r>
              <w:rPr>
                <w:rFonts w:ascii="Arial" w:cs="Arial" w:eastAsia="Arial" w:hAnsi="Arial"/>
                <w:b/>
                <w:bCs/>
                <w:color w:val="A78BFA"/>
                <w:sz w:val="20"/>
                <w:szCs w:val="20"/>
              </w:rPr>
              <w:t xml:space="preserve">La diferencia competitiva del reseller:</w:t>
            </w:r>
          </w:p>
          <w:p>
            <w:pPr>
              <w:spacing w:before="0" w:after="0"/>
            </w:pPr>
            <w:r>
              <w:rPr>
                <w:rFonts w:ascii="Arial" w:cs="Arial" w:eastAsia="Arial" w:hAnsi="Arial"/>
                <w:color w:val="E2E8F0"/>
                <w:sz w:val="20"/>
                <w:szCs w:val="20"/>
              </w:rPr>
              <w:t xml:space="preserve">No compite contra otras agencias. Compite contra la alternativa de que el cliente no tenga marketing. Y ese mercado es infinito.</w:t>
            </w:r>
          </w:p>
        </w:tc>
      </w:tr>
    </w:tbl>
    <w:p>
      <w:pPr>
        <w:spacing w:before="80" w:after="0"/>
      </w:pPr>
      <w:r>
        <w:t xml:space="preserve"/>
      </w:r>
    </w:p>
    <w:p>
      <w:pPr>
        <w:pStyle w:val="Heading3"/>
        <w:spacing w:before="280" w:after="120"/>
      </w:pPr>
      <w:r>
        <w:rPr>
          <w:rFonts w:ascii="Arial" w:cs="Arial" w:eastAsia="Arial" w:hAnsi="Arial"/>
          <w:b/>
          <w:bCs/>
          <w:color w:val="7C3AED"/>
          <w:sz w:val="26"/>
          <w:szCs w:val="26"/>
        </w:rPr>
        <w:t xml:space="preserve">Requisitos para Convertirse en Reseller</w:t>
      </w:r>
    </w:p>
    <w:p>
      <w:pPr>
        <w:pStyle w:val="ListParagraph"/>
        <w:numPr>
          <w:ilvl w:val="0"/>
          <w:numId w:val="2"/>
        </w:numPr>
        <w:spacing w:before="60" w:after="60"/>
      </w:pPr>
      <w:r>
        <w:rPr>
          <w:rFonts w:ascii="Arial" w:cs="Arial" w:eastAsia="Arial" w:hAnsi="Arial"/>
          <w:color w:val="0F172A"/>
          <w:sz w:val="20"/>
          <w:szCs w:val="20"/>
        </w:rPr>
        <w:t xml:space="preserve">Capital disponible para el setup fee (sin financiamiento — el reseller debe tener músculo financiero real)</w:t>
      </w:r>
    </w:p>
    <w:p>
      <w:pPr>
        <w:pStyle w:val="ListParagraph"/>
        <w:numPr>
          <w:ilvl w:val="0"/>
          <w:numId w:val="2"/>
        </w:numPr>
        <w:spacing w:before="60" w:after="60"/>
      </w:pPr>
      <w:r>
        <w:rPr>
          <w:rFonts w:ascii="Arial" w:cs="Arial" w:eastAsia="Arial" w:hAnsi="Arial"/>
          <w:color w:val="0F172A"/>
          <w:sz w:val="20"/>
          <w:szCs w:val="20"/>
        </w:rPr>
        <w:t xml:space="preserve">Experiencia en ventas B2B o gestión de clientes (mínimo 2 años)</w:t>
      </w:r>
    </w:p>
    <w:p>
      <w:pPr>
        <w:pStyle w:val="ListParagraph"/>
        <w:numPr>
          <w:ilvl w:val="0"/>
          <w:numId w:val="2"/>
        </w:numPr>
        <w:spacing w:before="60" w:after="60"/>
      </w:pPr>
      <w:r>
        <w:rPr>
          <w:rFonts w:ascii="Arial" w:cs="Arial" w:eastAsia="Arial" w:hAnsi="Arial"/>
          <w:color w:val="0F172A"/>
          <w:sz w:val="20"/>
          <w:szCs w:val="20"/>
        </w:rPr>
        <w:t xml:space="preserve">Red inicial de al menos 5 prospectos calificados antes del onboarding</w:t>
      </w:r>
    </w:p>
    <w:p>
      <w:pPr>
        <w:pStyle w:val="ListParagraph"/>
        <w:numPr>
          <w:ilvl w:val="0"/>
          <w:numId w:val="2"/>
        </w:numPr>
        <w:spacing w:before="60" w:after="60"/>
      </w:pPr>
      <w:r>
        <w:rPr>
          <w:rFonts w:ascii="Arial" w:cs="Arial" w:eastAsia="Arial" w:hAnsi="Arial"/>
          <w:color w:val="0F172A"/>
          <w:sz w:val="20"/>
          <w:szCs w:val="20"/>
        </w:rPr>
        <w:t xml:space="preserve">Comprensión del modelo de AI agentes — el reseller debe poder explicar qué está vendiendo</w:t>
      </w:r>
    </w:p>
    <w:p>
      <w:pPr>
        <w:pStyle w:val="ListParagraph"/>
        <w:numPr>
          <w:ilvl w:val="0"/>
          <w:numId w:val="2"/>
        </w:numPr>
        <w:spacing w:before="60" w:after="60"/>
      </w:pPr>
      <w:r>
        <w:rPr>
          <w:rFonts w:ascii="Arial" w:cs="Arial" w:eastAsia="Arial" w:hAnsi="Arial"/>
          <w:color w:val="0F172A"/>
          <w:sz w:val="20"/>
          <w:szCs w:val="20"/>
        </w:rPr>
        <w:t xml:space="preserve">Firma de acuerdo de exclusividad territorial (opcional, disponible por $5,000 adicionales en el setup)</w:t>
      </w:r>
    </w:p>
    <w:p>
      <w:pPr>
        <w:pStyle w:val="ListParagraph"/>
        <w:numPr>
          <w:ilvl w:val="0"/>
          <w:numId w:val="2"/>
        </w:numPr>
        <w:spacing w:before="60" w:after="60"/>
      </w:pPr>
      <w:r>
        <w:rPr>
          <w:rFonts w:ascii="Arial" w:cs="Arial" w:eastAsia="Arial" w:hAnsi="Arial"/>
          <w:color w:val="0F172A"/>
          <w:sz w:val="20"/>
          <w:szCs w:val="20"/>
        </w:rPr>
        <w:t xml:space="preserve">Disponibilidad para onboarding intensivo de 30 días con el equipo de OMEGA</w:t>
      </w:r>
    </w:p>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MERCADOS OBJETIVO &amp; ESTRATEGIA DE ENTRADA</w:t>
      </w:r>
    </w:p>
    <w:p>
      <w:pPr>
        <w:spacing w:before="80" w:after="100"/>
      </w:pPr>
      <w:r>
        <w:rPr>
          <w:rFonts w:ascii="Arial" w:cs="Arial" w:eastAsia="Arial" w:hAnsi="Arial"/>
          <w:b w:val="false"/>
          <w:bCs w:val="false"/>
          <w:i w:val="false"/>
          <w:iCs w:val="false"/>
          <w:color w:val="0F172A"/>
          <w:sz w:val="22"/>
          <w:szCs w:val="22"/>
        </w:rPr>
        <w:t xml:space="preserve">OMEGA opera en capas de expansión: dominar PR primero con verticales específicos, expandir al Caribe hispano en Mes 14-18, y entrar al mercado hispano de EE.UU. en Mes 20-24. Los resellers son el canal de expansión regional — cada uno opera en su territorio con la licencia de OMEGA.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160"/>
        <w:gridCol w:w="1200"/>
        <w:gridCol w:w="1000"/>
      </w:tblGrid>
      <w:tr>
        <w:trPr>
          <w:tblHeader/>
        </w:trPr>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Vertical / Mercado</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TAM PR</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TAM Región</w:t>
            </w:r>
          </w:p>
        </w:tc>
        <w:tc>
          <w:tcPr>
            <w:tcW w:type="dxa" w:w="14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Precio Target</w:t>
            </w:r>
          </w:p>
        </w:tc>
        <w:tc>
          <w:tcPr>
            <w:tcW w:type="dxa" w:w="11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Timeline</w:t>
            </w:r>
          </w:p>
        </w:tc>
        <w:tc>
          <w:tcPr>
            <w:tcW w:type="dxa" w:w="1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Canal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Real Estate &amp; Realtors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$14.8M/año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$180M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$389-$780/mes</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Inmediato</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Directo + Reseller 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Construcción &amp; Ferreterías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$18.2M/año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$220M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$259-$520/mes</w:t>
            </w:r>
          </w:p>
        </w:tc>
        <w:tc>
          <w:tcPr>
            <w:tcW w:type="dxa" w:w="1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Inmediato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Directo + Reseller Construcción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Agencias → Resellers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$8.5M/año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$450M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$3,500-$5,000/mes</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Inmediato</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Outreach directo a agencias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Salud &amp; Wellness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$12.4M/año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$140M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$389-$780/mes</w:t>
            </w:r>
          </w:p>
        </w:tc>
        <w:tc>
          <w:tcPr>
            <w:tcW w:type="dxa" w:w="1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4-8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Directo + Reseller Health</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Restaurantes &amp; Food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$9.6M/año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$95M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$259-$389/mes</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6-10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Reseller F&amp;B</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Caribe Hispano (RD, Cuba, Venezuela)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$85M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$259-$780/mes</w:t>
            </w:r>
          </w:p>
        </w:tc>
        <w:tc>
          <w:tcPr>
            <w:tcW w:type="dxa" w:w="1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14-18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Resellers regionales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Hispanos USA (FL, TX, CA, NY)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$380M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$389-$1,950/mes</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20-24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Resellers USA</w:t>
            </w:r>
          </w:p>
        </w:tc>
      </w:tr>
    </w:tbl>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PROYECCIÓN FINANCIERA — 24 MESES</w:t>
      </w:r>
    </w:p>
    <w:p>
      <w:pPr>
        <w:spacing w:before="80" w:after="100"/>
      </w:pPr>
      <w:r>
        <w:rPr>
          <w:rFonts w:ascii="Arial" w:cs="Arial" w:eastAsia="Arial" w:hAnsi="Arial"/>
          <w:b w:val="false"/>
          <w:bCs w:val="false"/>
          <w:i w:val="false"/>
          <w:iCs w:val="false"/>
          <w:color w:val="0F172A"/>
          <w:sz w:val="22"/>
          <w:szCs w:val="22"/>
        </w:rPr>
        <w:t xml:space="preserve">Proyección conservadora basada en los nuevos precios (+30% vs. versión anterior) y el modelo de resellers actualizado. El incremento de precios refleja el valor real del producto y reduce la presión de volumen necesario para alcanzar los targets de revenue.</w:t>
      </w:r>
    </w:p>
    <w:p>
      <w:pPr>
        <w:spacing w:before="80" w:after="0"/>
      </w:pPr>
      <w:r>
        <w:t xml:space="preserve"/>
      </w:r>
    </w:p>
    <w:p>
      <w:pPr>
        <w:pStyle w:val="Heading2"/>
        <w:spacing w:before="360" w:after="160"/>
      </w:pPr>
      <w:r>
        <w:rPr>
          <w:rFonts w:ascii="Arial" w:cs="Arial" w:eastAsia="Arial" w:hAnsi="Arial"/>
          <w:b/>
          <w:bCs/>
          <w:color w:val="0F172A"/>
          <w:sz w:val="32"/>
          <w:szCs w:val="32"/>
        </w:rPr>
        <w:t xml:space="preserve">Supuestos del Modelo v2</w:t>
      </w:r>
    </w:p>
    <w:p>
      <w:pPr>
        <w:pStyle w:val="ListParagraph"/>
        <w:numPr>
          <w:ilvl w:val="0"/>
          <w:numId w:val="2"/>
        </w:numPr>
        <w:spacing w:before="60" w:after="60"/>
      </w:pPr>
      <w:r>
        <w:rPr>
          <w:rFonts w:ascii="Arial" w:cs="Arial" w:eastAsia="Arial" w:hAnsi="Arial"/>
          <w:color w:val="0F172A"/>
          <w:sz w:val="20"/>
          <w:szCs w:val="20"/>
        </w:rPr>
        <w:t xml:space="preserve">ARPU: $335/mes (mix Starter $199 / Pro $389 / Enterprise $1,100 / Resellers $4,200 avg)</w:t>
      </w:r>
    </w:p>
    <w:p>
      <w:pPr>
        <w:pStyle w:val="ListParagraph"/>
        <w:numPr>
          <w:ilvl w:val="0"/>
          <w:numId w:val="2"/>
        </w:numPr>
        <w:spacing w:before="60" w:after="60"/>
      </w:pPr>
      <w:r>
        <w:rPr>
          <w:rFonts w:ascii="Arial" w:cs="Arial" w:eastAsia="Arial" w:hAnsi="Arial"/>
          <w:color w:val="0F172A"/>
          <w:sz w:val="20"/>
          <w:szCs w:val="20"/>
        </w:rPr>
        <w:t xml:space="preserve">Churn: 3.5% Meses 1-6, bajando a 2% Meses 12-24 (precios más altos = clientes más comprometidos)</w:t>
      </w:r>
    </w:p>
    <w:p>
      <w:pPr>
        <w:pStyle w:val="ListParagraph"/>
        <w:numPr>
          <w:ilvl w:val="0"/>
          <w:numId w:val="2"/>
        </w:numPr>
        <w:spacing w:before="60" w:after="60"/>
      </w:pPr>
      <w:r>
        <w:rPr>
          <w:rFonts w:ascii="Arial" w:cs="Arial" w:eastAsia="Arial" w:hAnsi="Arial"/>
          <w:color w:val="0F172A"/>
          <w:sz w:val="20"/>
          <w:szCs w:val="20"/>
        </w:rPr>
        <w:t xml:space="preserve">LTV a 24 meses: $4,850 por cliente — ratio LTV/CAC: 26x (CAC $185)</w:t>
      </w:r>
    </w:p>
    <w:p>
      <w:pPr>
        <w:pStyle w:val="ListParagraph"/>
        <w:numPr>
          <w:ilvl w:val="0"/>
          <w:numId w:val="2"/>
        </w:numPr>
        <w:spacing w:before="60" w:after="60"/>
      </w:pPr>
      <w:r>
        <w:rPr>
          <w:rFonts w:ascii="Arial" w:cs="Arial" w:eastAsia="Arial" w:hAnsi="Arial"/>
          <w:color w:val="0F172A"/>
          <w:sz w:val="20"/>
          <w:szCs w:val="20"/>
        </w:rPr>
        <w:t xml:space="preserve">Revenue por Reseller: OMEGA recibe 30% de su facturación + licencia mensual — ARPU reseller $4,800/mes</w:t>
      </w:r>
    </w:p>
    <w:p>
      <w:pPr>
        <w:pStyle w:val="ListParagraph"/>
        <w:numPr>
          <w:ilvl w:val="0"/>
          <w:numId w:val="2"/>
        </w:numPr>
        <w:spacing w:before="60" w:after="60"/>
      </w:pPr>
      <w:r>
        <w:rPr>
          <w:rFonts w:ascii="Arial" w:cs="Arial" w:eastAsia="Arial" w:hAnsi="Arial"/>
          <w:color w:val="0F172A"/>
          <w:sz w:val="20"/>
          <w:szCs w:val="20"/>
        </w:rPr>
        <w:t xml:space="preserve">Gross Margin: 79-88% (SaaS AI sin costo variable lineal)</w:t>
      </w:r>
    </w:p>
    <w:p>
      <w:pPr>
        <w:spacing w:before="80" w:after="0"/>
      </w:pPr>
      <w:r>
        <w:t xml:space="preserve"/>
      </w:r>
    </w:p>
    <w:p>
      <w:pPr>
        <w:pStyle w:val="Heading2"/>
        <w:spacing w:before="360" w:after="160"/>
      </w:pPr>
      <w:r>
        <w:rPr>
          <w:rFonts w:ascii="Arial" w:cs="Arial" w:eastAsia="Arial" w:hAnsi="Arial"/>
          <w:b/>
          <w:bCs/>
          <w:color w:val="0F172A"/>
          <w:sz w:val="32"/>
          <w:szCs w:val="32"/>
        </w:rPr>
        <w:t xml:space="preserve">Proyección Año 1 —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760"/>
        <w:gridCol w:w="1900"/>
        <w:gridCol w:w="1700"/>
        <w:gridCol w:w="1200"/>
      </w:tblGrid>
      <w:tr>
        <w:trPr>
          <w:tblHeader/>
        </w:trPr>
        <w:tc>
          <w:tcPr>
            <w:tcW w:type="dxa" w:w="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w:t>
            </w:r>
          </w:p>
        </w:tc>
        <w:tc>
          <w:tcPr>
            <w:tcW w:type="dxa" w:w="10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Clientes</w:t>
            </w:r>
          </w:p>
        </w:tc>
        <w:tc>
          <w:tcPr>
            <w:tcW w:type="dxa" w:w="10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Resellers</w:t>
            </w:r>
          </w:p>
        </w:tc>
        <w:tc>
          <w:tcPr>
            <w:tcW w:type="dxa" w:w="17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MRR Base</w:t>
            </w:r>
          </w:p>
        </w:tc>
        <w:tc>
          <w:tcPr>
            <w:tcW w:type="dxa" w:w="19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MRR Resellers</w:t>
            </w:r>
          </w:p>
        </w:tc>
        <w:tc>
          <w:tcPr>
            <w:tcW w:type="dxa" w:w="17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MRR Total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1 (Mar 26)</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$4,020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$4,200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$8,220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$6,030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$5,600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$11,630</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3</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26</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$8,710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$9,800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$18,510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4</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$11,725</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$11,400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$23,125</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5</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47</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$15,745</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$14,800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$30,545</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6</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4</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$20,770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$18,200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$38,970</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7</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$26,800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$22,800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$49,600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$33,500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$27,600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$61,100</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9</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124</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8</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$41,540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$35,200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$76,740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10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152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$50,920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$44,000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$94,920</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Mes 11</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184</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12</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$61,640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$53,400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$115,040</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Mes 12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220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15</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$73,700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$68,000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$141,700</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Proyección Trimestral — Año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760"/>
        <w:gridCol w:w="1600"/>
        <w:gridCol w:w="1800"/>
      </w:tblGrid>
      <w:tr>
        <w:trPr>
          <w:tblHeader/>
        </w:trPr>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Período</w:t>
            </w:r>
          </w:p>
        </w:tc>
        <w:tc>
          <w:tcPr>
            <w:tcW w:type="dxa" w:w="1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Clientes</w:t>
            </w:r>
          </w:p>
        </w:tc>
        <w:tc>
          <w:tcPr>
            <w:tcW w:type="dxa" w:w="1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Resellers</w:t>
            </w:r>
          </w:p>
        </w:tc>
        <w:tc>
          <w:tcPr>
            <w:tcW w:type="dxa" w:w="17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MRR Total</w:t>
            </w:r>
          </w:p>
        </w:tc>
        <w:tc>
          <w:tcPr>
            <w:tcW w:type="dxa" w:w="1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ARR</w:t>
            </w:r>
          </w:p>
        </w:tc>
        <w:tc>
          <w:tcPr>
            <w:tcW w:type="dxa" w:w="1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EBITDA 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Q1 Año 2 (M13-15)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290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20</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$188,000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$2.26M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$94,000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Q2 Año 2 (M16-18)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360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$245,000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$2.94M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$130,000</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Q3 Año 2 (M19-21)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440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40</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$291,000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$3.49M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$163,000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Q4 Año 2 (M22-24)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520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50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$318,000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$3.82M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$182,000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59669"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ARR al Mes 24: $3.82M+ | 520 Clientes | 50 Resellers | EBITDA: $182K/mes</w:t>
            </w:r>
          </w:p>
          <w:p>
            <w:pPr>
              <w:spacing w:before="0" w:after="0"/>
            </w:pPr>
            <w:r>
              <w:rPr>
                <w:rFonts w:ascii="Arial" w:cs="Arial" w:eastAsia="Arial" w:hAnsi="Arial"/>
                <w:i/>
                <w:iCs/>
                <w:color w:val="FFFFFF"/>
                <w:sz w:val="20"/>
                <w:szCs w:val="20"/>
              </w:rPr>
              <w:t xml:space="preserve">Con expansión Caribe activa en Mes 14-18 y resellers regionales operando, el ARR puede superar $5M en el mismo período. Los resellers son el multiplicador de revenue con costo marginal casi cero para OMEGA.</w:t>
            </w:r>
          </w:p>
        </w:tc>
      </w:tr>
    </w:tbl>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PROPUESTAS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80"/>
              <w:left w:type="dxa" w:w="240"/>
              <w:bottom w:type="dxa" w:w="180"/>
              <w:right w:type="dxa" w:w="240"/>
            </w:tcMar>
          </w:tcPr>
          <w:p>
            <w:pPr>
              <w:spacing w:before="0" w:after="80"/>
            </w:pPr>
            <w:r>
              <w:rPr>
                <w:rFonts w:ascii="Arial" w:cs="Arial" w:eastAsia="Arial" w:hAnsi="Arial"/>
                <w:b/>
                <w:bCs/>
                <w:color w:val="FFFFFF"/>
                <w:sz w:val="26"/>
                <w:szCs w:val="26"/>
              </w:rPr>
              <w:t xml:space="preserve">Principio Fundamental: Profit-Sharing, No Dilución</w:t>
            </w:r>
          </w:p>
          <w:p>
            <w:pPr>
              <w:spacing w:before="0" w:after="0"/>
            </w:pPr>
            <w:r>
              <w:rPr>
                <w:rFonts w:ascii="Arial" w:cs="Arial" w:eastAsia="Arial" w:hAnsi="Arial"/>
                <w:i/>
                <w:iCs/>
                <w:color w:val="FFFFFF"/>
                <w:sz w:val="20"/>
                <w:szCs w:val="20"/>
              </w:rPr>
              <w:t xml:space="preserve">OMEGA opera bajo participación en ganancias — el fundador mantiene el 100% del control operativo y estratégico. Los inversionistas participan en el upside financiero real. Máximo 3 inversionistas con músculo financiero sólido, experiencia sectorial comprobada, y comprensión profunda del negocio. No hay excepciones.</w:t>
            </w:r>
          </w:p>
        </w:tc>
      </w:tr>
    </w:tbl>
    <w:p>
      <w:pPr>
        <w:spacing w:before="80" w:after="0"/>
      </w:pPr>
      <w:r>
        <w:t xml:space="preserve"/>
      </w:r>
    </w:p>
    <w:p>
      <w:pPr>
        <w:spacing w:before="80" w:after="100"/>
      </w:pPr>
      <w:r>
        <w:rPr>
          <w:rFonts w:ascii="Arial" w:cs="Arial" w:eastAsia="Arial" w:hAnsi="Arial"/>
          <w:b/>
          <w:bCs/>
          <w:i w:val="false"/>
          <w:iCs w:val="false"/>
          <w:color w:val="0F172A"/>
          <w:sz w:val="22"/>
          <w:szCs w:val="22"/>
        </w:rPr>
        <w:t xml:space="preserve">El inversionista ideal no solo trae capital. Trae red de distribución, credibilidad en el mercado, y experiencia operativa que acelera el crecimiento. El capital sin contexto no entra a OMEGA.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260"/>
              <w:bottom w:type="dxa" w:w="200"/>
              <w:right w:type="dxa" w:w="260"/>
            </w:tcMar>
          </w:tcPr>
          <w:p>
            <w:pPr>
              <w:spacing w:before="0" w:after="60"/>
            </w:pPr>
            <w:r>
              <w:rPr>
                <w:rFonts w:ascii="Arial" w:cs="Arial" w:eastAsia="Arial" w:hAnsi="Arial"/>
                <w:b/>
                <w:bCs/>
                <w:color w:val="D97706"/>
                <w:sz w:val="34"/>
                <w:szCs w:val="34"/>
              </w:rPr>
              <w:t xml:space="preserve">PROPUESTA A — ÁNGEL ESTRATÉGICO</w:t>
            </w:r>
            <w:r>
              <w:rPr>
                <w:rFonts w:ascii="Arial" w:cs="Arial" w:eastAsia="Arial" w:hAnsi="Arial"/>
                <w:i/>
                <w:iCs/>
                <w:color w:val="E2E8F0"/>
                <w:sz w:val="22"/>
                <w:szCs w:val="22"/>
              </w:rPr>
              <w:t xml:space="preserve">  —  Acceso Fundador</w:t>
            </w:r>
          </w:p>
          <w:p>
            <w:pPr>
              <w:spacing w:before="0" w:after="120"/>
            </w:pPr>
            <w:r>
              <w:rPr>
                <w:rFonts w:ascii="Arial" w:cs="Arial" w:eastAsia="Arial" w:hAnsi="Arial"/>
                <w:b/>
                <w:bCs/>
                <w:color w:val="FFFFFF"/>
                <w:sz w:val="22"/>
                <w:szCs w:val="22"/>
              </w:rPr>
              <w:t xml:space="preserve">Inversión Mínima: </w:t>
            </w:r>
            <w:r>
              <w:rPr>
                <w:rFonts w:ascii="Arial" w:cs="Arial" w:eastAsia="Arial" w:hAnsi="Arial"/>
                <w:b/>
                <w:bCs/>
                <w:color w:val="D97706"/>
                <w:sz w:val="22"/>
                <w:szCs w:val="22"/>
              </w:rPr>
              <w:t xml:space="preserve">$75,000 USD</w:t>
            </w:r>
            <w:r>
              <w:rPr>
                <w:rFonts w:ascii="Arial" w:cs="Arial" w:eastAsia="Arial" w:hAnsi="Arial"/>
                <w:b/>
                <w:bCs/>
                <w:color w:val="FFFFFF"/>
                <w:sz w:val="22"/>
                <w:szCs w:val="22"/>
              </w:rPr>
              <w:t xml:space="preserve">   |   Estructura: </w:t>
            </w:r>
            <w:r>
              <w:rPr>
                <w:rFonts w:ascii="Arial" w:cs="Arial" w:eastAsia="Arial" w:hAnsi="Arial"/>
                <w:color w:val="A78BFA"/>
                <w:sz w:val="22"/>
                <w:szCs w:val="22"/>
              </w:rPr>
              <w:t xml:space="preserve">10% Profit-Share anual sobre EBITDA por 5 años + opción de buyout en Año 3</w:t>
            </w:r>
          </w:p>
          <w:p>
            <w:pPr>
              <w:spacing w:before="60" w:after="40"/>
            </w:pPr>
            <w:r>
              <w:rPr>
                <w:rFonts w:ascii="Arial" w:cs="Arial" w:eastAsia="Arial" w:hAnsi="Arial"/>
                <w:b/>
                <w:bCs/>
                <w:color w:val="A78BFA"/>
                <w:sz w:val="18"/>
                <w:szCs w:val="18"/>
              </w:rPr>
              <w:t xml:space="preserve">RETORNOS PROYECTADOS</w:t>
            </w:r>
          </w:p>
          <w:p>
            <w:pPr>
              <w:spacing w:before="0" w:after="80"/>
            </w:pPr>
            <w:r>
              <w:rPr>
                <w:rFonts w:ascii="Arial" w:cs="Arial" w:eastAsia="Arial" w:hAnsi="Arial"/>
                <w:color w:val="FFFFFF"/>
                <w:sz w:val="20"/>
                <w:szCs w:val="20"/>
              </w:rPr>
              <w:t xml:space="preserve">Año 1: $0-$18K (early). Año 2: 10% sobre EBITDA $380K = $38,000. Año 3: 10% sobre $780K = $78,000. Año 4-5: 10% sobre $1.2M-$2M = $120K-$200K/año. Total estimado 5 años: $280K-$380K sobre $75K invertidos = 3.7x-5x ROI.</w:t>
            </w:r>
          </w:p>
          <w:p>
            <w:pPr>
              <w:spacing w:before="60" w:after="40"/>
            </w:pPr>
            <w:r>
              <w:rPr>
                <w:rFonts w:ascii="Arial" w:cs="Arial" w:eastAsia="Arial" w:hAnsi="Arial"/>
                <w:b/>
                <w:bCs/>
                <w:color w:val="A78BFA"/>
                <w:sz w:val="18"/>
                <w:szCs w:val="18"/>
              </w:rPr>
              <w:t xml:space="preserve">PERFIL DEL INVERSIONISTA</w:t>
            </w:r>
          </w:p>
          <w:p>
            <w:pPr>
              <w:spacing w:before="0" w:after="80"/>
            </w:pPr>
            <w:r>
              <w:rPr>
                <w:rFonts w:ascii="Arial" w:cs="Arial" w:eastAsia="Arial" w:hAnsi="Arial"/>
                <w:color w:val="FFFFFF"/>
                <w:sz w:val="20"/>
                <w:szCs w:val="20"/>
              </w:rPr>
              <w:t xml:space="preserve">Emprendedor serial, fundador de agencia, VP de empresa tech, o inversionista ángel con portfolio activo B2B. Experiencia en SaaS, marketing digital, o servicios profesionales. Capacidad de introductions ejecutivas que aceleren las primeras ventas.</w:t>
            </w:r>
          </w:p>
          <w:p>
            <w:pPr>
              <w:spacing w:before="60" w:after="40"/>
            </w:pPr>
            <w:r>
              <w:rPr>
                <w:rFonts w:ascii="Arial" w:cs="Arial" w:eastAsia="Arial" w:hAnsi="Arial"/>
                <w:b/>
                <w:bCs/>
                <w:color w:val="D97706"/>
                <w:sz w:val="18"/>
                <w:szCs w:val="18"/>
              </w:rPr>
              <w:t xml:space="preserve">REQUISITO INDISPENSABLE</w:t>
            </w:r>
          </w:p>
          <w:p>
            <w:pPr>
              <w:spacing w:before="0" w:after="0"/>
            </w:pPr>
            <w:r>
              <w:rPr>
                <w:rFonts w:ascii="Arial" w:cs="Arial" w:eastAsia="Arial" w:hAnsi="Arial"/>
                <w:color w:val="FDE68A"/>
                <w:sz w:val="20"/>
                <w:szCs w:val="20"/>
              </w:rPr>
              <w:t xml:space="preserve">Experiencia comprobada en SaaS o marketing digital. Red que permita cerrar 10+ clientes en los primeros 90 días. Comprende profundamente el modelo de AI agentes y puede ser embajador del producto. Disponibilidad para 1 reunión mensual de estrategia. Capital disponible sin necesidad de financiamiento.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260"/>
              <w:bottom w:type="dxa" w:w="200"/>
              <w:right w:type="dxa" w:w="260"/>
            </w:tcMar>
          </w:tcPr>
          <w:p>
            <w:pPr>
              <w:spacing w:before="0" w:after="60"/>
            </w:pPr>
            <w:r>
              <w:rPr>
                <w:rFonts w:ascii="Arial" w:cs="Arial" w:eastAsia="Arial" w:hAnsi="Arial"/>
                <w:b/>
                <w:bCs/>
                <w:color w:val="D97706"/>
                <w:sz w:val="34"/>
                <w:szCs w:val="34"/>
              </w:rPr>
              <w:t xml:space="preserve">PROPUESTA B — INVERSOR INSTITUCIONAL PRIVADO</w:t>
            </w:r>
            <w:r>
              <w:rPr>
                <w:rFonts w:ascii="Arial" w:cs="Arial" w:eastAsia="Arial" w:hAnsi="Arial"/>
                <w:i/>
                <w:iCs/>
                <w:color w:val="E2E8F0"/>
                <w:sz w:val="22"/>
                <w:szCs w:val="22"/>
              </w:rPr>
              <w:t xml:space="preserve">  —  Socio de Crecimiento</w:t>
            </w:r>
          </w:p>
          <w:p>
            <w:pPr>
              <w:spacing w:before="0" w:after="120"/>
            </w:pPr>
            <w:r>
              <w:rPr>
                <w:rFonts w:ascii="Arial" w:cs="Arial" w:eastAsia="Arial" w:hAnsi="Arial"/>
                <w:b/>
                <w:bCs/>
                <w:color w:val="FFFFFF"/>
                <w:sz w:val="22"/>
                <w:szCs w:val="22"/>
              </w:rPr>
              <w:t xml:space="preserve">Inversión Mínima: </w:t>
            </w:r>
            <w:r>
              <w:rPr>
                <w:rFonts w:ascii="Arial" w:cs="Arial" w:eastAsia="Arial" w:hAnsi="Arial"/>
                <w:b/>
                <w:bCs/>
                <w:color w:val="D97706"/>
                <w:sz w:val="22"/>
                <w:szCs w:val="22"/>
              </w:rPr>
              <w:t xml:space="preserve">$200,000 USD</w:t>
            </w:r>
            <w:r>
              <w:rPr>
                <w:rFonts w:ascii="Arial" w:cs="Arial" w:eastAsia="Arial" w:hAnsi="Arial"/>
                <w:b/>
                <w:bCs/>
                <w:color w:val="FFFFFF"/>
                <w:sz w:val="22"/>
                <w:szCs w:val="22"/>
              </w:rPr>
              <w:t xml:space="preserve">   |   Estructura: </w:t>
            </w:r>
            <w:r>
              <w:rPr>
                <w:rFonts w:ascii="Arial" w:cs="Arial" w:eastAsia="Arial" w:hAnsi="Arial"/>
                <w:color w:val="A78BFA"/>
                <w:sz w:val="22"/>
                <w:szCs w:val="22"/>
              </w:rPr>
              <w:t xml:space="preserve">16% Profit-Share anual sobre EBITDA por 7 años + warrant de 5% equity ejercible solo en evento de liquidez</w:t>
            </w:r>
          </w:p>
          <w:p>
            <w:pPr>
              <w:spacing w:before="60" w:after="40"/>
            </w:pPr>
            <w:r>
              <w:rPr>
                <w:rFonts w:ascii="Arial" w:cs="Arial" w:eastAsia="Arial" w:hAnsi="Arial"/>
                <w:b/>
                <w:bCs/>
                <w:color w:val="A78BFA"/>
                <w:sz w:val="18"/>
                <w:szCs w:val="18"/>
              </w:rPr>
              <w:t xml:space="preserve">RETORNOS PROYECTADOS</w:t>
            </w:r>
          </w:p>
          <w:p>
            <w:pPr>
              <w:spacing w:before="0" w:after="80"/>
            </w:pPr>
            <w:r>
              <w:rPr>
                <w:rFonts w:ascii="Arial" w:cs="Arial" w:eastAsia="Arial" w:hAnsi="Arial"/>
                <w:color w:val="FFFFFF"/>
                <w:sz w:val="20"/>
                <w:szCs w:val="20"/>
              </w:rPr>
              <w:t xml:space="preserve">Año 1: $0-$35K. Año 2: 16% sobre $380K = $60,800. Año 3: 16% sobre $780K = $124,800. Año 4-7 (EBITDA $1.5M-$3M): $240K-$480K/año. Total 7 años (est.): $900K-$1.6M + upside equity en liquidez. ROI base: 4.5x-8x sobre $200K.</w:t>
            </w:r>
          </w:p>
          <w:p>
            <w:pPr>
              <w:spacing w:before="60" w:after="40"/>
            </w:pPr>
            <w:r>
              <w:rPr>
                <w:rFonts w:ascii="Arial" w:cs="Arial" w:eastAsia="Arial" w:hAnsi="Arial"/>
                <w:b/>
                <w:bCs/>
                <w:color w:val="A78BFA"/>
                <w:sz w:val="18"/>
                <w:szCs w:val="18"/>
              </w:rPr>
              <w:t xml:space="preserve">PERFIL DEL INVERSIONISTA</w:t>
            </w:r>
          </w:p>
          <w:p>
            <w:pPr>
              <w:spacing w:before="0" w:after="80"/>
            </w:pPr>
            <w:r>
              <w:rPr>
                <w:rFonts w:ascii="Arial" w:cs="Arial" w:eastAsia="Arial" w:hAnsi="Arial"/>
                <w:color w:val="FFFFFF"/>
                <w:sz w:val="20"/>
                <w:szCs w:val="20"/>
              </w:rPr>
              <w:t xml:space="preserve">Family office, fondo de inversión privado, o grupo de inversionistas con portfolio en tecnología o servicios B2B. Presencia activa en PR, Caribe, o mercado hispano USA. Experiencia en al menos 2 inversiones en startups tech previas. Comprende métricas SaaS (MRR, churn, LTV/CAC).</w:t>
            </w:r>
          </w:p>
          <w:p>
            <w:pPr>
              <w:spacing w:before="60" w:after="40"/>
            </w:pPr>
            <w:r>
              <w:rPr>
                <w:rFonts w:ascii="Arial" w:cs="Arial" w:eastAsia="Arial" w:hAnsi="Arial"/>
                <w:b/>
                <w:bCs/>
                <w:color w:val="D97706"/>
                <w:sz w:val="18"/>
                <w:szCs w:val="18"/>
              </w:rPr>
              <w:t xml:space="preserve">REQUISITO INDISPENSABLE</w:t>
            </w:r>
          </w:p>
          <w:p>
            <w:pPr>
              <w:spacing w:before="0" w:after="0"/>
            </w:pPr>
            <w:r>
              <w:rPr>
                <w:rFonts w:ascii="Arial" w:cs="Arial" w:eastAsia="Arial" w:hAnsi="Arial"/>
                <w:color w:val="FDE68A"/>
                <w:sz w:val="20"/>
                <w:szCs w:val="20"/>
              </w:rPr>
              <w:t xml:space="preserve">Capital bajo gestión &gt; $2M demostrable. Mínimo 2 inversiones previas en tech o SaaS documentadas. Red activa en mercado de PR o Caribe que permita cerrar 1 cliente Enterprise en primeros 6 meses. Comprensión del modelo de AI agentes antes del cierre. Firma de NDA antes de acceso a documentación técnica.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260"/>
              <w:bottom w:type="dxa" w:w="200"/>
              <w:right w:type="dxa" w:w="260"/>
            </w:tcMar>
          </w:tcPr>
          <w:p>
            <w:pPr>
              <w:spacing w:before="0" w:after="60"/>
            </w:pPr>
            <w:r>
              <w:rPr>
                <w:rFonts w:ascii="Arial" w:cs="Arial" w:eastAsia="Arial" w:hAnsi="Arial"/>
                <w:b/>
                <w:bCs/>
                <w:color w:val="D97706"/>
                <w:sz w:val="34"/>
                <w:szCs w:val="34"/>
              </w:rPr>
              <w:t xml:space="preserve">PROPUESTA C — SOCIO ESTRATÉGICO REGIONAL</w:t>
            </w:r>
            <w:r>
              <w:rPr>
                <w:rFonts w:ascii="Arial" w:cs="Arial" w:eastAsia="Arial" w:hAnsi="Arial"/>
                <w:i/>
                <w:iCs/>
                <w:color w:val="E2E8F0"/>
                <w:sz w:val="22"/>
                <w:szCs w:val="22"/>
              </w:rPr>
              <w:t xml:space="preserve">  —  Co-Expansión Caribe &amp; Latam</w:t>
            </w:r>
          </w:p>
          <w:p>
            <w:pPr>
              <w:spacing w:before="0" w:after="120"/>
            </w:pPr>
            <w:r>
              <w:rPr>
                <w:rFonts w:ascii="Arial" w:cs="Arial" w:eastAsia="Arial" w:hAnsi="Arial"/>
                <w:b/>
                <w:bCs/>
                <w:color w:val="FFFFFF"/>
                <w:sz w:val="22"/>
                <w:szCs w:val="22"/>
              </w:rPr>
              <w:t xml:space="preserve">Inversión Mínima: </w:t>
            </w:r>
            <w:r>
              <w:rPr>
                <w:rFonts w:ascii="Arial" w:cs="Arial" w:eastAsia="Arial" w:hAnsi="Arial"/>
                <w:b/>
                <w:bCs/>
                <w:color w:val="D97706"/>
                <w:sz w:val="22"/>
                <w:szCs w:val="22"/>
              </w:rPr>
              <w:t xml:space="preserve">$400,000 USD</w:t>
            </w:r>
            <w:r>
              <w:rPr>
                <w:rFonts w:ascii="Arial" w:cs="Arial" w:eastAsia="Arial" w:hAnsi="Arial"/>
                <w:b/>
                <w:bCs/>
                <w:color w:val="FFFFFF"/>
                <w:sz w:val="22"/>
                <w:szCs w:val="22"/>
              </w:rPr>
              <w:t xml:space="preserve">   |   Estructura: </w:t>
            </w:r>
            <w:r>
              <w:rPr>
                <w:rFonts w:ascii="Arial" w:cs="Arial" w:eastAsia="Arial" w:hAnsi="Arial"/>
                <w:color w:val="A78BFA"/>
                <w:sz w:val="22"/>
                <w:szCs w:val="22"/>
              </w:rPr>
              <w:t xml:space="preserve">20% Profit-Share anual sobre EBITDA por 10 años + 7% equity preferencial sin dilución en rondas futuras + advisory seat (voz sin voto)</w:t>
            </w:r>
          </w:p>
          <w:p>
            <w:pPr>
              <w:spacing w:before="60" w:after="40"/>
            </w:pPr>
            <w:r>
              <w:rPr>
                <w:rFonts w:ascii="Arial" w:cs="Arial" w:eastAsia="Arial" w:hAnsi="Arial"/>
                <w:b/>
                <w:bCs/>
                <w:color w:val="A78BFA"/>
                <w:sz w:val="18"/>
                <w:szCs w:val="18"/>
              </w:rPr>
              <w:t xml:space="preserve">RETORNOS PROYECTADOS</w:t>
            </w:r>
          </w:p>
          <w:p>
            <w:pPr>
              <w:spacing w:before="0" w:after="80"/>
            </w:pPr>
            <w:r>
              <w:rPr>
                <w:rFonts w:ascii="Arial" w:cs="Arial" w:eastAsia="Arial" w:hAnsi="Arial"/>
                <w:color w:val="FFFFFF"/>
                <w:sz w:val="20"/>
                <w:szCs w:val="20"/>
              </w:rPr>
              <w:t xml:space="preserve">Año 1-2: $0-$76K (inversión en crecimiento). Año 3: 20% sobre $780K = $156,000. Año 4-6 (EBITDA $1.5M-$3.5M): $300K-$700K/año. Año 7-10 (EBITDA proyectado $4M-$8M): $800K-$1.6M/año. Total 10 años: $4M-$9M + upside equity. ROI base: 10x-22x sobre $400K.</w:t>
            </w:r>
          </w:p>
          <w:p>
            <w:pPr>
              <w:spacing w:before="60" w:after="40"/>
            </w:pPr>
            <w:r>
              <w:rPr>
                <w:rFonts w:ascii="Arial" w:cs="Arial" w:eastAsia="Arial" w:hAnsi="Arial"/>
                <w:b/>
                <w:bCs/>
                <w:color w:val="A78BFA"/>
                <w:sz w:val="18"/>
                <w:szCs w:val="18"/>
              </w:rPr>
              <w:t xml:space="preserve">PERFIL DEL INVERSIONISTA</w:t>
            </w:r>
          </w:p>
          <w:p>
            <w:pPr>
              <w:spacing w:before="0" w:after="80"/>
            </w:pPr>
            <w:r>
              <w:rPr>
                <w:rFonts w:ascii="Arial" w:cs="Arial" w:eastAsia="Arial" w:hAnsi="Arial"/>
                <w:color w:val="FFFFFF"/>
                <w:sz w:val="20"/>
                <w:szCs w:val="20"/>
              </w:rPr>
              <w:t xml:space="preserve">Conglomerado regional, fondo de PE con foco Latam, empresa de servicios B2B (telecomunicaciones, banca, medios digitales) con red de distribución en múltiples países. Ve en OMEGA el vehículo de expansión digital para sus mercados actuales. Capital y reputación institucional.</w:t>
            </w:r>
          </w:p>
          <w:p>
            <w:pPr>
              <w:spacing w:before="60" w:after="40"/>
            </w:pPr>
            <w:r>
              <w:rPr>
                <w:rFonts w:ascii="Arial" w:cs="Arial" w:eastAsia="Arial" w:hAnsi="Arial"/>
                <w:b/>
                <w:bCs/>
                <w:color w:val="D97706"/>
                <w:sz w:val="18"/>
                <w:szCs w:val="18"/>
              </w:rPr>
              <w:t xml:space="preserve">REQUISITO INDISPENSABLE</w:t>
            </w:r>
          </w:p>
          <w:p>
            <w:pPr>
              <w:spacing w:before="0" w:after="0"/>
            </w:pPr>
            <w:r>
              <w:rPr>
                <w:rFonts w:ascii="Arial" w:cs="Arial" w:eastAsia="Arial" w:hAnsi="Arial"/>
                <w:color w:val="FDE68A"/>
                <w:sz w:val="20"/>
                <w:szCs w:val="20"/>
              </w:rPr>
              <w:t xml:space="preserve">Activos &gt; $10M o revenue &gt; $5M/año demostrable. Presencia operativa en mínimo 3 países del Caribe o Latam. Red ejecutiva para cerrar 3+ contratos enterprise en primeros 12 meses. Entendimiento del mercado hispanohablante B2B. Acuerdo de no competencia por 5 años post-inversión. Capital disponible sin necesidad de deuda. Disposición a ser referente público del producto en su mercado.</w:t>
            </w:r>
          </w:p>
        </w:tc>
      </w:tr>
    </w:tbl>
    <w:p>
      <w:pPr>
        <w:spacing w:before="80" w:after="0"/>
      </w:pPr>
      <w:r>
        <w:t xml:space="preserve"/>
      </w:r>
    </w:p>
    <w:p>
      <w:pPr>
        <w:pStyle w:val="Heading2"/>
        <w:spacing w:before="360" w:after="160"/>
      </w:pPr>
      <w:r>
        <w:rPr>
          <w:rFonts w:ascii="Arial" w:cs="Arial" w:eastAsia="Arial" w:hAnsi="Arial"/>
          <w:b/>
          <w:bCs/>
          <w:color w:val="0F172A"/>
          <w:sz w:val="32"/>
          <w:szCs w:val="32"/>
        </w:rPr>
        <w:t xml:space="preserve">Términos Comunes — Las 3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Término</w:t>
            </w:r>
          </w:p>
        </w:tc>
        <w:tc>
          <w:tcPr>
            <w:tcW w:type="dxa" w:w="65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Condición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Control operativo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100% Ibrain. Inversionistas sin voto en decisiones de producto, precios, ni estrategia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Transparencia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Dashboard OMEGA Command Center (acceso lectura) + reporte financiero mensual + llamada trimestral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Protección del inversionista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Cláusula de información completa. Deuda &gt; $100K requiere notificación previa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Lock-up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24 meses mínimo antes de transferir posición a terceros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Due Diligence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Acceso a código, métricas, contratos y arquitectura técnica — posterior a firma de NDA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Cierre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90 días máximo desde carta de intención. Fondos en escrow, liberados al alcanzar 20 clientes pagando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Exclusividad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 inversionistas máximo. Cupo llenado = programa cerrado. Sin excepciones</w:t>
            </w:r>
          </w:p>
        </w:tc>
      </w:tr>
    </w:tbl>
    <w:p>
      <w:pPr>
        <w:spacing w:before="80" w:after="0"/>
      </w:pPr>
      <w:r>
        <w:t xml:space="preserve"/>
      </w:r>
    </w:p>
    <w:p>
      <w:r>
        <w:br w:type="page"/>
      </w:r>
    </w:p>
    <w:p>
      <w:pPr>
        <w:pStyle w:val="Heading1"/>
        <w:pBdr>
          <w:bottom w:val="single" w:color="7C3AED" w:sz="6" w:space="6"/>
        </w:pBdr>
        <w:spacing w:before="480" w:after="200"/>
      </w:pPr>
      <w:r>
        <w:rPr>
          <w:rFonts w:ascii="Arial" w:cs="Arial" w:eastAsia="Arial" w:hAnsi="Arial"/>
          <w:b/>
          <w:bCs/>
          <w:color w:val="0F172A"/>
          <w:sz w:val="44"/>
          <w:szCs w:val="44"/>
        </w:rPr>
        <w:t xml:space="preserve">VENTAJAS COMPETITIVAS &amp; MOAT</w:t>
      </w:r>
    </w:p>
    <w:p>
      <w:pPr>
        <w:pStyle w:val="Heading3"/>
        <w:spacing w:before="280" w:after="120"/>
      </w:pPr>
      <w:r>
        <w:rPr>
          <w:rFonts w:ascii="Arial" w:cs="Arial" w:eastAsia="Arial" w:hAnsi="Arial"/>
          <w:b/>
          <w:bCs/>
          <w:color w:val="7C3AED"/>
          <w:sz w:val="26"/>
          <w:szCs w:val="26"/>
        </w:rPr>
        <w:t xml:space="preserve">1. La Organización AI es el Foso Infranqueable</w:t>
      </w:r>
    </w:p>
    <w:p>
      <w:pPr>
        <w:spacing w:before="80" w:after="100"/>
      </w:pPr>
      <w:r>
        <w:rPr>
          <w:rFonts w:ascii="Arial" w:cs="Arial" w:eastAsia="Arial" w:hAnsi="Arial"/>
          <w:b w:val="false"/>
          <w:bCs w:val="false"/>
          <w:i w:val="false"/>
          <w:iCs w:val="false"/>
          <w:color w:val="0F172A"/>
          <w:sz w:val="22"/>
          <w:szCs w:val="22"/>
        </w:rPr>
        <w:t xml:space="preserve">Ninguna plataforma SaaS de marketing tiene una empresa interna de 100 agentes con memoria, jerarquía, y crecimiento autónomo. Hootsuite y Buffer son schedulers glorificados. OMEGA es una agencia que corre sobre software. Replicar esto requiere 18-24 meses de arquitectura y refinamiento — OMEGA ya lo tiene.</w:t>
      </w:r>
    </w:p>
    <w:p>
      <w:pPr>
        <w:spacing w:before="80" w:after="0"/>
      </w:pPr>
      <w:r>
        <w:t xml:space="preserve"/>
      </w:r>
    </w:p>
    <w:p>
      <w:pPr>
        <w:pStyle w:val="Heading3"/>
        <w:spacing w:before="280" w:after="120"/>
      </w:pPr>
      <w:r>
        <w:rPr>
          <w:rFonts w:ascii="Arial" w:cs="Arial" w:eastAsia="Arial" w:hAnsi="Arial"/>
          <w:b/>
          <w:bCs/>
          <w:color w:val="7C3AED"/>
          <w:sz w:val="26"/>
          <w:szCs w:val="26"/>
        </w:rPr>
        <w:t xml:space="preserve">2. Los Verticales son Barreras Locales Incopiables</w:t>
      </w:r>
    </w:p>
    <w:p>
      <w:pPr>
        <w:spacing w:before="80" w:after="100"/>
      </w:pPr>
      <w:r>
        <w:rPr>
          <w:rFonts w:ascii="Arial" w:cs="Arial" w:eastAsia="Arial" w:hAnsi="Arial"/>
          <w:b w:val="false"/>
          <w:bCs w:val="false"/>
          <w:i w:val="false"/>
          <w:iCs w:val="false"/>
          <w:color w:val="0F172A"/>
          <w:sz w:val="22"/>
          <w:szCs w:val="22"/>
        </w:rPr>
        <w:t xml:space="preserve">Milagrosa (Real Estate PR), WUDI (Construcción PR), y Health Flow tienen contexto profundo de industria local codificado en la memoria de sus agentes. Un competidor internacional no puede replicar el conocimiento de ferreterías en Bayamón o del ciclo de ventas de realtors en PR sin años de operación local.</w:t>
      </w:r>
    </w:p>
    <w:p>
      <w:pPr>
        <w:spacing w:before="80" w:after="0"/>
      </w:pPr>
      <w:r>
        <w:t xml:space="preserve"/>
      </w:r>
    </w:p>
    <w:p>
      <w:pPr>
        <w:pStyle w:val="Heading3"/>
        <w:spacing w:before="280" w:after="120"/>
      </w:pPr>
      <w:r>
        <w:rPr>
          <w:rFonts w:ascii="Arial" w:cs="Arial" w:eastAsia="Arial" w:hAnsi="Arial"/>
          <w:b/>
          <w:bCs/>
          <w:color w:val="7C3AED"/>
          <w:sz w:val="26"/>
          <w:szCs w:val="26"/>
        </w:rPr>
        <w:t xml:space="preserve">3. La Memoria Organizacional Crece Exponencialmente</w:t>
      </w:r>
    </w:p>
    <w:p>
      <w:pPr>
        <w:spacing w:before="80" w:after="100"/>
      </w:pPr>
      <w:r>
        <w:rPr>
          <w:rFonts w:ascii="Arial" w:cs="Arial" w:eastAsia="Arial" w:hAnsi="Arial"/>
          <w:b w:val="false"/>
          <w:bCs w:val="false"/>
          <w:i w:val="false"/>
          <w:iCs w:val="false"/>
          <w:color w:val="0F172A"/>
          <w:sz w:val="22"/>
          <w:szCs w:val="22"/>
        </w:rPr>
        <w:t xml:space="preserve">Cada cliente, cada error resuelto, y cada oportunidad de ORACLE se almacena en la memoria de OMEGA. En 24 meses, OMEGA tendrá un corpus de conocimiento de marketing regional que ningún competidor puede comprar ni replicar sin ese tiempo de operación.</w:t>
      </w:r>
    </w:p>
    <w:p>
      <w:pPr>
        <w:spacing w:before="80" w:after="0"/>
      </w:pPr>
      <w:r>
        <w:t xml:space="preserve"/>
      </w:r>
    </w:p>
    <w:p>
      <w:pPr>
        <w:pStyle w:val="Heading3"/>
        <w:spacing w:before="280" w:after="120"/>
      </w:pPr>
      <w:r>
        <w:rPr>
          <w:rFonts w:ascii="Arial" w:cs="Arial" w:eastAsia="Arial" w:hAnsi="Arial"/>
          <w:b/>
          <w:bCs/>
          <w:color w:val="7C3AED"/>
          <w:sz w:val="26"/>
          <w:szCs w:val="26"/>
        </w:rPr>
        <w:t xml:space="preserve">4. El Canal Reseller es Apalancamiento Puro</w:t>
      </w:r>
    </w:p>
    <w:p>
      <w:pPr>
        <w:spacing w:before="80" w:after="100"/>
      </w:pPr>
      <w:r>
        <w:rPr>
          <w:rFonts w:ascii="Arial" w:cs="Arial" w:eastAsia="Arial" w:hAnsi="Arial"/>
          <w:b w:val="false"/>
          <w:bCs w:val="false"/>
          <w:i w:val="false"/>
          <w:iCs w:val="false"/>
          <w:color w:val="0F172A"/>
          <w:sz w:val="22"/>
          <w:szCs w:val="22"/>
        </w:rPr>
        <w:t xml:space="preserve">50 resellers activos en Mes 24 generan $240,000/mes en licencias + comisiones, con costo marginal casi cero. El crecimiento vía canal no requiere más equipo de ventas directo de OMEGA — requiere un producto excelente y el sistema de SOPHIA para onboarding.</w:t>
      </w:r>
    </w:p>
    <w:p>
      <w:pPr>
        <w:spacing w:before="80" w:after="0"/>
      </w:pPr>
      <w:r>
        <w:t xml:space="preserve"/>
      </w:r>
    </w:p>
    <w:p>
      <w:pPr>
        <w:pStyle w:val="Heading1"/>
        <w:pBdr>
          <w:bottom w:val="single" w:color="7C3AED" w:sz="6" w:space="6"/>
        </w:pBdr>
        <w:spacing w:before="480" w:after="200"/>
      </w:pPr>
      <w:r>
        <w:rPr>
          <w:rFonts w:ascii="Arial" w:cs="Arial" w:eastAsia="Arial" w:hAnsi="Arial"/>
          <w:b/>
          <w:bCs/>
          <w:color w:val="0F172A"/>
          <w:sz w:val="44"/>
          <w:szCs w:val="44"/>
        </w:rPr>
        <w:t xml:space="preserve">RIESGOS &amp;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Riesgo</w:t>
            </w:r>
          </w:p>
        </w:tc>
        <w:tc>
          <w:tcPr>
            <w:tcW w:type="dxa" w:w="12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Probabilidad</w:t>
            </w:r>
          </w:p>
        </w:tc>
        <w:tc>
          <w:tcPr>
            <w:tcW w:type="dxa" w:w="59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Mitigación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Cambio en APIs de LLMs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Media</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Multi-LLM routing ya implementado. Sin dependencia de un solo proveedor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Competidor internacional entra a PR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Baja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Verticales locales + memoria organizacional son barreras estructurales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Churn alto en early stage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Media</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ANCHOR y REX tienen protocolos de retención. Precios más altos = menor churn esperado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Reseller no cumple objetivos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Media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Cláusula de continuidad: OMEGA toma clientes directamente si reseller no paga 90 días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Dependencia del fundador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Media</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Sistema AI operativo + documentación técnica completa reduce dependencia significativamente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Regulación de AI en marketing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Baja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Cliente revisa y aprueba todo el contenido generado. Sin riesgo regulatorio directo</w:t>
            </w:r>
          </w:p>
        </w:tc>
      </w:tr>
    </w:tbl>
    <w:p>
      <w:pPr>
        <w:spacing w:before="80" w:after="0"/>
      </w:pPr>
      <w:r>
        <w:t xml:space="preserve"/>
      </w:r>
    </w:p>
    <w:p>
      <w:pPr>
        <w:pStyle w:val="Heading1"/>
        <w:pBdr>
          <w:bottom w:val="single" w:color="7C3AED" w:sz="6" w:space="6"/>
        </w:pBdr>
        <w:spacing w:before="480" w:after="200"/>
      </w:pPr>
      <w:r>
        <w:rPr>
          <w:rFonts w:ascii="Arial" w:cs="Arial" w:eastAsia="Arial" w:hAnsi="Arial"/>
          <w:b/>
          <w:bCs/>
          <w:color w:val="0F172A"/>
          <w:sz w:val="44"/>
          <w:szCs w:val="44"/>
        </w:rPr>
        <w:t xml:space="preserve">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7C3AED"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Paso 1</w:t>
            </w:r>
          </w:p>
        </w:tc>
        <w:tc>
          <w:tcPr>
            <w:tcW w:type="dxa" w:w="8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0F172A"/>
                <w:sz w:val="20"/>
                <w:szCs w:val="20"/>
              </w:rPr>
              <w:t xml:space="preserve">Firma de NDA — Acceso a documentación técnica, código, métricas reales, y arquitectura de los 7 departamentos AI.</w:t>
            </w:r>
          </w:p>
        </w:tc>
      </w:tr>
      <w:tr>
        <w:tc>
          <w:tcPr>
            <w:tcW w:type="dxa" w:w="1200"/>
            <w:tcBorders>
              <w:top w:val="single" w:color="CBD5E1" w:sz="1"/>
              <w:left w:val="single" w:color="CBD5E1" w:sz="1"/>
              <w:bottom w:val="single" w:color="CBD5E1" w:sz="1"/>
              <w:right w:val="single" w:color="CBD5E1" w:sz="1"/>
            </w:tcBorders>
            <w:shd w:fill="7C3AED"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Paso 2</w:t>
            </w:r>
          </w:p>
        </w:tc>
        <w:tc>
          <w:tcPr>
            <w:tcW w:type="dxa" w:w="8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0F172A"/>
                <w:sz w:val="20"/>
                <w:szCs w:val="20"/>
              </w:rPr>
              <w:t xml:space="preserve">Demo en vivo del OMEGA Command Center — los 7 departamentos AI operando, pipeline de clientes, y sistema de agentes add-on.</w:t>
            </w:r>
          </w:p>
        </w:tc>
      </w:tr>
      <w:tr>
        <w:tc>
          <w:tcPr>
            <w:tcW w:type="dxa" w:w="1200"/>
            <w:tcBorders>
              <w:top w:val="single" w:color="CBD5E1" w:sz="1"/>
              <w:left w:val="single" w:color="CBD5E1" w:sz="1"/>
              <w:bottom w:val="single" w:color="CBD5E1" w:sz="1"/>
              <w:right w:val="single" w:color="CBD5E1" w:sz="1"/>
            </w:tcBorders>
            <w:shd w:fill="7C3AED"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Paso 3</w:t>
            </w:r>
          </w:p>
        </w:tc>
        <w:tc>
          <w:tcPr>
            <w:tcW w:type="dxa" w:w="8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0F172A"/>
                <w:sz w:val="20"/>
                <w:szCs w:val="20"/>
              </w:rPr>
              <w:t xml:space="preserve">Due Diligence técnico y financiero — 15 días. El inversionista puede traer su equipo legal y técnico sin restricciones.</w:t>
            </w:r>
          </w:p>
        </w:tc>
      </w:tr>
      <w:tr>
        <w:tc>
          <w:tcPr>
            <w:tcW w:type="dxa" w:w="1200"/>
            <w:tcBorders>
              <w:top w:val="single" w:color="CBD5E1" w:sz="1"/>
              <w:left w:val="single" w:color="CBD5E1" w:sz="1"/>
              <w:bottom w:val="single" w:color="CBD5E1" w:sz="1"/>
              <w:right w:val="single" w:color="CBD5E1" w:sz="1"/>
            </w:tcBorders>
            <w:shd w:fill="7C3AED"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Paso 4</w:t>
            </w:r>
          </w:p>
        </w:tc>
        <w:tc>
          <w:tcPr>
            <w:tcW w:type="dxa" w:w="8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0F172A"/>
                <w:sz w:val="20"/>
                <w:szCs w:val="20"/>
              </w:rPr>
              <w:t xml:space="preserve">Carta de Intención (LOI) + revisión legal de documentos de Profit-Sharing. Acuerdo de términos antes del cierre.</w:t>
            </w:r>
          </w:p>
        </w:tc>
      </w:tr>
      <w:tr>
        <w:tc>
          <w:tcPr>
            <w:tcW w:type="dxa" w:w="1200"/>
            <w:tcBorders>
              <w:top w:val="single" w:color="CBD5E1" w:sz="1"/>
              <w:left w:val="single" w:color="CBD5E1" w:sz="1"/>
              <w:bottom w:val="single" w:color="CBD5E1" w:sz="1"/>
              <w:right w:val="single" w:color="CBD5E1" w:sz="1"/>
            </w:tcBorders>
            <w:shd w:fill="05966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CIERRE</w:t>
            </w:r>
          </w:p>
        </w:tc>
        <w:tc>
          <w:tcPr>
            <w:tcW w:type="dxa" w:w="8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0F172A"/>
                <w:sz w:val="20"/>
                <w:szCs w:val="20"/>
              </w:rPr>
              <w:t xml:space="preserve">Fondos en escrow. Liberación contra milestone: 20 clientes pagando activos. Incorporación al reporting desde Día 1. Acceso al Command Center desde el cierre.</w:t>
            </w:r>
          </w:p>
        </w:tc>
      </w:tr>
    </w:tbl>
    <w:p>
      <w:pPr>
        <w:spacing w:before="160" w:after="0"/>
      </w:pPr>
      <w:r>
        <w:t xml:space="preserve"/>
      </w:r>
    </w:p>
    <w:p>
      <w:pPr>
        <w:pBdr>
          <w:bottom w:val="single" w:color="D97706" w:sz="2" w:space="1"/>
        </w:pBdr>
        <w:spacing w:before="160" w:after="160"/>
      </w:pPr>
      <w:r>
        <w:t xml:space="preserve"/>
      </w:r>
    </w:p>
    <w:p>
      <w:pPr>
        <w:spacing w:before="80" w:after="0"/>
      </w:pPr>
      <w:r>
        <w:t xml:space="preserve"/>
      </w:r>
    </w:p>
    <w:p>
      <w:pPr>
        <w:spacing w:before="120" w:after="80"/>
        <w:jc w:val="center"/>
      </w:pPr>
      <w:r>
        <w:rPr>
          <w:rFonts w:ascii="Arial" w:cs="Arial" w:eastAsia="Arial" w:hAnsi="Arial"/>
          <w:b/>
          <w:bCs/>
          <w:i/>
          <w:iCs/>
          <w:color w:val="7C3AED"/>
          <w:sz w:val="28"/>
          <w:szCs w:val="28"/>
        </w:rPr>
        <w:t xml:space="preserve">OMEGA — La empresa de marketing AI que se construye a sí misma.</w:t>
      </w:r>
    </w:p>
    <w:p>
      <w:pPr>
        <w:spacing w:before="0" w:after="80"/>
        <w:jc w:val="center"/>
      </w:pPr>
      <w:r>
        <w:rPr>
          <w:rFonts w:ascii="Arial" w:cs="Arial" w:eastAsia="Arial" w:hAnsi="Arial"/>
          <w:i/>
          <w:iCs/>
          <w:color w:val="0F172A"/>
          <w:sz w:val="22"/>
          <w:szCs w:val="22"/>
        </w:rPr>
        <w:t xml:space="preserve">Puerto Rico → Caribe → Latam → El mundo hispanohablante.</w:t>
      </w:r>
    </w:p>
    <w:p>
      <w:pPr>
        <w:spacing w:before="80" w:after="80"/>
        <w:jc w:val="center"/>
      </w:pPr>
      <w:r>
        <w:rPr>
          <w:rFonts w:ascii="Arial" w:cs="Arial" w:eastAsia="Arial" w:hAnsi="Arial"/>
          <w:i/>
          <w:iCs/>
          <w:color w:val="64748B"/>
          <w:sz w:val="20"/>
          <w:szCs w:val="20"/>
        </w:rPr>
        <w:t xml:space="preserve">"Precision Over Velocity 🐢💎 — No velocity, only precision."</w:t>
      </w:r>
    </w:p>
    <w:p>
      <w:pPr>
        <w:spacing w:before="80" w:after="0"/>
      </w:pPr>
      <w:r>
        <w:t xml:space="preserve"/>
      </w:r>
    </w:p>
    <w:p>
      <w:pPr>
        <w:jc w:val="center"/>
      </w:pPr>
      <w:r>
        <w:rPr>
          <w:rFonts w:ascii="Arial" w:cs="Arial" w:eastAsia="Arial" w:hAnsi="Arial"/>
          <w:color w:val="64748B"/>
          <w:sz w:val="18"/>
          <w:szCs w:val="18"/>
        </w:rPr>
        <w:t xml:space="preserve">Ibrain | ibrain@r-omega.agency | r-omega.agency | Puerto Rico, USA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pPr>
    <w:r>
      <w:t xml:space="preserve"/>
    </w:r>
  </w:p>
  <w:p>
    <w:r>
      <w:rPr>
        <w:rFonts w:ascii="Arial" w:cs="Arial" w:eastAsia="Arial" w:hAnsi="Arial"/>
        <w:color w:val="64748B"/>
        <w:sz w:val="16"/>
        <w:szCs w:val="16"/>
      </w:rPr>
      <w:t xml:space="preserve">© 2026 OMEGA (Raisen Omega) | Puerto Rico | Confidencial — Solo Inversionistas Calificados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Arial" w:cs="Arial" w:eastAsia="Arial" w:hAnsi="Arial"/>
              <w:b/>
              <w:bCs/>
              <w:color w:val="7C3AED"/>
              <w:sz w:val="18"/>
              <w:szCs w:val="18"/>
            </w:rPr>
            <w:t xml:space="preserve">OMEGA — PROPUESTA COMERCIAL &amp; DE INVERSIÓN v2.0</w:t>
          </w:r>
        </w:p>
      </w:tc>
      <w:tc>
        <w:tcPr>
          <w:tcW w:type="dxa" w:w="386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CONFIDENCIAL | Febrero 2026</w:t>
          </w:r>
        </w:p>
      </w:tc>
    </w:tr>
  </w:tbl>
  <w:p>
    <w:pPr>
      <w:pBdr>
        <w:bottom w:val="single" w:color="7C3AED" w:sz="2"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0F172A"/>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2026-02-18T20:05:35.250Z</dcterms:created>
  <dcterms:modified xsi:type="dcterms:W3CDTF">2026-02-18T20:05:35.252Z</dcterms:modified>
</cp:coreProperties>
</file>

<file path=docProps/custom.xml><?xml version="1.0" encoding="utf-8"?>
<Properties xmlns="http://schemas.openxmlformats.org/officeDocument/2006/custom-properties" xmlns:vt="http://schemas.openxmlformats.org/officeDocument/2006/docPropsVTypes"/>
</file>