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40"/>
      </w:pPr>
      <w:r>
        <w:rPr>
          <w:rFonts w:ascii="Calibri" w:cs="Calibri" w:eastAsia="Calibri" w:hAnsi="Calibri"/>
          <w:b/>
          <w:bCs/>
          <w:color w:val="1F3864"/>
          <w:sz w:val="20"/>
          <w:szCs w:val="20"/>
        </w:rPr>
        <w:t xml:space="preserve">UNIDAD NACIONAL PARA LA GESTIÓN DEL RIESGO DE DESASTRES — UNGRD</w:t>
      </w:r>
    </w:p>
    <w:p>
      <w:pPr>
        <w:spacing w:after="20" w:before="0" w:line="276"/>
      </w:pPr>
      <w:r>
        <w:rPr>
          <w:rFonts w:ascii="Calibri" w:cs="Calibri" w:eastAsia="Calibri" w:hAnsi="Calibri"/>
          <w:color w:val="595959"/>
          <w:sz w:val="20"/>
          <w:szCs w:val="20"/>
        </w:rPr>
        <w:t xml:space="preserve">Subdirección para el Conocimiento del Riesgo (SCR)</w:t>
      </w:r>
    </w:p>
    <w:p>
      <w:pPr>
        <w:spacing w:after="600" w:before="0" w:line="276"/>
      </w:pPr>
      <w:r>
        <w:rPr>
          <w:rFonts w:ascii="Calibri" w:cs="Calibri" w:eastAsia="Calibri" w:hAnsi="Calibri"/>
          <w:color w:val="595959"/>
          <w:sz w:val="18"/>
          <w:szCs w:val="18"/>
        </w:rPr>
        <w:t xml:space="preserve">República de Colombia</w:t>
      </w:r>
    </w:p>
    <w:p>
      <w:pPr>
        <w:spacing w:after="60" w:before="0" w:line="276"/>
        <w:jc w:val="center"/>
      </w:pPr>
      <w:r>
        <w:rPr>
          <w:rFonts w:ascii="Calibri" w:cs="Calibri" w:eastAsia="Calibri" w:hAnsi="Calibri"/>
          <w:b/>
          <w:bCs/>
          <w:color w:val="1F3864"/>
          <w:sz w:val="52"/>
          <w:szCs w:val="52"/>
        </w:rPr>
        <w:t xml:space="preserve">MEMORIA TÉCNICA</w:t>
      </w:r>
    </w:p>
    <w:p>
      <w:pPr>
        <w:spacing w:after="120" w:before="0" w:line="276"/>
        <w:jc w:val="center"/>
      </w:pPr>
      <w:r>
        <w:rPr>
          <w:rFonts w:ascii="Calibri" w:cs="Calibri" w:eastAsia="Calibri" w:hAnsi="Calibri"/>
          <w:b/>
          <w:bCs/>
          <w:sz w:val="30"/>
          <w:szCs w:val="30"/>
        </w:rPr>
        <w:t xml:space="preserve">Visita técnica de reconocimiento a volcanes de lodo (diapirismo de lodo) reactivados en el Golfo de Urabá</w:t>
      </w:r>
    </w:p>
    <w:p>
      <w:pPr>
        <w:spacing w:after="60" w:before="0" w:line="276"/>
        <w:jc w:val="center"/>
      </w:pPr>
      <w:r>
        <w:rPr>
          <w:rFonts w:ascii="Calibri" w:cs="Calibri" w:eastAsia="Calibri" w:hAnsi="Calibri"/>
          <w:color w:val="595959"/>
          <w:sz w:val="24"/>
          <w:szCs w:val="24"/>
        </w:rPr>
        <w:t xml:space="preserve">Volcán Puerto López (Turbo) y El Volcán (Necoclí), departamento de Antioquia</w:t>
      </w:r>
    </w:p>
    <w:p>
      <w:pPr>
        <w:spacing w:after="500" w:before="0" w:line="276"/>
        <w:jc w:val="center"/>
      </w:pPr>
      <w:r>
        <w:rPr>
          <w:rFonts w:ascii="Calibri" w:cs="Calibri" w:eastAsia="Calibri" w:hAnsi="Calibri"/>
          <w:i/>
          <w:iCs/>
          <w:color w:val="C45911"/>
          <w:sz w:val="22"/>
          <w:szCs w:val="22"/>
        </w:rPr>
        <w:t xml:space="preserve">Evento detonante asociado: sismo de Panamá del 9 de octubre de 2026</w:t>
      </w:r>
    </w:p>
    <w:tbl>
      <w:tblPr>
        <w:tblW w:type="dxa" w:w="8600"/>
        <w:jc w:val="center"/>
        <w:tblBorders>
          <w:top w:val="single" w:color="BFBFBF" w:sz="6"/>
          <w:left w:val="single" w:color="BFBFBF" w:sz="6"/>
          <w:bottom w:val="single" w:color="BFBFBF" w:sz="6"/>
          <w:right w:val="single" w:color="BFBFBF" w:sz="6"/>
          <w:insideH w:val="single" w:color="BFBFBF" w:sz="6"/>
          <w:insideV w:val="single" w:color="BFBFBF" w:sz="6"/>
        </w:tblBorders>
      </w:tblPr>
      <w:tblGrid>
        <w:gridCol w:w="3200"/>
        <w:gridCol w:w="5400"/>
      </w:tblGrid>
      <w:tr>
        <w:tc>
          <w:tcPr>
            <w:tcW w:type="dxa" w:w="32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Campo</w:t>
            </w:r>
          </w:p>
        </w:tc>
        <w:tc>
          <w:tcPr>
            <w:tcW w:type="dxa" w:w="54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Detalle</w:t>
            </w:r>
          </w:p>
        </w:tc>
      </w:tr>
      <w:tr>
        <w:tc>
          <w:tcPr>
            <w:tcW w:type="dxa" w:w="3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Fechas de la visita</w:t>
            </w:r>
          </w:p>
        </w:tc>
        <w:tc>
          <w:tcPr>
            <w:tcW w:type="dxa" w:w="54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11 y 12 de octubre de 2026</w:t>
            </w:r>
          </w:p>
        </w:tc>
      </w:tr>
      <w:tr>
        <w:tc>
          <w:tcPr>
            <w:tcW w:type="dxa" w:w="3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Área de estudio</w:t>
            </w:r>
          </w:p>
        </w:tc>
        <w:tc>
          <w:tcPr>
            <w:tcW w:type="dxa" w:w="54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Golfo de Urabá — municipios de Turbo y Necoclí (Antioquia)</w:t>
            </w:r>
          </w:p>
        </w:tc>
      </w:tr>
      <w:tr>
        <w:tc>
          <w:tcPr>
            <w:tcW w:type="dxa" w:w="3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Dependencia</w:t>
            </w:r>
          </w:p>
        </w:tc>
        <w:tc>
          <w:tcPr>
            <w:tcW w:type="dxa" w:w="54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UNGRD — Subdirección para el Conocimiento del Riesgo</w:t>
            </w:r>
          </w:p>
        </w:tc>
      </w:tr>
      <w:tr>
        <w:tc>
          <w:tcPr>
            <w:tcW w:type="dxa" w:w="3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Elaboró</w:t>
            </w:r>
          </w:p>
        </w:tc>
        <w:tc>
          <w:tcPr>
            <w:tcW w:type="dxa" w:w="5400"/>
            <w:tcMar>
              <w:top w:type="dxa" w:w="60"/>
              <w:left w:type="dxa" w:w="90"/>
              <w:bottom w:type="dxa" w:w="60"/>
              <w:right w:type="dxa" w:w="90"/>
            </w:tcMar>
            <w:vAlign w:val="center"/>
          </w:tcPr>
          <w:p>
            <w:pPr>
              <w:spacing w:after="0" w:line="260"/>
            </w:pPr>
            <w:r>
              <w:rPr>
                <w:rFonts w:ascii="Calibri" w:cs="Calibri" w:eastAsia="Calibri" w:hAnsi="Calibri"/>
                <w:color w:val="7F6000"/>
                <w:sz w:val="20"/>
                <w:szCs w:val="20"/>
              </w:rPr>
              <w:t xml:space="preserve">[POR COMPLETAR: nombre(s) y cargo del/los profesional(es)]</w:t>
            </w:r>
          </w:p>
        </w:tc>
      </w:tr>
      <w:tr>
        <w:tc>
          <w:tcPr>
            <w:tcW w:type="dxa" w:w="3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Revisó / Aprobó</w:t>
            </w:r>
          </w:p>
        </w:tc>
        <w:tc>
          <w:tcPr>
            <w:tcW w:type="dxa" w:w="5400"/>
            <w:tcMar>
              <w:top w:type="dxa" w:w="60"/>
              <w:left w:type="dxa" w:w="90"/>
              <w:bottom w:type="dxa" w:w="60"/>
              <w:right w:type="dxa" w:w="90"/>
            </w:tcMar>
            <w:vAlign w:val="center"/>
          </w:tcPr>
          <w:p>
            <w:pPr>
              <w:spacing w:after="0" w:line="260"/>
            </w:pPr>
            <w:r>
              <w:rPr>
                <w:rFonts w:ascii="Calibri" w:cs="Calibri" w:eastAsia="Calibri" w:hAnsi="Calibri"/>
                <w:color w:val="7F6000"/>
                <w:sz w:val="20"/>
                <w:szCs w:val="20"/>
              </w:rPr>
              <w:t xml:space="preserve">[POR COMPLETAR]</w:t>
            </w:r>
          </w:p>
        </w:tc>
      </w:tr>
      <w:tr>
        <w:tc>
          <w:tcPr>
            <w:tcW w:type="dxa" w:w="3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Versión / Fecha</w:t>
            </w:r>
          </w:p>
        </w:tc>
        <w:tc>
          <w:tcPr>
            <w:tcW w:type="dxa" w:w="54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V.1 (borrador) — octubre de 2026</w:t>
            </w:r>
          </w:p>
        </w:tc>
      </w:tr>
    </w:tbl>
    <w:p>
      <w:pPr>
        <w:spacing w:after="120" w:before="300" w:line="276"/>
        <w:jc w:val="center"/>
      </w:pPr>
      <w:r>
        <w:rPr>
          <w:rFonts w:ascii="Calibri" w:cs="Calibri" w:eastAsia="Calibri" w:hAnsi="Calibri"/>
          <w:i/>
          <w:iCs/>
          <w:color w:val="595959"/>
          <w:sz w:val="18"/>
          <w:szCs w:val="18"/>
        </w:rPr>
        <w:t xml:space="preserve">Documento de trabajo en elaboración. Las secciones resaltadas deben ser diligenciadas/validadas por el profesional responsable.</w:t>
      </w:r>
    </w:p>
    <w:p>
      <w:r>
        <w:br w:type="page"/>
      </w:r>
    </w:p>
    <w:p>
      <w:pPr>
        <w:pStyle w:val="Heading1"/>
        <w:spacing w:after="120" w:before="260"/>
      </w:pPr>
      <w:bookmarkStart w:name="_Toc1" w:id="1"/>
      <w:r>
        <w:rPr>
          <w:rFonts w:ascii="Calibri" w:cs="Calibri" w:eastAsia="Calibri" w:hAnsi="Calibri"/>
          <w:b/>
          <w:bCs/>
          <w:color w:val="1F3864"/>
          <w:sz w:val="28"/>
          <w:szCs w:val="28"/>
        </w:rPr>
        <w:t xml:space="preserve">Tabla de contenido</w:t>
      </w:r>
      <w:bookmarkEnd w:id="1"/>
    </w:p>
    <w:sdt>
      <w:sdtPr>
        <w:alias w:val="Tabla de contenido"/>
      </w:sdtPr>
      <w:sdtContent>
        <w:p>
          <w:pPr>
            <w:pStyle w:val="TOC1"/>
            <w:tabs>
              <w:tab w:val="right" w:pos="9840" w:leader="dot"/>
            </w:tabs>
          </w:pPr>
          <w:r>
            <w:fldChar w:fldCharType="begin" w:dirty="true"/>
            <w:instrText xml:space="preserve">TOC \h \o "1-2"</w:instrText>
            <w:fldChar w:fldCharType="separate"/>
          </w:r>
          <w:hyperlink w:history="1" w:anchor="_Toc1">
            <w:r>
              <w:t xml:space="preserve">Tabla de contenido</w:t>
            </w:r>
            <w:r>
              <w:tab/>
            </w:r>
            <w:r>
              <w:fldChar w:fldCharType="begin" w:dirty="true"/>
              <w:instrText xml:space="preserve">PAGEREF _Toc1 \h</w:instrText>
              <w:fldChar w:fldCharType="separate"/>
              <w:fldChar w:fldCharType="end"/>
            </w:r>
          </w:hyperlink>
        </w:p>
        <w:p>
          <w:pPr>
            <w:pStyle w:val="TOC1"/>
            <w:tabs>
              <w:tab w:val="right" w:pos="9840" w:leader="dot"/>
            </w:tabs>
          </w:pPr>
          <w:hyperlink w:history="1" w:anchor="_Toc2">
            <w:r>
              <w:t xml:space="preserve">1. Introducción</w:t>
            </w:r>
            <w:r>
              <w:tab/>
            </w:r>
            <w:r>
              <w:fldChar w:fldCharType="begin" w:dirty="true"/>
              <w:instrText xml:space="preserve">PAGEREF _Toc2 \h</w:instrText>
              <w:fldChar w:fldCharType="separate"/>
              <w:fldChar w:fldCharType="end"/>
            </w:r>
          </w:hyperlink>
        </w:p>
        <w:p>
          <w:pPr>
            <w:pStyle w:val="TOC1"/>
            <w:tabs>
              <w:tab w:val="right" w:pos="9840" w:leader="dot"/>
            </w:tabs>
          </w:pPr>
          <w:hyperlink w:history="1" w:anchor="_Toc3">
            <w:r>
              <w:t xml:space="preserve">2. Antecedentes</w:t>
            </w:r>
            <w:r>
              <w:tab/>
            </w:r>
            <w:r>
              <w:fldChar w:fldCharType="begin" w:dirty="true"/>
              <w:instrText xml:space="preserve">PAGEREF _Toc3 \h</w:instrText>
              <w:fldChar w:fldCharType="separate"/>
              <w:fldChar w:fldCharType="end"/>
            </w:r>
          </w:hyperlink>
        </w:p>
        <w:p>
          <w:pPr>
            <w:pStyle w:val="TOC2"/>
            <w:tabs>
              <w:tab w:val="right" w:pos="9840" w:leader="dot"/>
            </w:tabs>
            <w:ind w:left="220"/>
          </w:pPr>
          <w:hyperlink w:history="1" w:anchor="_Toc4">
            <w:r>
              <w:t xml:space="preserve">2.1. Evento sísmico detonante (Panamá, 9 de octubre de 2026)</w:t>
            </w:r>
            <w:r>
              <w:tab/>
            </w:r>
            <w:r>
              <w:fldChar w:fldCharType="begin" w:dirty="true"/>
              <w:instrText xml:space="preserve">PAGEREF _Toc4 \h</w:instrText>
              <w:fldChar w:fldCharType="separate"/>
              <w:fldChar w:fldCharType="end"/>
            </w:r>
          </w:hyperlink>
        </w:p>
        <w:p>
          <w:pPr>
            <w:pStyle w:val="TOC2"/>
            <w:tabs>
              <w:tab w:val="right" w:pos="9840" w:leader="dot"/>
            </w:tabs>
            <w:ind w:left="220"/>
          </w:pPr>
          <w:hyperlink w:history="1" w:anchor="_Toc5">
            <w:r>
              <w:t xml:space="preserve">2.2. Reportes de reactivación</w:t>
            </w:r>
            <w:r>
              <w:tab/>
            </w:r>
            <w:r>
              <w:fldChar w:fldCharType="begin" w:dirty="true"/>
              <w:instrText xml:space="preserve">PAGEREF _Toc5 \h</w:instrText>
              <w:fldChar w:fldCharType="separate"/>
              <w:fldChar w:fldCharType="end"/>
            </w:r>
          </w:hyperlink>
        </w:p>
        <w:p>
          <w:pPr>
            <w:pStyle w:val="TOC1"/>
            <w:tabs>
              <w:tab w:val="right" w:pos="9840" w:leader="dot"/>
            </w:tabs>
          </w:pPr>
          <w:hyperlink w:history="1" w:anchor="_Toc6">
            <w:r>
              <w:t xml:space="preserve">3. Objetivos</w:t>
            </w:r>
            <w:r>
              <w:tab/>
            </w:r>
            <w:r>
              <w:fldChar w:fldCharType="begin" w:dirty="true"/>
              <w:instrText xml:space="preserve">PAGEREF _Toc6 \h</w:instrText>
              <w:fldChar w:fldCharType="separate"/>
              <w:fldChar w:fldCharType="end"/>
            </w:r>
          </w:hyperlink>
        </w:p>
        <w:p>
          <w:pPr>
            <w:pStyle w:val="TOC2"/>
            <w:tabs>
              <w:tab w:val="right" w:pos="9840" w:leader="dot"/>
            </w:tabs>
            <w:ind w:left="220"/>
          </w:pPr>
          <w:hyperlink w:history="1" w:anchor="_Toc7">
            <w:r>
              <w:t xml:space="preserve">3.1. Objetivo general</w:t>
            </w:r>
            <w:r>
              <w:tab/>
            </w:r>
            <w:r>
              <w:fldChar w:fldCharType="begin" w:dirty="true"/>
              <w:instrText xml:space="preserve">PAGEREF _Toc7 \h</w:instrText>
              <w:fldChar w:fldCharType="separate"/>
              <w:fldChar w:fldCharType="end"/>
            </w:r>
          </w:hyperlink>
        </w:p>
        <w:p>
          <w:pPr>
            <w:pStyle w:val="TOC2"/>
            <w:tabs>
              <w:tab w:val="right" w:pos="9840" w:leader="dot"/>
            </w:tabs>
            <w:ind w:left="220"/>
          </w:pPr>
          <w:hyperlink w:history="1" w:anchor="_Toc8">
            <w:r>
              <w:t xml:space="preserve">3.2. Objetivos específicos</w:t>
            </w:r>
            <w:r>
              <w:tab/>
            </w:r>
            <w:r>
              <w:fldChar w:fldCharType="begin" w:dirty="true"/>
              <w:instrText xml:space="preserve">PAGEREF _Toc8 \h</w:instrText>
              <w:fldChar w:fldCharType="separate"/>
              <w:fldChar w:fldCharType="end"/>
            </w:r>
          </w:hyperlink>
        </w:p>
        <w:p>
          <w:pPr>
            <w:pStyle w:val="TOC1"/>
            <w:tabs>
              <w:tab w:val="right" w:pos="9840" w:leader="dot"/>
            </w:tabs>
          </w:pPr>
          <w:hyperlink w:history="1" w:anchor="_Toc9">
            <w:r>
              <w:t xml:space="preserve">4. Marco conceptual: diapirismo y volcanes de lodo</w:t>
            </w:r>
            <w:r>
              <w:tab/>
            </w:r>
            <w:r>
              <w:fldChar w:fldCharType="begin" w:dirty="true"/>
              <w:instrText xml:space="preserve">PAGEREF _Toc9 \h</w:instrText>
              <w:fldChar w:fldCharType="separate"/>
              <w:fldChar w:fldCharType="end"/>
            </w:r>
          </w:hyperlink>
        </w:p>
        <w:p>
          <w:pPr>
            <w:pStyle w:val="TOC1"/>
            <w:tabs>
              <w:tab w:val="right" w:pos="9840" w:leader="dot"/>
            </w:tabs>
          </w:pPr>
          <w:hyperlink w:history="1" w:anchor="_Toc10">
            <w:r>
              <w:t xml:space="preserve">5. Área de estudio y localización</w:t>
            </w:r>
            <w:r>
              <w:tab/>
            </w:r>
            <w:r>
              <w:fldChar w:fldCharType="begin" w:dirty="true"/>
              <w:instrText xml:space="preserve">PAGEREF _Toc10 \h</w:instrText>
              <w:fldChar w:fldCharType="separate"/>
              <w:fldChar w:fldCharType="end"/>
            </w:r>
          </w:hyperlink>
        </w:p>
        <w:p>
          <w:pPr>
            <w:pStyle w:val="TOC1"/>
            <w:tabs>
              <w:tab w:val="right" w:pos="9840" w:leader="dot"/>
            </w:tabs>
          </w:pPr>
          <w:hyperlink w:history="1" w:anchor="_Toc11">
            <w:r>
              <w:t xml:space="preserve">6. Metodología</w:t>
            </w:r>
            <w:r>
              <w:tab/>
            </w:r>
            <w:r>
              <w:fldChar w:fldCharType="begin" w:dirty="true"/>
              <w:instrText xml:space="preserve">PAGEREF _Toc11 \h</w:instrText>
              <w:fldChar w:fldCharType="separate"/>
              <w:fldChar w:fldCharType="end"/>
            </w:r>
          </w:hyperlink>
        </w:p>
        <w:p>
          <w:pPr>
            <w:pStyle w:val="TOC2"/>
            <w:tabs>
              <w:tab w:val="right" w:pos="9840" w:leader="dot"/>
            </w:tabs>
            <w:ind w:left="220"/>
          </w:pPr>
          <w:hyperlink w:history="1" w:anchor="_Toc12">
            <w:r>
              <w:t xml:space="preserve">6.1. Captura de información</w:t>
            </w:r>
            <w:r>
              <w:tab/>
            </w:r>
            <w:r>
              <w:fldChar w:fldCharType="begin" w:dirty="true"/>
              <w:instrText xml:space="preserve">PAGEREF _Toc12 \h</w:instrText>
              <w:fldChar w:fldCharType="separate"/>
              <w:fldChar w:fldCharType="end"/>
            </w:r>
          </w:hyperlink>
        </w:p>
        <w:p>
          <w:pPr>
            <w:pStyle w:val="TOC2"/>
            <w:tabs>
              <w:tab w:val="right" w:pos="9840" w:leader="dot"/>
            </w:tabs>
            <w:ind w:left="220"/>
          </w:pPr>
          <w:hyperlink w:history="1" w:anchor="_Toc13">
            <w:r>
              <w:t xml:space="preserve">6.2. Procesamiento y productos</w:t>
            </w:r>
            <w:r>
              <w:tab/>
            </w:r>
            <w:r>
              <w:fldChar w:fldCharType="begin" w:dirty="true"/>
              <w:instrText xml:space="preserve">PAGEREF _Toc13 \h</w:instrText>
              <w:fldChar w:fldCharType="separate"/>
              <w:fldChar w:fldCharType="end"/>
            </w:r>
          </w:hyperlink>
        </w:p>
        <w:p>
          <w:pPr>
            <w:pStyle w:val="TOC1"/>
            <w:tabs>
              <w:tab w:val="right" w:pos="9840" w:leader="dot"/>
            </w:tabs>
          </w:pPr>
          <w:hyperlink w:history="1" w:anchor="_Toc14">
            <w:r>
              <w:t xml:space="preserve">7. Resultados de la visita</w:t>
            </w:r>
            <w:r>
              <w:tab/>
            </w:r>
            <w:r>
              <w:fldChar w:fldCharType="begin" w:dirty="true"/>
              <w:instrText xml:space="preserve">PAGEREF _Toc14 \h</w:instrText>
              <w:fldChar w:fldCharType="separate"/>
              <w:fldChar w:fldCharType="end"/>
            </w:r>
          </w:hyperlink>
        </w:p>
        <w:p>
          <w:pPr>
            <w:pStyle w:val="TOC2"/>
            <w:tabs>
              <w:tab w:val="right" w:pos="9840" w:leader="dot"/>
            </w:tabs>
            <w:ind w:left="220"/>
          </w:pPr>
          <w:hyperlink w:history="1" w:anchor="_Toc15">
            <w:r>
              <w:t xml:space="preserve">7.1. Volcán Puerto López (Turbo)</w:t>
            </w:r>
            <w:r>
              <w:tab/>
            </w:r>
            <w:r>
              <w:fldChar w:fldCharType="begin" w:dirty="true"/>
              <w:instrText xml:space="preserve">PAGEREF _Toc15 \h</w:instrText>
              <w:fldChar w:fldCharType="separate"/>
              <w:fldChar w:fldCharType="end"/>
            </w:r>
          </w:hyperlink>
        </w:p>
        <w:p>
          <w:pPr>
            <w:pStyle w:val="TOC2"/>
            <w:tabs>
              <w:tab w:val="right" w:pos="9840" w:leader="dot"/>
            </w:tabs>
            <w:ind w:left="220"/>
          </w:pPr>
          <w:hyperlink w:history="1" w:anchor="_Toc16">
            <w:r>
              <w:t xml:space="preserve">7.2. El Volcán (Necoclí)</w:t>
            </w:r>
            <w:r>
              <w:tab/>
            </w:r>
            <w:r>
              <w:fldChar w:fldCharType="begin" w:dirty="true"/>
              <w:instrText xml:space="preserve">PAGEREF _Toc16 \h</w:instrText>
              <w:fldChar w:fldCharType="separate"/>
              <w:fldChar w:fldCharType="end"/>
            </w:r>
          </w:hyperlink>
        </w:p>
        <w:p>
          <w:pPr>
            <w:pStyle w:val="TOC1"/>
            <w:tabs>
              <w:tab w:val="right" w:pos="9840" w:leader="dot"/>
            </w:tabs>
          </w:pPr>
          <w:hyperlink w:history="1" w:anchor="_Toc17">
            <w:r>
              <w:t xml:space="preserve">8. Análisis e interpretación</w:t>
            </w:r>
            <w:r>
              <w:tab/>
            </w:r>
            <w:r>
              <w:fldChar w:fldCharType="begin" w:dirty="true"/>
              <w:instrText xml:space="preserve">PAGEREF _Toc17 \h</w:instrText>
              <w:fldChar w:fldCharType="separate"/>
              <w:fldChar w:fldCharType="end"/>
            </w:r>
          </w:hyperlink>
        </w:p>
        <w:p>
          <w:pPr>
            <w:pStyle w:val="TOC1"/>
            <w:tabs>
              <w:tab w:val="right" w:pos="9840" w:leader="dot"/>
            </w:tabs>
          </w:pPr>
          <w:hyperlink w:history="1" w:anchor="_Toc18">
            <w:r>
              <w:t xml:space="preserve">9. Conclusiones</w:t>
            </w:r>
            <w:r>
              <w:tab/>
            </w:r>
            <w:r>
              <w:fldChar w:fldCharType="begin" w:dirty="true"/>
              <w:instrText xml:space="preserve">PAGEREF _Toc18 \h</w:instrText>
              <w:fldChar w:fldCharType="separate"/>
              <w:fldChar w:fldCharType="end"/>
            </w:r>
          </w:hyperlink>
        </w:p>
        <w:p>
          <w:pPr>
            <w:pStyle w:val="TOC1"/>
            <w:tabs>
              <w:tab w:val="right" w:pos="9840" w:leader="dot"/>
            </w:tabs>
          </w:pPr>
          <w:hyperlink w:history="1" w:anchor="_Toc19">
            <w:r>
              <w:t xml:space="preserve">10. Recomendaciones</w:t>
            </w:r>
            <w:r>
              <w:tab/>
            </w:r>
            <w:r>
              <w:fldChar w:fldCharType="begin" w:dirty="true"/>
              <w:instrText xml:space="preserve">PAGEREF _Toc19 \h</w:instrText>
              <w:fldChar w:fldCharType="separate"/>
              <w:fldChar w:fldCharType="end"/>
            </w:r>
          </w:hyperlink>
        </w:p>
        <w:p>
          <w:pPr>
            <w:pStyle w:val="TOC1"/>
            <w:tabs>
              <w:tab w:val="right" w:pos="9840" w:leader="dot"/>
            </w:tabs>
          </w:pPr>
          <w:hyperlink w:history="1" w:anchor="_Toc20">
            <w:r>
              <w:t xml:space="preserve">11. Anexos</w:t>
            </w:r>
            <w:r>
              <w:tab/>
            </w:r>
            <w:r>
              <w:fldChar w:fldCharType="begin" w:dirty="true"/>
              <w:instrText xml:space="preserve">PAGEREF _Toc20 \h</w:instrText>
              <w:fldChar w:fldCharType="separate"/>
              <w:fldChar w:fldCharType="end"/>
            </w:r>
          </w:hyperlink>
        </w:p>
        <w:p>
          <w:pPr>
            <w:pStyle w:val="TOC2"/>
            <w:tabs>
              <w:tab w:val="right" w:pos="9840" w:leader="dot"/>
            </w:tabs>
            <w:ind w:left="220"/>
          </w:pPr>
          <w:hyperlink w:history="1" w:anchor="_Toc21">
            <w:r>
              <w:t xml:space="preserve">11.1. Inventario de información capturada</w:t>
            </w:r>
            <w:r>
              <w:tab/>
            </w:r>
            <w:r>
              <w:fldChar w:fldCharType="begin" w:dirty="true"/>
              <w:instrText xml:space="preserve">PAGEREF _Toc21 \h</w:instrText>
              <w:fldChar w:fldCharType="separate"/>
              <w:fldChar w:fldCharType="end"/>
            </w:r>
          </w:hyperlink>
        </w:p>
        <w:p>
          <w:pPr>
            <w:pStyle w:val="TOC2"/>
            <w:tabs>
              <w:tab w:val="right" w:pos="9840" w:leader="dot"/>
            </w:tabs>
            <w:ind w:left="220"/>
          </w:pPr>
          <w:hyperlink w:history="1" w:anchor="_Toc22">
            <w:r>
              <w:t xml:space="preserve">11.2. Enlaces a panorámicas 360° (Kuula)</w:t>
            </w:r>
            <w:r>
              <w:tab/>
            </w:r>
            <w:r>
              <w:fldChar w:fldCharType="begin" w:dirty="true"/>
              <w:instrText xml:space="preserve">PAGEREF _Toc22 \h</w:instrText>
              <w:fldChar w:fldCharType="separate"/>
              <w:fldChar w:fldCharType="end"/>
            </w:r>
          </w:hyperlink>
        </w:p>
        <w:p>
          <w:pPr>
            <w:pStyle w:val="TOC2"/>
            <w:tabs>
              <w:tab w:val="right" w:pos="9840" w:leader="dot"/>
            </w:tabs>
            <w:ind w:left="220"/>
          </w:pPr>
          <w:hyperlink w:history="1" w:anchor="_Toc23">
            <w:r>
              <w:t xml:space="preserve">11.3. Listado de puntos GPS de referencia — Puerto López</w:t>
            </w:r>
            <w:r>
              <w:tab/>
            </w:r>
            <w:r>
              <w:fldChar w:fldCharType="begin" w:dirty="true"/>
              <w:instrText xml:space="preserve">PAGEREF _Toc23 \h</w:instrText>
              <w:fldChar w:fldCharType="separate"/>
              <w:fldChar w:fldCharType="end"/>
            </w:r>
          </w:hyperlink>
        </w:p>
        <w:p>
          <w:pPr>
            <w:pStyle w:val="TOC2"/>
            <w:tabs>
              <w:tab w:val="right" w:pos="9840" w:leader="dot"/>
            </w:tabs>
            <w:ind w:left="220"/>
          </w:pPr>
          <w:hyperlink w:history="1" w:anchor="_Toc24">
            <w:r>
              <w:t xml:space="preserve">11.4. Listado de puntos GPS de referencia — El Volcán</w:t>
            </w:r>
            <w:r>
              <w:tab/>
            </w:r>
            <w:r>
              <w:fldChar w:fldCharType="begin" w:dirty="true"/>
              <w:instrText xml:space="preserve">PAGEREF _Toc24 \h</w:instrText>
              <w:fldChar w:fldCharType="separate"/>
              <w:fldChar w:fldCharType="end"/>
            </w:r>
          </w:hyperlink>
        </w:p>
        <w:p>
          <w:pPr>
            <w:pStyle w:val="TOC2"/>
            <w:tabs>
              <w:tab w:val="right" w:pos="9840" w:leader="dot"/>
            </w:tabs>
            <w:ind w:left="220"/>
          </w:pPr>
          <w:hyperlink w:history="1" w:anchor="_Toc25">
            <w:r>
              <w:t xml:space="preserve">11.5. Visor cartográfico</w:t>
            </w:r>
            <w:r>
              <w:tab/>
            </w:r>
            <w:r>
              <w:fldChar w:fldCharType="begin" w:dirty="true"/>
              <w:instrText xml:space="preserve">PAGEREF _Toc25 \h</w:instrText>
              <w:fldChar w:fldCharType="separate"/>
              <w:fldChar w:fldCharType="end"/>
            </w:r>
          </w:hyperlink>
        </w:p>
        <w:p>
          <w:r>
            <w:fldChar w:fldCharType="end"/>
          </w:r>
        </w:p>
      </w:sdtContent>
    </w:sdt>
    <w:p>
      <w:r>
        <w:br w:type="page"/>
      </w:r>
    </w:p>
    <w:p>
      <w:pPr>
        <w:pStyle w:val="Heading1"/>
        <w:spacing w:after="120" w:before="260"/>
      </w:pPr>
      <w:bookmarkStart w:name="_Toc2" w:id="2"/>
      <w:r>
        <w:rPr>
          <w:rFonts w:ascii="Calibri" w:cs="Calibri" w:eastAsia="Calibri" w:hAnsi="Calibri"/>
          <w:b/>
          <w:bCs/>
          <w:color w:val="1F3864"/>
          <w:sz w:val="28"/>
          <w:szCs w:val="28"/>
        </w:rPr>
        <w:t xml:space="preserve">1. Introducción</w:t>
      </w:r>
      <w:bookmarkEnd w:id="2"/>
    </w:p>
    <w:p>
      <w:pPr>
        <w:spacing w:after="120" w:before="0" w:line="276"/>
      </w:pPr>
      <w:r>
        <w:rPr>
          <w:rFonts w:ascii="Calibri" w:cs="Calibri" w:eastAsia="Calibri" w:hAnsi="Calibri"/>
          <w:sz w:val="22"/>
          <w:szCs w:val="22"/>
        </w:rPr>
        <w:t xml:space="preserve">El presente documento constituye la memoria técnica de la visita de reconocimiento realizada por la Subdirección para el Conocimiento del Riesgo (SCR) de la Unidad Nacional para la Gestión del Riesgo de Desastres (UNGRD) a dos manifestaciones de diapirismo de lodo (volcanes de lodo) localizadas en el Golfo de Urabá, departamento de Antioquia. La comisión se adelantó los días 11 y 12 de octubre de 2026, con el fin de verificar en terreno el estado y los posibles cambios en la actividad de estos fenómenos tras el sismo de Panamá ocurrido el 9 de octubre de 2026, reportado por las comunidades y autoridades locales como posible detonante de su reactivación.</w:t>
      </w:r>
    </w:p>
    <w:p>
      <w:pPr>
        <w:spacing w:after="120" w:before="0" w:line="276"/>
      </w:pPr>
      <w:r>
        <w:rPr>
          <w:rFonts w:ascii="Calibri" w:cs="Calibri" w:eastAsia="Calibri" w:hAnsi="Calibri"/>
          <w:sz w:val="22"/>
          <w:szCs w:val="22"/>
        </w:rPr>
        <w:t xml:space="preserve">La memoria recopila la información primaria capturada durante la comisión —recorridos (tracks) y puntos GPS de referencia, fotografías georreferenciadas tomadas con dispositivo móvil, fotografía y video aéreo con dron, y panorámicas inmersivas 360°— y la organiza como insumo para el análisis técnico del fenómeno y para la toma de decisiones en el marco del proceso de conocimiento del riesgo. La totalidad de la información espacial se presenta en el datum WGS84 (EPSG:4326).</w:t>
      </w:r>
    </w:p>
    <w:p>
      <w:pPr>
        <w:pStyle w:val="Heading1"/>
        <w:spacing w:after="120" w:before="260"/>
      </w:pPr>
      <w:bookmarkStart w:name="_Toc3" w:id="3"/>
      <w:r>
        <w:rPr>
          <w:rFonts w:ascii="Calibri" w:cs="Calibri" w:eastAsia="Calibri" w:hAnsi="Calibri"/>
          <w:b/>
          <w:bCs/>
          <w:color w:val="1F3864"/>
          <w:sz w:val="28"/>
          <w:szCs w:val="28"/>
        </w:rPr>
        <w:t xml:space="preserve">2. Antecedentes</w:t>
      </w:r>
      <w:bookmarkEnd w:id="3"/>
    </w:p>
    <w:p>
      <w:pPr>
        <w:pStyle w:val="Heading2"/>
        <w:spacing w:after="90" w:before="180"/>
      </w:pPr>
      <w:bookmarkStart w:name="_Toc4" w:id="4"/>
      <w:r>
        <w:rPr>
          <w:rFonts w:ascii="Calibri" w:cs="Calibri" w:eastAsia="Calibri" w:hAnsi="Calibri"/>
          <w:b/>
          <w:bCs/>
          <w:color w:val="C45911"/>
          <w:sz w:val="24"/>
          <w:szCs w:val="24"/>
        </w:rPr>
        <w:t xml:space="preserve">2.1. Evento sísmico detonante (Panamá, 9 de octubre de 2026)</w:t>
      </w:r>
      <w:bookmarkEnd w:id="4"/>
    </w:p>
    <w:p>
      <w:pPr>
        <w:spacing w:after="120" w:before="0" w:line="276"/>
      </w:pPr>
      <w:r>
        <w:rPr>
          <w:rFonts w:ascii="Calibri" w:cs="Calibri" w:eastAsia="Calibri" w:hAnsi="Calibri"/>
          <w:sz w:val="22"/>
          <w:szCs w:val="22"/>
        </w:rPr>
        <w:t xml:space="preserve">La visita se enmarca en la respuesta al sismo ocurrido en Panamá el 9 de octubre de 2026, señalado como posible agente detonante de la reactivación o incremento de actividad de los volcanes de lodo del Golfo de Urabá. Los parámetros sismológicos oficiales del evento deben incorporarse a partir de la fuente autorizada (Servicio Geológico Colombiano y/o USGS).</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Parámetros del sismo según fuente oficial: fecha y hora (UTC y local), magnitud (Mw), profundidad, localización del epicentro, distancia al Golfo de Urabá, intensidades percibidas en Urabá y fuente consultada (SGC / USGS).</w:t>
      </w:r>
    </w:p>
    <w:p>
      <w:pPr>
        <w:pStyle w:val="Heading2"/>
        <w:spacing w:after="90" w:before="180"/>
      </w:pPr>
      <w:bookmarkStart w:name="_Toc5" w:id="5"/>
      <w:r>
        <w:rPr>
          <w:rFonts w:ascii="Calibri" w:cs="Calibri" w:eastAsia="Calibri" w:hAnsi="Calibri"/>
          <w:b/>
          <w:bCs/>
          <w:color w:val="C45911"/>
          <w:sz w:val="24"/>
          <w:szCs w:val="24"/>
        </w:rPr>
        <w:t xml:space="preserve">2.2. Reportes de reactivación</w:t>
      </w:r>
      <w:bookmarkEnd w:id="5"/>
    </w:p>
    <w:p>
      <w:pPr>
        <w:spacing w:after="120" w:before="0" w:line="276"/>
      </w:pPr>
      <w:r>
        <w:rPr>
          <w:rFonts w:ascii="Calibri" w:cs="Calibri" w:eastAsia="Calibri" w:hAnsi="Calibri"/>
          <w:sz w:val="22"/>
          <w:szCs w:val="22"/>
        </w:rPr>
        <w:t xml:space="preserve">Describir los reportes previos a la visita (comunidad, administraciones municipales de Turbo y Necoclí, CDGRD/CMGRD, etc.) que motivaron la comisión.</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Síntesis de reportes recibidos: fecha del reporte, fuente, manifestaciones descritas (aumento de emisión de lodo/gas, ruidos, nuevos focos, afectaciones a predios/vías/viviendas), y requerimientos de las autoridades locales.</w:t>
      </w:r>
    </w:p>
    <w:p>
      <w:pPr>
        <w:pStyle w:val="Heading1"/>
        <w:spacing w:after="120" w:before="260"/>
      </w:pPr>
      <w:bookmarkStart w:name="_Toc6" w:id="6"/>
      <w:r>
        <w:rPr>
          <w:rFonts w:ascii="Calibri" w:cs="Calibri" w:eastAsia="Calibri" w:hAnsi="Calibri"/>
          <w:b/>
          <w:bCs/>
          <w:color w:val="1F3864"/>
          <w:sz w:val="28"/>
          <w:szCs w:val="28"/>
        </w:rPr>
        <w:t xml:space="preserve">3. Objetivos</w:t>
      </w:r>
      <w:bookmarkEnd w:id="6"/>
    </w:p>
    <w:p>
      <w:pPr>
        <w:pStyle w:val="Heading2"/>
        <w:spacing w:after="90" w:before="180"/>
      </w:pPr>
      <w:bookmarkStart w:name="_Toc7" w:id="7"/>
      <w:r>
        <w:rPr>
          <w:rFonts w:ascii="Calibri" w:cs="Calibri" w:eastAsia="Calibri" w:hAnsi="Calibri"/>
          <w:b/>
          <w:bCs/>
          <w:color w:val="C45911"/>
          <w:sz w:val="24"/>
          <w:szCs w:val="24"/>
        </w:rPr>
        <w:t xml:space="preserve">3.1. Objetivo general</w:t>
      </w:r>
      <w:bookmarkEnd w:id="7"/>
    </w:p>
    <w:p>
      <w:pPr>
        <w:spacing w:after="120" w:before="0" w:line="276"/>
      </w:pPr>
      <w:r>
        <w:rPr>
          <w:rFonts w:ascii="Calibri" w:cs="Calibri" w:eastAsia="Calibri" w:hAnsi="Calibri"/>
          <w:sz w:val="22"/>
          <w:szCs w:val="22"/>
        </w:rPr>
        <w:t xml:space="preserve">Realizar el reconocimiento técnico en terreno de los volcanes de lodo de Puerto López (Turbo) y El Volcán (Necoclí), con el fin de documentar su estado actual y los cambios asociados a la ocurrencia del sismo de Panamá del 9 de octubre de 2026, como insumo para el proceso de conocimiento del riesgo.</w:t>
      </w:r>
    </w:p>
    <w:p>
      <w:pPr>
        <w:pStyle w:val="Heading2"/>
        <w:spacing w:after="90" w:before="180"/>
      </w:pPr>
      <w:bookmarkStart w:name="_Toc8" w:id="8"/>
      <w:r>
        <w:rPr>
          <w:rFonts w:ascii="Calibri" w:cs="Calibri" w:eastAsia="Calibri" w:hAnsi="Calibri"/>
          <w:b/>
          <w:bCs/>
          <w:color w:val="C45911"/>
          <w:sz w:val="24"/>
          <w:szCs w:val="24"/>
        </w:rPr>
        <w:t xml:space="preserve">3.2. Objetivos específicos</w:t>
      </w:r>
      <w:bookmarkEnd w:id="8"/>
    </w:p>
    <w:p>
      <w:pPr>
        <w:pStyle w:val="ListParagraph"/>
        <w:numPr>
          <w:ilvl w:val="0"/>
          <w:numId w:val="1"/>
        </w:numPr>
        <w:spacing w:after="60" w:before="0" w:line="276"/>
      </w:pPr>
      <w:r>
        <w:rPr>
          <w:rFonts w:ascii="Calibri" w:cs="Calibri" w:eastAsia="Calibri" w:hAnsi="Calibri"/>
          <w:sz w:val="22"/>
          <w:szCs w:val="22"/>
        </w:rPr>
        <w:t xml:space="preserve">Levantar información georreferenciada (tracks, puntos GPS, fotografía terrestre y aérea y panorámicas 360°) de las zonas de actividad.</w:t>
      </w:r>
    </w:p>
    <w:p>
      <w:pPr>
        <w:pStyle w:val="ListParagraph"/>
        <w:numPr>
          <w:ilvl w:val="0"/>
          <w:numId w:val="1"/>
        </w:numPr>
        <w:spacing w:after="60" w:before="0" w:line="276"/>
      </w:pPr>
      <w:r>
        <w:rPr>
          <w:rFonts w:ascii="Calibri" w:cs="Calibri" w:eastAsia="Calibri" w:hAnsi="Calibri"/>
          <w:sz w:val="22"/>
          <w:szCs w:val="22"/>
        </w:rPr>
        <w:t xml:space="preserve">Caracterizar las manifestaciones observadas (morfología, emisión de lodo y gases, extensión del campo de lodo, afectaciones asociadas).</w:t>
      </w:r>
    </w:p>
    <w:p>
      <w:pPr>
        <w:pStyle w:val="ListParagraph"/>
        <w:numPr>
          <w:ilvl w:val="0"/>
          <w:numId w:val="1"/>
        </w:numPr>
        <w:spacing w:after="60" w:before="0" w:line="276"/>
      </w:pPr>
      <w:r>
        <w:rPr>
          <w:rFonts w:ascii="Calibri" w:cs="Calibri" w:eastAsia="Calibri" w:hAnsi="Calibri"/>
          <w:sz w:val="22"/>
          <w:szCs w:val="22"/>
        </w:rPr>
        <w:t xml:space="preserve">Identificar posibles elementos expuestos y condiciones de amenaza en el entorno inmediato de cada manifestación.</w:t>
      </w:r>
    </w:p>
    <w:p>
      <w:pPr>
        <w:pStyle w:val="ListParagraph"/>
        <w:numPr>
          <w:ilvl w:val="0"/>
          <w:numId w:val="1"/>
        </w:numPr>
        <w:spacing w:after="60" w:before="0" w:line="276"/>
      </w:pPr>
      <w:r>
        <w:rPr>
          <w:rFonts w:ascii="Calibri" w:cs="Calibri" w:eastAsia="Calibri" w:hAnsi="Calibri"/>
          <w:sz w:val="22"/>
          <w:szCs w:val="22"/>
        </w:rPr>
        <w:t xml:space="preserve">Generar productos de consulta (visor cartográfico y registro fotográfico) y recomendaciones preliminares.</w:t>
      </w:r>
    </w:p>
    <w:p>
      <w:pPr>
        <w:pStyle w:val="Heading1"/>
        <w:spacing w:after="120" w:before="260"/>
      </w:pPr>
      <w:bookmarkStart w:name="_Toc9" w:id="9"/>
      <w:r>
        <w:rPr>
          <w:rFonts w:ascii="Calibri" w:cs="Calibri" w:eastAsia="Calibri" w:hAnsi="Calibri"/>
          <w:b/>
          <w:bCs/>
          <w:color w:val="1F3864"/>
          <w:sz w:val="28"/>
          <w:szCs w:val="28"/>
        </w:rPr>
        <w:t xml:space="preserve">4. Marco conceptual: diapirismo y volcanes de lodo</w:t>
      </w:r>
      <w:bookmarkEnd w:id="9"/>
    </w:p>
    <w:p>
      <w:pPr>
        <w:spacing w:after="120" w:before="0" w:line="276"/>
      </w:pPr>
      <w:r>
        <w:rPr>
          <w:rFonts w:ascii="Calibri" w:cs="Calibri" w:eastAsia="Calibri" w:hAnsi="Calibri"/>
          <w:sz w:val="22"/>
          <w:szCs w:val="22"/>
        </w:rPr>
        <w:t xml:space="preserve">El diapirismo de lodo es el ascenso de materiales arcillosos finos, sobrepresionados y saturados en fluidos (agua, hidrocarburos y gases, principalmente metano) a través de la secuencia sedimentaria, hasta alcanzar la superficie y formar edificios y manifestaciones conocidas como volcanes de lodo. En superficie se expresan como conos, domos, calderas, "gryphons", piscinas y flujos de lodo, con emisión intermitente o continua de lodo, agua salobre y gas.</w:t>
      </w:r>
    </w:p>
    <w:p>
      <w:pPr>
        <w:spacing w:after="120" w:before="0" w:line="276"/>
      </w:pPr>
      <w:r>
        <w:rPr>
          <w:rFonts w:ascii="Calibri" w:cs="Calibri" w:eastAsia="Calibri" w:hAnsi="Calibri"/>
          <w:sz w:val="22"/>
          <w:szCs w:val="22"/>
        </w:rPr>
        <w:t xml:space="preserve">En el Golfo de Urabá y la región Caribe colombiana, estas manifestaciones se asocian al contexto tectónico y sedimentario del Cinturón del Sinú–San Jacinto y al prisma de acreción generado por la convergencia en el margen noroccidental de Suramérica, donde las altas tasas de sedimentación y la sobrepresión favorecen la movilización de lodos. La actividad puede verse modulada o detonada por eventos sísmicos, que modifican las condiciones de presión de poro y de esfuerzos, facilitando el ascenso de fluidos y el incremento súbito de la emisión.</w:t>
      </w:r>
    </w:p>
    <w:p>
      <w:pPr>
        <w:spacing w:after="120" w:before="0" w:line="276"/>
      </w:pPr>
      <w:r>
        <w:rPr>
          <w:rFonts w:ascii="Calibri" w:cs="Calibri" w:eastAsia="Calibri" w:hAnsi="Calibri"/>
          <w:b/>
          <w:bCs/>
          <w:sz w:val="22"/>
          <w:szCs w:val="22"/>
        </w:rPr>
        <w:t xml:space="preserve">Nota: </w:t>
      </w:r>
      <w:r>
        <w:rPr>
          <w:rFonts w:ascii="Calibri" w:cs="Calibri" w:eastAsia="Calibri" w:hAnsi="Calibri"/>
          <w:i/>
          <w:iCs/>
          <w:color w:val="595959"/>
          <w:sz w:val="22"/>
          <w:szCs w:val="22"/>
        </w:rPr>
        <w:t xml:space="preserve">este marco es de referencia general. La contextualización geológica específica de cada sitio (unidades aflorantes, estructuras y antecedentes de actividad) debe ser validada y ampliada por el profesional con la bibliografía y cartografía oficial del SGC.</w:t>
      </w:r>
    </w:p>
    <w:p>
      <w:pPr>
        <w:pStyle w:val="Heading1"/>
        <w:spacing w:after="120" w:before="260"/>
      </w:pPr>
      <w:bookmarkStart w:name="_Toc10" w:id="10"/>
      <w:r>
        <w:rPr>
          <w:rFonts w:ascii="Calibri" w:cs="Calibri" w:eastAsia="Calibri" w:hAnsi="Calibri"/>
          <w:b/>
          <w:bCs/>
          <w:color w:val="1F3864"/>
          <w:sz w:val="28"/>
          <w:szCs w:val="28"/>
        </w:rPr>
        <w:t xml:space="preserve">5. Área de estudio y localización</w:t>
      </w:r>
      <w:bookmarkEnd w:id="10"/>
    </w:p>
    <w:p>
      <w:pPr>
        <w:spacing w:after="120" w:before="0" w:line="276"/>
      </w:pPr>
      <w:r>
        <w:rPr>
          <w:rFonts w:ascii="Calibri" w:cs="Calibri" w:eastAsia="Calibri" w:hAnsi="Calibri"/>
          <w:sz w:val="22"/>
          <w:szCs w:val="22"/>
        </w:rPr>
        <w:t xml:space="preserve">La visita cubrió dos sitios en el flanco oriental y nororiental del Golfo de Urabá. La ubicación representativa de cada manifestación se estimó a partir del conjunto de fotografías georreferenciadas capturadas en el entorno inmediato del fenómeno (datum WGS84).</w:t>
      </w:r>
    </w:p>
    <w:tbl>
      <w:tblPr>
        <w:tblW w:type="dxa" w:w="10400"/>
        <w:tblBorders>
          <w:top w:val="single" w:color="BFBFBF" w:sz="6"/>
          <w:left w:val="single" w:color="BFBFBF" w:sz="6"/>
          <w:bottom w:val="single" w:color="BFBFBF" w:sz="6"/>
          <w:right w:val="single" w:color="BFBFBF" w:sz="6"/>
          <w:insideH w:val="single" w:color="BFBFBF" w:sz="6"/>
          <w:insideV w:val="single" w:color="BFBFBF" w:sz="6"/>
        </w:tblBorders>
      </w:tblPr>
      <w:tblGrid>
        <w:gridCol w:w="2600"/>
        <w:gridCol w:w="3900"/>
        <w:gridCol w:w="3900"/>
      </w:tblGrid>
      <w:tr>
        <w:trPr>
          <w:tblHeader/>
        </w:trPr>
        <w:tc>
          <w:tcPr>
            <w:tcW w:type="dxa" w:w="26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Atributo</w:t>
            </w:r>
          </w:p>
        </w:tc>
        <w:tc>
          <w:tcPr>
            <w:tcW w:type="dxa" w:w="39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Volcán Puerto López</w:t>
            </w:r>
          </w:p>
        </w:tc>
        <w:tc>
          <w:tcPr>
            <w:tcW w:type="dxa" w:w="39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El Volcán</w:t>
            </w:r>
          </w:p>
        </w:tc>
      </w:tr>
      <w:tr>
        <w:tc>
          <w:tcPr>
            <w:tcW w:type="dxa" w:w="26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Fecha de visita</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11 de octubre de 2026</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12 de octubre de 2026</w:t>
            </w:r>
          </w:p>
        </w:tc>
      </w:tr>
      <w:tr>
        <w:tc>
          <w:tcPr>
            <w:tcW w:type="dxa" w:w="26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Municipio</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Turbo</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Necoclí</w:t>
            </w:r>
          </w:p>
        </w:tc>
      </w:tr>
      <w:tr>
        <w:tc>
          <w:tcPr>
            <w:tcW w:type="dxa" w:w="26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Corregimiento / Vereda</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Correg. Nuevo Antioquia — Vda. Puerto López</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Vda. El Volcán</w:t>
            </w:r>
          </w:p>
        </w:tc>
      </w:tr>
      <w:tr>
        <w:tc>
          <w:tcPr>
            <w:tcW w:type="dxa" w:w="26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Coordenada representativa (grados decimales)</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8.051021 N, −76.574899 W</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8.380498 N, −76.641233 W</w:t>
            </w:r>
          </w:p>
        </w:tc>
      </w:tr>
      <w:tr>
        <w:tc>
          <w:tcPr>
            <w:tcW w:type="dxa" w:w="26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Coordenada representativa (GMS)</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8°03'03.7"N  76°34'29.6"W</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8°22'49.8"N  76°38'28.4"W</w:t>
            </w:r>
          </w:p>
        </w:tc>
      </w:tr>
      <w:tr>
        <w:tc>
          <w:tcPr>
            <w:tcW w:type="dxa" w:w="26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20"/>
                <w:szCs w:val="20"/>
              </w:rPr>
              <w:t xml:space="preserve">Datum</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WGS84 (EPSG:4326)</w:t>
            </w:r>
          </w:p>
        </w:tc>
        <w:tc>
          <w:tcPr>
            <w:tcW w:type="dxa" w:w="39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WGS84 (EPSG:4326)</w:t>
            </w:r>
          </w:p>
        </w:tc>
      </w:tr>
    </w:tbl>
    <w:p>
      <w:pPr>
        <w:spacing w:after="120" w:before="120" w:line="276"/>
      </w:pPr>
      <w:r>
        <w:rPr>
          <w:rFonts w:ascii="Calibri" w:cs="Calibri" w:eastAsia="Calibri" w:hAnsi="Calibri"/>
          <w:sz w:val="22"/>
          <w:szCs w:val="22"/>
        </w:rPr>
        <w:t xml:space="preserve">La ubicación detallada de cada punto, recorrido y fotografía puede consultarse de forma interactiva en el visor cartográfico anexo </w:t>
      </w:r>
      <w:r>
        <w:rPr>
          <w:rFonts w:ascii="Calibri" w:cs="Calibri" w:eastAsia="Calibri" w:hAnsi="Calibri"/>
          <w:b/>
          <w:bCs/>
          <w:sz w:val="22"/>
          <w:szCs w:val="22"/>
        </w:rPr>
        <w:t xml:space="preserve">(VISOR_DIAPIRISMO.html)</w:t>
      </w:r>
      <w:r>
        <w:rPr>
          <w:rFonts w:ascii="Calibri" w:cs="Calibri" w:eastAsia="Calibri" w:hAnsi="Calibri"/>
          <w:sz w:val="22"/>
          <w:szCs w:val="22"/>
        </w:rPr>
        <w:t xml:space="preserve">.</w:t>
      </w:r>
    </w:p>
    <w:p>
      <w:pPr>
        <w:pStyle w:val="Heading1"/>
        <w:spacing w:after="120" w:before="260"/>
      </w:pPr>
      <w:bookmarkStart w:name="_Toc11" w:id="11"/>
      <w:r>
        <w:rPr>
          <w:rFonts w:ascii="Calibri" w:cs="Calibri" w:eastAsia="Calibri" w:hAnsi="Calibri"/>
          <w:b/>
          <w:bCs/>
          <w:color w:val="1F3864"/>
          <w:sz w:val="28"/>
          <w:szCs w:val="28"/>
        </w:rPr>
        <w:t xml:space="preserve">6. Metodología</w:t>
      </w:r>
      <w:bookmarkEnd w:id="11"/>
    </w:p>
    <w:p>
      <w:pPr>
        <w:spacing w:after="120" w:before="0" w:line="276"/>
      </w:pPr>
      <w:r>
        <w:rPr>
          <w:rFonts w:ascii="Calibri" w:cs="Calibri" w:eastAsia="Calibri" w:hAnsi="Calibri"/>
          <w:sz w:val="22"/>
          <w:szCs w:val="22"/>
        </w:rPr>
        <w:t xml:space="preserve">El reconocimiento combinó técnicas de georreferenciación y sensores remotos de corto alcance para documentar las manifestaciones con el mayor detalle posible, minimizando el tiempo de exposición del personal en las zonas activas:</w:t>
      </w:r>
    </w:p>
    <w:p>
      <w:pPr>
        <w:pStyle w:val="Heading2"/>
        <w:spacing w:after="90" w:before="180"/>
      </w:pPr>
      <w:bookmarkStart w:name="_Toc12" w:id="12"/>
      <w:r>
        <w:rPr>
          <w:rFonts w:ascii="Calibri" w:cs="Calibri" w:eastAsia="Calibri" w:hAnsi="Calibri"/>
          <w:b/>
          <w:bCs/>
          <w:color w:val="C45911"/>
          <w:sz w:val="24"/>
          <w:szCs w:val="24"/>
        </w:rPr>
        <w:t xml:space="preserve">6.1. Captura de información</w:t>
      </w:r>
      <w:bookmarkEnd w:id="12"/>
    </w:p>
    <w:p>
      <w:pPr>
        <w:pStyle w:val="ListParagraph"/>
        <w:numPr>
          <w:ilvl w:val="0"/>
          <w:numId w:val="1"/>
        </w:numPr>
        <w:spacing w:after="60" w:before="0" w:line="276"/>
      </w:pPr>
      <w:r>
        <w:rPr>
          <w:rFonts w:ascii="Calibri" w:cs="Calibri" w:eastAsia="Calibri" w:hAnsi="Calibri"/>
          <w:b/>
          <w:bCs/>
          <w:sz w:val="22"/>
          <w:szCs w:val="22"/>
        </w:rPr>
        <w:t xml:space="preserve">Recorridos y puntos GPS: </w:t>
      </w:r>
      <w:r>
        <w:rPr>
          <w:rFonts w:ascii="Calibri" w:cs="Calibri" w:eastAsia="Calibri" w:hAnsi="Calibri"/>
          <w:sz w:val="22"/>
          <w:szCs w:val="22"/>
        </w:rPr>
        <w:t xml:space="preserve">Registro continuo del recorrido (track) y marcación de puntos de referencia (waypoints) sobre las zonas de interés, en WGS84.</w:t>
      </w:r>
    </w:p>
    <w:p>
      <w:pPr>
        <w:pStyle w:val="ListParagraph"/>
        <w:numPr>
          <w:ilvl w:val="0"/>
          <w:numId w:val="1"/>
        </w:numPr>
        <w:spacing w:after="60" w:before="0" w:line="276"/>
      </w:pPr>
      <w:r>
        <w:rPr>
          <w:rFonts w:ascii="Calibri" w:cs="Calibri" w:eastAsia="Calibri" w:hAnsi="Calibri"/>
          <w:b/>
          <w:bCs/>
          <w:sz w:val="22"/>
          <w:szCs w:val="22"/>
        </w:rPr>
        <w:t xml:space="preserve">Fotografía con dispositivo móvil: </w:t>
      </w:r>
      <w:r>
        <w:rPr>
          <w:rFonts w:ascii="Calibri" w:cs="Calibri" w:eastAsia="Calibri" w:hAnsi="Calibri"/>
          <w:sz w:val="22"/>
          <w:szCs w:val="22"/>
        </w:rPr>
        <w:t xml:space="preserve">Fotografías terrestres georreferenciadas; cada imagen cuenta con su posición asociada en un archivo shapefile de puntos.</w:t>
      </w:r>
    </w:p>
    <w:p>
      <w:pPr>
        <w:pStyle w:val="ListParagraph"/>
        <w:numPr>
          <w:ilvl w:val="0"/>
          <w:numId w:val="1"/>
        </w:numPr>
        <w:spacing w:after="60" w:before="0" w:line="276"/>
      </w:pPr>
      <w:r>
        <w:rPr>
          <w:rFonts w:ascii="Calibri" w:cs="Calibri" w:eastAsia="Calibri" w:hAnsi="Calibri"/>
          <w:b/>
          <w:bCs/>
          <w:sz w:val="22"/>
          <w:szCs w:val="22"/>
        </w:rPr>
        <w:t xml:space="preserve">Fotografía y video con dron: </w:t>
      </w:r>
      <w:r>
        <w:rPr>
          <w:rFonts w:ascii="Calibri" w:cs="Calibri" w:eastAsia="Calibri" w:hAnsi="Calibri"/>
          <w:sz w:val="22"/>
          <w:szCs w:val="22"/>
        </w:rPr>
        <w:t xml:space="preserve">Imágenes aéreas nadir/oblicuas y video, con coordenadas y altitud registradas en los metadatos (EXIF) de cada toma.</w:t>
      </w:r>
    </w:p>
    <w:p>
      <w:pPr>
        <w:pStyle w:val="ListParagraph"/>
        <w:numPr>
          <w:ilvl w:val="0"/>
          <w:numId w:val="1"/>
        </w:numPr>
        <w:spacing w:after="60" w:before="0" w:line="276"/>
      </w:pPr>
      <w:r>
        <w:rPr>
          <w:rFonts w:ascii="Calibri" w:cs="Calibri" w:eastAsia="Calibri" w:hAnsi="Calibri"/>
          <w:b/>
          <w:bCs/>
          <w:sz w:val="22"/>
          <w:szCs w:val="22"/>
        </w:rPr>
        <w:t xml:space="preserve">Panorámicas 360°: </w:t>
      </w:r>
      <w:r>
        <w:rPr>
          <w:rFonts w:ascii="Calibri" w:cs="Calibri" w:eastAsia="Calibri" w:hAnsi="Calibri"/>
          <w:sz w:val="22"/>
          <w:szCs w:val="22"/>
        </w:rPr>
        <w:t xml:space="preserve">Capturas inmersivas publicadas en la plataforma Kuula para visualización del entorno completo de cada sitio.</w:t>
      </w:r>
    </w:p>
    <w:p>
      <w:pPr>
        <w:pStyle w:val="Heading2"/>
        <w:spacing w:after="90" w:before="180"/>
      </w:pPr>
      <w:bookmarkStart w:name="_Toc13" w:id="13"/>
      <w:r>
        <w:rPr>
          <w:rFonts w:ascii="Calibri" w:cs="Calibri" w:eastAsia="Calibri" w:hAnsi="Calibri"/>
          <w:b/>
          <w:bCs/>
          <w:color w:val="C45911"/>
          <w:sz w:val="24"/>
          <w:szCs w:val="24"/>
        </w:rPr>
        <w:t xml:space="preserve">6.2. Procesamiento y productos</w:t>
      </w:r>
      <w:bookmarkEnd w:id="13"/>
    </w:p>
    <w:p>
      <w:pPr>
        <w:spacing w:after="120" w:before="0" w:line="276"/>
      </w:pPr>
      <w:r>
        <w:rPr>
          <w:rFonts w:ascii="Calibri" w:cs="Calibri" w:eastAsia="Calibri" w:hAnsi="Calibri"/>
          <w:sz w:val="22"/>
          <w:szCs w:val="22"/>
        </w:rPr>
        <w:t xml:space="preserve">La información se consolidó en un visor cartográfico HTML (Leaflet) que integra, por sitio, los recorridos, los puntos GPS, las fotografías georreferenciadas (celular y dron) y los enlaces a las panorámicas 360°, sobre imagen satelital de referencia. Se generaron miniaturas optimizadas de las fotografías para su consulta ágil, conservando el acceso a las imágenes originales.</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Equipos utilizados (marca/modelo de GPS, dron y cámara/celular), precisión nominal del GPS, altura de vuelo del dron y software empleado.</w:t>
      </w:r>
    </w:p>
    <w:p>
      <w:pPr>
        <w:pStyle w:val="Heading1"/>
        <w:spacing w:after="120" w:before="260"/>
      </w:pPr>
      <w:bookmarkStart w:name="_Toc14" w:id="14"/>
      <w:r>
        <w:rPr>
          <w:rFonts w:ascii="Calibri" w:cs="Calibri" w:eastAsia="Calibri" w:hAnsi="Calibri"/>
          <w:b/>
          <w:bCs/>
          <w:color w:val="1F3864"/>
          <w:sz w:val="28"/>
          <w:szCs w:val="28"/>
        </w:rPr>
        <w:t xml:space="preserve">7. Resultados de la visita</w:t>
      </w:r>
      <w:bookmarkEnd w:id="14"/>
    </w:p>
    <w:p>
      <w:pPr>
        <w:pStyle w:val="Heading2"/>
        <w:spacing w:after="90" w:before="180"/>
      </w:pPr>
      <w:bookmarkStart w:name="_Toc15" w:id="15"/>
      <w:r>
        <w:rPr>
          <w:rFonts w:ascii="Calibri" w:cs="Calibri" w:eastAsia="Calibri" w:hAnsi="Calibri"/>
          <w:b/>
          <w:bCs/>
          <w:color w:val="C45911"/>
          <w:sz w:val="24"/>
          <w:szCs w:val="24"/>
        </w:rPr>
        <w:t xml:space="preserve">7.1. Volcán Puerto López (Turbo)</w:t>
      </w:r>
      <w:bookmarkEnd w:id="15"/>
    </w:p>
    <w:p>
      <w:pPr>
        <w:spacing w:after="120" w:before="0" w:line="276"/>
      </w:pPr>
      <w:r>
        <w:rPr>
          <w:rFonts w:ascii="Calibri" w:cs="Calibri" w:eastAsia="Calibri" w:hAnsi="Calibri"/>
          <w:i/>
          <w:iCs/>
          <w:color w:val="595959"/>
          <w:sz w:val="22"/>
          <w:szCs w:val="22"/>
        </w:rPr>
        <w:t xml:space="preserve">Corregimiento Nuevo Antioquia, Vereda Puerto López · 11 de octubre de 2026</w:t>
      </w:r>
    </w:p>
    <w:tbl>
      <w:tblPr>
        <w:tblW w:type="dxa" w:w="10400"/>
        <w:tblBorders>
          <w:top w:val="single" w:color="BFBFBF" w:sz="6"/>
          <w:left w:val="single" w:color="BFBFBF" w:sz="6"/>
          <w:bottom w:val="single" w:color="BFBFBF" w:sz="6"/>
          <w:right w:val="single" w:color="BFBFBF" w:sz="6"/>
          <w:insideH w:val="single" w:color="BFBFBF" w:sz="6"/>
          <w:insideV w:val="single" w:color="BFBFBF" w:sz="6"/>
        </w:tblBorders>
      </w:tblPr>
      <w:tblGrid>
        <w:gridCol w:w="4200"/>
        <w:gridCol w:w="6200"/>
      </w:tblGrid>
      <w:tr>
        <w:trPr>
          <w:tblHeader/>
        </w:trPr>
        <w:tc>
          <w:tcPr>
            <w:tcW w:type="dxa" w:w="42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Variable</w:t>
            </w:r>
          </w:p>
        </w:tc>
        <w:tc>
          <w:tcPr>
            <w:tcW w:type="dxa" w:w="62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Valor registrado</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Recorrido registrado (track)</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11,51 km (3 segmentos)</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Puntos GPS de referencia</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5 (elevación 17–136 m s. n. m.)</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Fotografías con celular (georref.)</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57 (franja 15:54–17:23, hora local)</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Fotografías con dron (georref. EXIF)</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35 (franja 16:14–16:24) + 1 video (DJI_0985)</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Coordenada representativa</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8.051021 N, −76.574899 W (WGS84)</w:t>
            </w:r>
          </w:p>
        </w:tc>
      </w:tr>
    </w:tbl>
    <w:p>
      <w:pPr>
        <w:spacing w:after="80" w:before="100" w:line="276"/>
      </w:pPr>
      <w:r>
        <w:rPr>
          <w:rFonts w:ascii="Calibri" w:cs="Calibri" w:eastAsia="Calibri" w:hAnsi="Calibri"/>
          <w:b/>
          <w:bCs/>
          <w:sz w:val="22"/>
          <w:szCs w:val="22"/>
        </w:rPr>
        <w:t xml:space="preserve">Panorámica(s) 360°: </w:t>
      </w:r>
      <w:r>
        <w:rPr>
          <w:rFonts w:ascii="Calibri" w:cs="Calibri" w:eastAsia="Calibri" w:hAnsi="Calibri"/>
          <w:color w:val="1F3864"/>
          <w:sz w:val="22"/>
          <w:szCs w:val="22"/>
        </w:rPr>
        <w:t xml:space="preserve">Parte 1 — kuula.co/share/collection/7dPhX · Parte 2 — kuula.co/share/collection/7dPhc</w:t>
      </w:r>
    </w:p>
    <w:p>
      <w:pPr>
        <w:spacing w:after="40" w:before="60" w:line="276"/>
      </w:pPr>
      <w:r>
        <w:rPr>
          <w:rFonts w:ascii="Calibri" w:cs="Calibri" w:eastAsia="Calibri" w:hAnsi="Calibri"/>
          <w:b/>
          <w:bCs/>
          <w:color w:val="1F3864"/>
          <w:sz w:val="22"/>
          <w:szCs w:val="22"/>
        </w:rPr>
        <w:t xml:space="preserve">Observaciones de campo</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Descripción del fenómeno: morfología y dimensiones aproximadas del edificio/campo de lodo; número y tipo de focos activos (conos, gryphons, piscinas); características del material emitido (color, consistencia, temperatura, salinidad, presencia de hidrocarburos); emisión de gases y burbujeo; olores; sonidos; cambios evidentes respecto a condiciones previas.</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Afectaciones y elementos expuestos: viviendas, cultivos, vías, cuerpos de agua y población en el área de influencia; distancias aproximadas; señales de flujos recientes o avance del lodo.</w:t>
      </w:r>
    </w:p>
    <w:p>
      <w:pPr>
        <w:spacing w:after="120" w:before="60" w:line="276"/>
      </w:pPr>
      <w:r>
        <w:rPr>
          <w:rFonts w:ascii="Calibri" w:cs="Calibri" w:eastAsia="Calibri" w:hAnsi="Calibri"/>
          <w:b/>
          <w:bCs/>
          <w:sz w:val="22"/>
          <w:szCs w:val="22"/>
        </w:rPr>
        <w:t xml:space="preserve">Registro fotográfico asociado: </w:t>
      </w:r>
      <w:r>
        <w:rPr>
          <w:rFonts w:ascii="Calibri" w:cs="Calibri" w:eastAsia="Calibri" w:hAnsi="Calibri"/>
          <w:sz w:val="22"/>
          <w:szCs w:val="22"/>
        </w:rPr>
        <w:t xml:space="preserve">consultar en el visor las capas de fotos (celular y dron) del sitio, y las carpetas DATOS/20261011_PUERTOLOPEZ/.</w:t>
      </w:r>
    </w:p>
    <w:p>
      <w:pPr>
        <w:pStyle w:val="Heading2"/>
        <w:spacing w:after="90" w:before="180"/>
      </w:pPr>
      <w:bookmarkStart w:name="_Toc16" w:id="16"/>
      <w:r>
        <w:rPr>
          <w:rFonts w:ascii="Calibri" w:cs="Calibri" w:eastAsia="Calibri" w:hAnsi="Calibri"/>
          <w:b/>
          <w:bCs/>
          <w:color w:val="C45911"/>
          <w:sz w:val="24"/>
          <w:szCs w:val="24"/>
        </w:rPr>
        <w:t xml:space="preserve">7.2. El Volcán (Necoclí)</w:t>
      </w:r>
      <w:bookmarkEnd w:id="16"/>
    </w:p>
    <w:p>
      <w:pPr>
        <w:spacing w:after="120" w:before="0" w:line="276"/>
      </w:pPr>
      <w:r>
        <w:rPr>
          <w:rFonts w:ascii="Calibri" w:cs="Calibri" w:eastAsia="Calibri" w:hAnsi="Calibri"/>
          <w:i/>
          <w:iCs/>
          <w:color w:val="595959"/>
          <w:sz w:val="22"/>
          <w:szCs w:val="22"/>
        </w:rPr>
        <w:t xml:space="preserve">Vereda El Volcán · 12 de octubre de 2026</w:t>
      </w:r>
    </w:p>
    <w:tbl>
      <w:tblPr>
        <w:tblW w:type="dxa" w:w="10400"/>
        <w:tblBorders>
          <w:top w:val="single" w:color="BFBFBF" w:sz="6"/>
          <w:left w:val="single" w:color="BFBFBF" w:sz="6"/>
          <w:bottom w:val="single" w:color="BFBFBF" w:sz="6"/>
          <w:right w:val="single" w:color="BFBFBF" w:sz="6"/>
          <w:insideH w:val="single" w:color="BFBFBF" w:sz="6"/>
          <w:insideV w:val="single" w:color="BFBFBF" w:sz="6"/>
        </w:tblBorders>
      </w:tblPr>
      <w:tblGrid>
        <w:gridCol w:w="4200"/>
        <w:gridCol w:w="6200"/>
      </w:tblGrid>
      <w:tr>
        <w:trPr>
          <w:tblHeader/>
        </w:trPr>
        <w:tc>
          <w:tcPr>
            <w:tcW w:type="dxa" w:w="42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Variable</w:t>
            </w:r>
          </w:p>
        </w:tc>
        <w:tc>
          <w:tcPr>
            <w:tcW w:type="dxa" w:w="62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Valor registrado</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Recorrido registrado (track)</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24,15 km (2 segmentos)</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Puntos GPS de referencia</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15 (elevación 6–198 m s. n. m.)</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Fotografías con celular (georref.)</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78 (franja 09:12–12:06, hora local)</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Fotografías con dron (georref. EXIF)</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81 (franja 10:37–10:51) + 1 video (DJI_0020)</w:t>
            </w:r>
          </w:p>
        </w:tc>
      </w:tr>
      <w:tr>
        <w:tc>
          <w:tcPr>
            <w:tcW w:type="dxa" w:w="4200"/>
            <w:shd w:fill="F2F2F2" w:color="auto" w:val="clear"/>
            <w:tcMar>
              <w:top w:type="dxa" w:w="60"/>
              <w:left w:type="dxa" w:w="90"/>
              <w:bottom w:type="dxa" w:w="60"/>
              <w:right w:type="dxa" w:w="90"/>
            </w:tcMar>
            <w:vAlign w:val="center"/>
          </w:tcPr>
          <w:p>
            <w:pPr>
              <w:spacing w:after="0" w:line="260"/>
            </w:pPr>
            <w:r>
              <w:rPr>
                <w:rFonts w:ascii="Calibri" w:cs="Calibri" w:eastAsia="Calibri" w:hAnsi="Calibri"/>
                <w:b/>
                <w:bCs/>
                <w:sz w:val="19"/>
                <w:szCs w:val="19"/>
              </w:rPr>
              <w:t xml:space="preserve">Coordenada representativa</w:t>
            </w:r>
          </w:p>
        </w:tc>
        <w:tc>
          <w:tcPr>
            <w:tcW w:type="dxa" w:w="6200"/>
            <w:tcMar>
              <w:top w:type="dxa" w:w="60"/>
              <w:left w:type="dxa" w:w="90"/>
              <w:bottom w:type="dxa" w:w="60"/>
              <w:right w:type="dxa" w:w="90"/>
            </w:tcMar>
            <w:vAlign w:val="center"/>
          </w:tcPr>
          <w:p>
            <w:pPr>
              <w:spacing w:after="0" w:line="260"/>
            </w:pPr>
            <w:r>
              <w:rPr>
                <w:rFonts w:ascii="Calibri" w:cs="Calibri" w:eastAsia="Calibri" w:hAnsi="Calibri"/>
                <w:sz w:val="19"/>
                <w:szCs w:val="19"/>
              </w:rPr>
              <w:t xml:space="preserve">8.380498 N, −76.641233 W (WGS84)</w:t>
            </w:r>
          </w:p>
        </w:tc>
      </w:tr>
    </w:tbl>
    <w:p>
      <w:pPr>
        <w:spacing w:after="80" w:before="100" w:line="276"/>
      </w:pPr>
      <w:r>
        <w:rPr>
          <w:rFonts w:ascii="Calibri" w:cs="Calibri" w:eastAsia="Calibri" w:hAnsi="Calibri"/>
          <w:b/>
          <w:bCs/>
          <w:sz w:val="22"/>
          <w:szCs w:val="22"/>
        </w:rPr>
        <w:t xml:space="preserve">Panorámica(s) 360°: </w:t>
      </w:r>
      <w:r>
        <w:rPr>
          <w:rFonts w:ascii="Calibri" w:cs="Calibri" w:eastAsia="Calibri" w:hAnsi="Calibri"/>
          <w:color w:val="1F3864"/>
          <w:sz w:val="22"/>
          <w:szCs w:val="22"/>
        </w:rPr>
        <w:t xml:space="preserve">kuula.co/share/collection/7dPdG</w:t>
      </w:r>
    </w:p>
    <w:p>
      <w:pPr>
        <w:spacing w:after="40" w:before="60" w:line="276"/>
      </w:pPr>
      <w:r>
        <w:rPr>
          <w:rFonts w:ascii="Calibri" w:cs="Calibri" w:eastAsia="Calibri" w:hAnsi="Calibri"/>
          <w:b/>
          <w:bCs/>
          <w:color w:val="1F3864"/>
          <w:sz w:val="22"/>
          <w:szCs w:val="22"/>
        </w:rPr>
        <w:t xml:space="preserve">Observaciones de campo</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Descripción del fenómeno: morfología y dimensiones aproximadas del edificio/campo de lodo; número y tipo de focos activos (conos, gryphons, piscinas); características del material emitido (color, consistencia, temperatura, salinidad, presencia de hidrocarburos); emisión de gases y burbujeo; olores; sonidos; cambios evidentes respecto a condiciones previas.</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Afectaciones y elementos expuestos: viviendas, cultivos, vías, cuerpos de agua y población en el área de influencia; distancias aproximadas; señales de flujos recientes o avance del lodo.</w:t>
      </w:r>
    </w:p>
    <w:p>
      <w:pPr>
        <w:spacing w:after="120" w:before="60" w:line="276"/>
      </w:pPr>
      <w:r>
        <w:rPr>
          <w:rFonts w:ascii="Calibri" w:cs="Calibri" w:eastAsia="Calibri" w:hAnsi="Calibri"/>
          <w:b/>
          <w:bCs/>
          <w:sz w:val="22"/>
          <w:szCs w:val="22"/>
        </w:rPr>
        <w:t xml:space="preserve">Registro fotográfico asociado: </w:t>
      </w:r>
      <w:r>
        <w:rPr>
          <w:rFonts w:ascii="Calibri" w:cs="Calibri" w:eastAsia="Calibri" w:hAnsi="Calibri"/>
          <w:sz w:val="22"/>
          <w:szCs w:val="22"/>
        </w:rPr>
        <w:t xml:space="preserve">consultar en el visor las capas de fotos (celular y dron) del sitio, y las carpetas DATOS/20261012_ELVOLCAN/.</w:t>
      </w:r>
    </w:p>
    <w:p>
      <w:pPr>
        <w:pStyle w:val="Heading1"/>
        <w:spacing w:after="120" w:before="260"/>
      </w:pPr>
      <w:bookmarkStart w:name="_Toc17" w:id="17"/>
      <w:r>
        <w:rPr>
          <w:rFonts w:ascii="Calibri" w:cs="Calibri" w:eastAsia="Calibri" w:hAnsi="Calibri"/>
          <w:b/>
          <w:bCs/>
          <w:color w:val="1F3864"/>
          <w:sz w:val="28"/>
          <w:szCs w:val="28"/>
        </w:rPr>
        <w:t xml:space="preserve">8. Análisis e interpretación</w:t>
      </w:r>
      <w:bookmarkEnd w:id="17"/>
    </w:p>
    <w:p>
      <w:pPr>
        <w:spacing w:after="120" w:before="0" w:line="276"/>
      </w:pPr>
      <w:r>
        <w:rPr>
          <w:rFonts w:ascii="Calibri" w:cs="Calibri" w:eastAsia="Calibri" w:hAnsi="Calibri"/>
          <w:sz w:val="22"/>
          <w:szCs w:val="22"/>
        </w:rPr>
        <w:t xml:space="preserve">A partir de la información recolectada y de las observaciones de campo, se analiza la relación entre el sismo detonante y el comportamiento observado en las manifestaciones, así como el nivel de actividad y su tendencia.</w:t>
      </w:r>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Interpretación técnica: relación temporal/espacial con el sismo; comparación con el estado previo (si se dispone de registros históricos o imágenes satelitales anteriores); estimación del nivel de actividad; mecanismos probables; incertidumbres.</w:t>
      </w:r>
    </w:p>
    <w:p>
      <w:pPr>
        <w:pStyle w:val="Heading1"/>
        <w:spacing w:after="120" w:before="260"/>
      </w:pPr>
      <w:bookmarkStart w:name="_Toc18" w:id="18"/>
      <w:r>
        <w:rPr>
          <w:rFonts w:ascii="Calibri" w:cs="Calibri" w:eastAsia="Calibri" w:hAnsi="Calibri"/>
          <w:b/>
          <w:bCs/>
          <w:color w:val="1F3864"/>
          <w:sz w:val="28"/>
          <w:szCs w:val="28"/>
        </w:rPr>
        <w:t xml:space="preserve">9. Conclusiones</w:t>
      </w:r>
      <w:bookmarkEnd w:id="18"/>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Principales hallazgos de la visita, de forma concreta y verificable con la evidencia recolectada.</w:t>
      </w:r>
    </w:p>
    <w:p>
      <w:pPr>
        <w:pStyle w:val="Heading1"/>
        <w:spacing w:after="120" w:before="260"/>
      </w:pPr>
      <w:bookmarkStart w:name="_Toc19" w:id="19"/>
      <w:r>
        <w:rPr>
          <w:rFonts w:ascii="Calibri" w:cs="Calibri" w:eastAsia="Calibri" w:hAnsi="Calibri"/>
          <w:b/>
          <w:bCs/>
          <w:color w:val="1F3864"/>
          <w:sz w:val="28"/>
          <w:szCs w:val="28"/>
        </w:rPr>
        <w:t xml:space="preserve">10. Recomendaciones</w:t>
      </w:r>
      <w:bookmarkEnd w:id="19"/>
    </w:p>
    <w:p>
      <w:pPr>
        <w:pBdr>
          <w:left w:val="single" w:color="C45911" w:sz="18" w:space="6"/>
        </w:pBdr>
        <w:shd w:fill="FFF2CC" w:color="auto" w:val="clear"/>
        <w:spacing w:after="140" w:before="40"/>
      </w:pPr>
      <w:r>
        <w:rPr>
          <w:rFonts w:ascii="Calibri" w:cs="Calibri" w:eastAsia="Calibri" w:hAnsi="Calibri"/>
          <w:b/>
          <w:bCs/>
          <w:color w:val="C45911"/>
          <w:sz w:val="20"/>
          <w:szCs w:val="20"/>
        </w:rPr>
        <w:t xml:space="preserve">» POR COMPLETAR EN CAMPO/GABINETE: </w:t>
      </w:r>
      <w:r>
        <w:rPr>
          <w:rFonts w:ascii="Calibri" w:cs="Calibri" w:eastAsia="Calibri" w:hAnsi="Calibri"/>
          <w:i/>
          <w:iCs/>
          <w:color w:val="7F6000"/>
          <w:sz w:val="20"/>
          <w:szCs w:val="20"/>
        </w:rPr>
        <w:t xml:space="preserve">Recomendaciones a las autoridades municipales (Turbo, Necoclí) y al CDGRD/CMGRD: medidas de prevención, señalización/aislamiento de zonas activas, monitoreo, socialización con la comunidad, y necesidades de estudios complementarios.</w:t>
      </w:r>
    </w:p>
    <w:p>
      <w:pPr>
        <w:pStyle w:val="Heading1"/>
        <w:spacing w:after="120" w:before="260"/>
      </w:pPr>
      <w:bookmarkStart w:name="_Toc20" w:id="20"/>
      <w:r>
        <w:rPr>
          <w:rFonts w:ascii="Calibri" w:cs="Calibri" w:eastAsia="Calibri" w:hAnsi="Calibri"/>
          <w:b/>
          <w:bCs/>
          <w:color w:val="1F3864"/>
          <w:sz w:val="28"/>
          <w:szCs w:val="28"/>
        </w:rPr>
        <w:t xml:space="preserve">11. Anexos</w:t>
      </w:r>
      <w:bookmarkEnd w:id="20"/>
    </w:p>
    <w:p>
      <w:pPr>
        <w:pStyle w:val="Heading2"/>
        <w:spacing w:after="90" w:before="180"/>
      </w:pPr>
      <w:bookmarkStart w:name="_Toc21" w:id="21"/>
      <w:r>
        <w:rPr>
          <w:rFonts w:ascii="Calibri" w:cs="Calibri" w:eastAsia="Calibri" w:hAnsi="Calibri"/>
          <w:b/>
          <w:bCs/>
          <w:color w:val="C45911"/>
          <w:sz w:val="24"/>
          <w:szCs w:val="24"/>
        </w:rPr>
        <w:t xml:space="preserve">11.1. Inventario de información capturada</w:t>
      </w:r>
      <w:bookmarkEnd w:id="21"/>
    </w:p>
    <w:tbl>
      <w:tblPr>
        <w:tblW w:type="dxa" w:w="10400"/>
        <w:tblBorders>
          <w:top w:val="single" w:color="BFBFBF" w:sz="6"/>
          <w:left w:val="single" w:color="BFBFBF" w:sz="6"/>
          <w:bottom w:val="single" w:color="BFBFBF" w:sz="6"/>
          <w:right w:val="single" w:color="BFBFBF" w:sz="6"/>
          <w:insideH w:val="single" w:color="BFBFBF" w:sz="6"/>
          <w:insideV w:val="single" w:color="BFBFBF" w:sz="6"/>
        </w:tblBorders>
      </w:tblPr>
      <w:tblGrid>
        <w:gridCol w:w="3600"/>
        <w:gridCol w:w="2300"/>
        <w:gridCol w:w="2300"/>
        <w:gridCol w:w="2200"/>
      </w:tblGrid>
      <w:tr>
        <w:trPr>
          <w:tblHeader/>
        </w:trPr>
        <w:tc>
          <w:tcPr>
            <w:tcW w:type="dxa" w:w="36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Producto</w:t>
            </w:r>
          </w:p>
        </w:tc>
        <w:tc>
          <w:tcPr>
            <w:tcW w:type="dxa" w:w="2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Puerto López</w:t>
            </w:r>
          </w:p>
        </w:tc>
        <w:tc>
          <w:tcPr>
            <w:tcW w:type="dxa" w:w="2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El Volcán</w:t>
            </w:r>
          </w:p>
        </w:tc>
        <w:tc>
          <w:tcPr>
            <w:tcW w:type="dxa" w:w="22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Formato</w:t>
            </w:r>
          </w:p>
        </w:tc>
      </w:tr>
      <w:tr>
        <w:tc>
          <w:tcPr>
            <w:tcW w:type="dxa" w:w="36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Track (recorrido)</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11,51 km</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24,15 km</w:t>
            </w:r>
          </w:p>
        </w:tc>
        <w:tc>
          <w:tcPr>
            <w:tcW w:type="dxa" w:w="22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Shapefile</w:t>
            </w:r>
          </w:p>
        </w:tc>
      </w:tr>
      <w:tr>
        <w:tc>
          <w:tcPr>
            <w:tcW w:type="dxa" w:w="36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Puntos GPS de referencia</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5</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15</w:t>
            </w:r>
          </w:p>
        </w:tc>
        <w:tc>
          <w:tcPr>
            <w:tcW w:type="dxa" w:w="22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Shapefile</w:t>
            </w:r>
          </w:p>
        </w:tc>
      </w:tr>
      <w:tr>
        <w:tc>
          <w:tcPr>
            <w:tcW w:type="dxa" w:w="36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Fotografías celular</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57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78</w:t>
            </w:r>
          </w:p>
        </w:tc>
        <w:tc>
          <w:tcPr>
            <w:tcW w:type="dxa" w:w="22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JPG + Shapefile</w:t>
            </w:r>
          </w:p>
        </w:tc>
      </w:tr>
      <w:tr>
        <w:tc>
          <w:tcPr>
            <w:tcW w:type="dxa" w:w="36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Fotografías dron</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35</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81</w:t>
            </w:r>
          </w:p>
        </w:tc>
        <w:tc>
          <w:tcPr>
            <w:tcW w:type="dxa" w:w="22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JPG (EXIF GPS)</w:t>
            </w:r>
          </w:p>
        </w:tc>
      </w:tr>
      <w:tr>
        <w:tc>
          <w:tcPr>
            <w:tcW w:type="dxa" w:w="36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Video dron</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w:t>
            </w:r>
          </w:p>
        </w:tc>
        <w:tc>
          <w:tcPr>
            <w:tcW w:type="dxa" w:w="22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MP4 + SRT</w:t>
            </w:r>
          </w:p>
        </w:tc>
      </w:tr>
      <w:tr>
        <w:tc>
          <w:tcPr>
            <w:tcW w:type="dxa" w:w="36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Panorámicas 360°</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2 colecciones</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1 colección</w:t>
            </w:r>
          </w:p>
        </w:tc>
        <w:tc>
          <w:tcPr>
            <w:tcW w:type="dxa" w:w="2200"/>
            <w:tcMar>
              <w:top w:type="dxa" w:w="60"/>
              <w:left w:type="dxa" w:w="90"/>
              <w:bottom w:type="dxa" w:w="60"/>
              <w:right w:type="dxa" w:w="90"/>
            </w:tcMar>
            <w:vAlign w:val="center"/>
          </w:tcPr>
          <w:p>
            <w:pPr>
              <w:spacing w:after="0" w:line="260"/>
            </w:pPr>
            <w:r>
              <w:rPr>
                <w:rFonts w:ascii="Calibri" w:cs="Calibri" w:eastAsia="Calibri" w:hAnsi="Calibri"/>
                <w:sz w:val="20"/>
                <w:szCs w:val="20"/>
              </w:rPr>
              <w:t xml:space="preserve">Kuula (web)</w:t>
            </w:r>
          </w:p>
        </w:tc>
      </w:tr>
    </w:tbl>
    <w:p>
      <w:pPr>
        <w:pStyle w:val="Heading2"/>
        <w:spacing w:after="90" w:before="180"/>
      </w:pPr>
      <w:bookmarkStart w:name="_Toc22" w:id="22"/>
      <w:r>
        <w:rPr>
          <w:rFonts w:ascii="Calibri" w:cs="Calibri" w:eastAsia="Calibri" w:hAnsi="Calibri"/>
          <w:b/>
          <w:bCs/>
          <w:color w:val="C45911"/>
          <w:sz w:val="24"/>
          <w:szCs w:val="24"/>
        </w:rPr>
        <w:t xml:space="preserve">11.2. Enlaces a panorámicas 360° (Kuula)</w:t>
      </w:r>
      <w:bookmarkEnd w:id="22"/>
    </w:p>
    <w:p>
      <w:pPr>
        <w:pStyle w:val="ListParagraph"/>
        <w:numPr>
          <w:ilvl w:val="0"/>
          <w:numId w:val="1"/>
        </w:numPr>
        <w:spacing w:after="50" w:before="0" w:line="276"/>
      </w:pPr>
      <w:r>
        <w:rPr>
          <w:rFonts w:ascii="Calibri" w:cs="Calibri" w:eastAsia="Calibri" w:hAnsi="Calibri"/>
          <w:b/>
          <w:bCs/>
          <w:sz w:val="22"/>
          <w:szCs w:val="22"/>
        </w:rPr>
        <w:t xml:space="preserve">Puerto López · 360 — Parte 1: </w:t>
      </w:r>
      <w:r>
        <w:rPr>
          <w:rFonts w:ascii="Calibri" w:cs="Calibri" w:eastAsia="Calibri" w:hAnsi="Calibri"/>
          <w:color w:val="1F3864"/>
          <w:sz w:val="22"/>
          <w:szCs w:val="22"/>
        </w:rPr>
        <w:t xml:space="preserve">https://kuula.co/share/collection/7dPhX</w:t>
      </w:r>
    </w:p>
    <w:p>
      <w:pPr>
        <w:pStyle w:val="ListParagraph"/>
        <w:numPr>
          <w:ilvl w:val="0"/>
          <w:numId w:val="1"/>
        </w:numPr>
        <w:spacing w:after="50" w:before="0" w:line="276"/>
      </w:pPr>
      <w:r>
        <w:rPr>
          <w:rFonts w:ascii="Calibri" w:cs="Calibri" w:eastAsia="Calibri" w:hAnsi="Calibri"/>
          <w:b/>
          <w:bCs/>
          <w:sz w:val="22"/>
          <w:szCs w:val="22"/>
        </w:rPr>
        <w:t xml:space="preserve">Puerto López · 360 — Parte 2: </w:t>
      </w:r>
      <w:r>
        <w:rPr>
          <w:rFonts w:ascii="Calibri" w:cs="Calibri" w:eastAsia="Calibri" w:hAnsi="Calibri"/>
          <w:color w:val="1F3864"/>
          <w:sz w:val="22"/>
          <w:szCs w:val="22"/>
        </w:rPr>
        <w:t xml:space="preserve">https://kuula.co/share/collection/7dPhc</w:t>
      </w:r>
    </w:p>
    <w:p>
      <w:pPr>
        <w:pStyle w:val="ListParagraph"/>
        <w:numPr>
          <w:ilvl w:val="0"/>
          <w:numId w:val="1"/>
        </w:numPr>
        <w:spacing w:after="50" w:before="0" w:line="276"/>
      </w:pPr>
      <w:r>
        <w:rPr>
          <w:rFonts w:ascii="Calibri" w:cs="Calibri" w:eastAsia="Calibri" w:hAnsi="Calibri"/>
          <w:b/>
          <w:bCs/>
          <w:sz w:val="22"/>
          <w:szCs w:val="22"/>
        </w:rPr>
        <w:t xml:space="preserve">El Volcán · 360: </w:t>
      </w:r>
      <w:r>
        <w:rPr>
          <w:rFonts w:ascii="Calibri" w:cs="Calibri" w:eastAsia="Calibri" w:hAnsi="Calibri"/>
          <w:color w:val="1F3864"/>
          <w:sz w:val="22"/>
          <w:szCs w:val="22"/>
        </w:rPr>
        <w:t xml:space="preserve">https://kuula.co/share/collection/7dPdG</w:t>
      </w:r>
    </w:p>
    <w:p>
      <w:pPr>
        <w:pStyle w:val="Heading2"/>
        <w:spacing w:after="90" w:before="180"/>
      </w:pPr>
      <w:bookmarkStart w:name="_Toc23" w:id="23"/>
      <w:r>
        <w:rPr>
          <w:rFonts w:ascii="Calibri" w:cs="Calibri" w:eastAsia="Calibri" w:hAnsi="Calibri"/>
          <w:b/>
          <w:bCs/>
          <w:color w:val="C45911"/>
          <w:sz w:val="24"/>
          <w:szCs w:val="24"/>
        </w:rPr>
        <w:t xml:space="preserve">11.3. Listado de puntos GPS de referencia — Puerto López</w:t>
      </w:r>
      <w:bookmarkEnd w:id="23"/>
    </w:p>
    <w:tbl>
      <w:tblPr>
        <w:tblW w:type="dxa" w:w="10400"/>
        <w:tblBorders>
          <w:top w:val="single" w:color="BFBFBF" w:sz="6"/>
          <w:left w:val="single" w:color="BFBFBF" w:sz="6"/>
          <w:bottom w:val="single" w:color="BFBFBF" w:sz="6"/>
          <w:right w:val="single" w:color="BFBFBF" w:sz="6"/>
          <w:insideH w:val="single" w:color="BFBFBF" w:sz="6"/>
          <w:insideV w:val="single" w:color="BFBFBF" w:sz="6"/>
        </w:tblBorders>
      </w:tblPr>
      <w:tblGrid>
        <w:gridCol w:w="700"/>
        <w:gridCol w:w="1900"/>
        <w:gridCol w:w="1900"/>
        <w:gridCol w:w="2300"/>
        <w:gridCol w:w="2300"/>
        <w:gridCol w:w="1300"/>
      </w:tblGrid>
      <w:tr>
        <w:trPr>
          <w:tblHeader/>
        </w:trPr>
        <w:tc>
          <w:tcPr>
            <w:tcW w:type="dxa" w:w="7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w:t>
            </w:r>
          </w:p>
        </w:tc>
        <w:tc>
          <w:tcPr>
            <w:tcW w:type="dxa" w:w="19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Fecha</w:t>
            </w:r>
          </w:p>
        </w:tc>
        <w:tc>
          <w:tcPr>
            <w:tcW w:type="dxa" w:w="19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Hora local</w:t>
            </w:r>
          </w:p>
        </w:tc>
        <w:tc>
          <w:tcPr>
            <w:tcW w:type="dxa" w:w="2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Latitud (N)</w:t>
            </w:r>
          </w:p>
        </w:tc>
        <w:tc>
          <w:tcPr>
            <w:tcW w:type="dxa" w:w="2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Longitud (W)</w:t>
            </w:r>
          </w:p>
        </w:tc>
        <w:tc>
          <w:tcPr>
            <w:tcW w:type="dxa" w:w="1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Elev. (m)</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13:21:04</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7.817785</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-76.717373</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18</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15:55:00</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8.048921</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-76.575037</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87</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3</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16:07:33</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8.051187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-76.574492</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102</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4</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16:51:27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8.052143</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-76.578096</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136</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5</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18:15:58</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8.096793</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-76.724000</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17</w:t>
            </w:r>
          </w:p>
        </w:tc>
      </w:tr>
    </w:tbl>
    <w:p>
      <w:pPr>
        <w:pStyle w:val="Heading2"/>
        <w:spacing w:after="90" w:before="180"/>
      </w:pPr>
      <w:bookmarkStart w:name="_Toc24" w:id="24"/>
      <w:r>
        <w:rPr>
          <w:rFonts w:ascii="Calibri" w:cs="Calibri" w:eastAsia="Calibri" w:hAnsi="Calibri"/>
          <w:b/>
          <w:bCs/>
          <w:color w:val="C45911"/>
          <w:sz w:val="24"/>
          <w:szCs w:val="24"/>
        </w:rPr>
        <w:t xml:space="preserve">11.4. Listado de puntos GPS de referencia — El Volcán</w:t>
      </w:r>
      <w:bookmarkEnd w:id="24"/>
    </w:p>
    <w:tbl>
      <w:tblPr>
        <w:tblW w:type="dxa" w:w="10400"/>
        <w:tblBorders>
          <w:top w:val="single" w:color="BFBFBF" w:sz="6"/>
          <w:left w:val="single" w:color="BFBFBF" w:sz="6"/>
          <w:bottom w:val="single" w:color="BFBFBF" w:sz="6"/>
          <w:right w:val="single" w:color="BFBFBF" w:sz="6"/>
          <w:insideH w:val="single" w:color="BFBFBF" w:sz="6"/>
          <w:insideV w:val="single" w:color="BFBFBF" w:sz="6"/>
        </w:tblBorders>
      </w:tblPr>
      <w:tblGrid>
        <w:gridCol w:w="700"/>
        <w:gridCol w:w="1900"/>
        <w:gridCol w:w="1900"/>
        <w:gridCol w:w="2300"/>
        <w:gridCol w:w="2300"/>
        <w:gridCol w:w="1300"/>
      </w:tblGrid>
      <w:tr>
        <w:trPr>
          <w:tblHeader/>
        </w:trPr>
        <w:tc>
          <w:tcPr>
            <w:tcW w:type="dxa" w:w="7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w:t>
            </w:r>
          </w:p>
        </w:tc>
        <w:tc>
          <w:tcPr>
            <w:tcW w:type="dxa" w:w="19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Fecha</w:t>
            </w:r>
          </w:p>
        </w:tc>
        <w:tc>
          <w:tcPr>
            <w:tcW w:type="dxa" w:w="19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Hora local</w:t>
            </w:r>
          </w:p>
        </w:tc>
        <w:tc>
          <w:tcPr>
            <w:tcW w:type="dxa" w:w="2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Latitud (N)</w:t>
            </w:r>
          </w:p>
        </w:tc>
        <w:tc>
          <w:tcPr>
            <w:tcW w:type="dxa" w:w="2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Longitud (W)</w:t>
            </w:r>
          </w:p>
        </w:tc>
        <w:tc>
          <w:tcPr>
            <w:tcW w:type="dxa" w:w="1300"/>
            <w:shd w:fill="1F3864" w:color="auto" w:val="clear"/>
            <w:tcMar>
              <w:top w:type="dxa" w:w="60"/>
              <w:left w:type="dxa" w:w="90"/>
              <w:bottom w:type="dxa" w:w="60"/>
              <w:right w:type="dxa" w:w="90"/>
            </w:tcMar>
            <w:vAlign w:val="center"/>
          </w:tcPr>
          <w:p>
            <w:pPr>
              <w:spacing w:after="0" w:line="260"/>
            </w:pPr>
            <w:r>
              <w:rPr>
                <w:rFonts w:ascii="Calibri" w:cs="Calibri" w:eastAsia="Calibri" w:hAnsi="Calibri"/>
                <w:b/>
                <w:bCs/>
                <w:color w:val="FFFFFF"/>
                <w:sz w:val="20"/>
                <w:szCs w:val="20"/>
              </w:rPr>
              <w:t xml:space="preserve">Elev. (m)</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07:28:27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8.412619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-76.754832</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6</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09:12:19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8.384989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-76.643034</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100</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3</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10:01:07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8.383534</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-76.643017</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87</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4</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10:04:57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8.383077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-76.643049</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96</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5</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10:10:09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8.382149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-76.642290</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114</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6</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10:13:47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8.381135</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-76.641969</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123</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7</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10:24:40</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8.380408</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-76.641477</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132</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8</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10:26:21</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8.380430</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-76.641309</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136</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9</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10:28:24</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8.380382</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-76.641127</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138</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10</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11:13:22</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8.379627</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-76.639724</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151</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11</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11:58:59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8.375895</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-76.635416</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198</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12:00:42</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8.375546</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-76.635211</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197</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13</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12:04:03</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8.374973</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-76.635426</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192</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14</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12:05:24</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8.375089</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-76.635637</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191</w:t>
            </w:r>
          </w:p>
        </w:tc>
      </w:tr>
      <w:tr>
        <w:tc>
          <w:tcPr>
            <w:tcW w:type="dxa" w:w="7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15</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2026-10-12</w:t>
            </w:r>
          </w:p>
        </w:tc>
        <w:tc>
          <w:tcPr>
            <w:tcW w:type="dxa" w:w="19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15:54:06</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8.423171</w:t>
            </w:r>
          </w:p>
        </w:tc>
        <w:tc>
          <w:tcPr>
            <w:tcW w:type="dxa" w:w="2300"/>
            <w:tcMar>
              <w:top w:type="dxa" w:w="60"/>
              <w:left w:type="dxa" w:w="90"/>
              <w:bottom w:type="dxa" w:w="60"/>
              <w:right w:type="dxa" w:w="90"/>
            </w:tcMar>
            <w:vAlign w:val="center"/>
          </w:tcPr>
          <w:p>
            <w:pPr>
              <w:spacing w:after="0" w:line="260"/>
            </w:pPr>
            <w:r>
              <w:rPr>
                <w:rFonts w:ascii="Calibri" w:cs="Calibri" w:eastAsia="Calibri" w:hAnsi="Calibri"/>
                <w:sz w:val="18"/>
                <w:szCs w:val="18"/>
              </w:rPr>
              <w:t xml:space="preserve">-76.779608</w:t>
            </w:r>
          </w:p>
        </w:tc>
        <w:tc>
          <w:tcPr>
            <w:tcW w:type="dxa" w:w="1300"/>
            <w:tcMar>
              <w:top w:type="dxa" w:w="60"/>
              <w:left w:type="dxa" w:w="90"/>
              <w:bottom w:type="dxa" w:w="60"/>
              <w:right w:type="dxa" w:w="90"/>
            </w:tcMar>
            <w:vAlign w:val="center"/>
          </w:tcPr>
          <w:p>
            <w:pPr>
              <w:spacing w:after="0" w:line="260"/>
              <w:jc w:val="center"/>
            </w:pPr>
            <w:r>
              <w:rPr>
                <w:rFonts w:ascii="Calibri" w:cs="Calibri" w:eastAsia="Calibri" w:hAnsi="Calibri"/>
                <w:sz w:val="18"/>
                <w:szCs w:val="18"/>
              </w:rPr>
              <w:t xml:space="preserve">11</w:t>
            </w:r>
          </w:p>
        </w:tc>
      </w:tr>
    </w:tbl>
    <w:p>
      <w:pPr>
        <w:pStyle w:val="Heading2"/>
        <w:spacing w:after="90" w:before="180"/>
      </w:pPr>
      <w:bookmarkStart w:name="_Toc25" w:id="25"/>
      <w:r>
        <w:rPr>
          <w:rFonts w:ascii="Calibri" w:cs="Calibri" w:eastAsia="Calibri" w:hAnsi="Calibri"/>
          <w:b/>
          <w:bCs/>
          <w:color w:val="C45911"/>
          <w:sz w:val="24"/>
          <w:szCs w:val="24"/>
        </w:rPr>
        <w:t xml:space="preserve">11.5. Visor cartográfico</w:t>
      </w:r>
      <w:bookmarkEnd w:id="25"/>
    </w:p>
    <w:p>
      <w:pPr>
        <w:spacing w:after="120" w:before="0" w:line="276"/>
      </w:pPr>
      <w:r>
        <w:rPr>
          <w:rFonts w:ascii="Calibri" w:cs="Calibri" w:eastAsia="Calibri" w:hAnsi="Calibri"/>
          <w:b/>
          <w:bCs/>
          <w:sz w:val="22"/>
          <w:szCs w:val="22"/>
        </w:rPr>
        <w:t xml:space="preserve">Archivo: </w:t>
      </w:r>
      <w:r>
        <w:rPr>
          <w:rFonts w:ascii="Calibri" w:cs="Calibri" w:eastAsia="Calibri" w:hAnsi="Calibri"/>
          <w:sz w:val="22"/>
          <w:szCs w:val="22"/>
        </w:rPr>
        <w:t xml:space="preserve">VISOR_DIAPIRISMO.html</w:t>
      </w:r>
      <w:r>
        <w:rPr>
          <w:rFonts w:ascii="Calibri" w:cs="Calibri" w:eastAsia="Calibri" w:hAnsi="Calibri"/>
          <w:sz w:val="22"/>
          <w:szCs w:val="22"/>
        </w:rPr>
        <w:t xml:space="preserve"> (ábralo con doble clic en un navegador web; requiere conexión a internet para la imagen satelital y las panorámicas 360°). Integra recorridos, puntos GPS, fotografías georreferenciadas de celular y dron, y las vistas 360° de los dos sitios.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Documento de trabajo (borrador) — octubre 2026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Calibri" w:cs="Calibri" w:eastAsia="Calibri" w:hAnsi="Calibri"/>
        <w:color w:val="595959"/>
        <w:sz w:val="16"/>
        <w:szCs w:val="16"/>
      </w:rPr>
      <w:t xml:space="preserve">UNGRD · SCR — Memoria técnica · Diapirismo Golfo de Urabá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rPr>
        <w:color w:val="C4591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técnica - Diapirismo Golfo de Urabá</dc:title>
  <dc:creator>UNGRD - SCR</dc:creator>
  <dc:description>Visita técnica volcanes de lodo Urabá, 11-12 oct 2026</dc:description>
  <cp:lastModifiedBy>Un-named</cp:lastModifiedBy>
  <cp:revision>1</cp:revision>
  <dcterms:created xsi:type="dcterms:W3CDTF">2026-10-13T06:46:23.389Z</dcterms:created>
  <dcterms:modified xsi:type="dcterms:W3CDTF">2026-10-13T06:46:23.390Z</dcterms:modified>
</cp:coreProperties>
</file>

<file path=docProps/custom.xml><?xml version="1.0" encoding="utf-8"?>
<Properties xmlns="http://schemas.openxmlformats.org/officeDocument/2006/custom-properties" xmlns:vt="http://schemas.openxmlformats.org/officeDocument/2006/docPropsVTypes"/>
</file>