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5C5FD" w14:textId="1B346A6E" w:rsidR="00401E4E" w:rsidRDefault="00C000F2" w:rsidP="00DF66C2">
      <w:pPr>
        <w:pStyle w:val="Title"/>
      </w:pPr>
      <w:r w:rsidRPr="00C000F2">
        <w:t xml:space="preserve">Effects of psilocybin on psychological </w:t>
      </w:r>
      <w:r>
        <w:t>distress</w:t>
      </w:r>
      <w:r w:rsidR="0008750F">
        <w:t xml:space="preserve"> levels among Canadian adults</w:t>
      </w:r>
      <w:r w:rsidR="001D335E">
        <w:t xml:space="preserve"> who had not previously used</w:t>
      </w:r>
      <w:r>
        <w:t xml:space="preserve">: a cohort study </w:t>
      </w:r>
    </w:p>
    <w:p w14:paraId="551E7502" w14:textId="77777777" w:rsidR="0000343F" w:rsidRDefault="0000343F"/>
    <w:p w14:paraId="711026F8" w14:textId="1C2CC997" w:rsidR="00DF66C2" w:rsidRDefault="00DF66C2" w:rsidP="00DF66C2">
      <w:pPr>
        <w:pStyle w:val="Heading1"/>
      </w:pPr>
      <w:r>
        <w:t>Abstract</w:t>
      </w:r>
    </w:p>
    <w:p w14:paraId="7D3E598D" w14:textId="77777777" w:rsidR="00DF66C2" w:rsidRDefault="00DF66C2">
      <w:pPr>
        <w:rPr>
          <w:rFonts w:asciiTheme="majorHAnsi" w:eastAsiaTheme="majorEastAsia" w:hAnsiTheme="majorHAnsi" w:cstheme="majorBidi"/>
          <w:color w:val="0F4761" w:themeColor="accent1" w:themeShade="BF"/>
          <w:sz w:val="40"/>
          <w:szCs w:val="40"/>
        </w:rPr>
      </w:pPr>
      <w:r>
        <w:br w:type="page"/>
      </w:r>
    </w:p>
    <w:p w14:paraId="63F60711" w14:textId="7079FCC7" w:rsidR="001E1C6B" w:rsidRPr="001E1C6B" w:rsidRDefault="00DF66C2" w:rsidP="001E1C6B">
      <w:pPr>
        <w:pStyle w:val="Heading1"/>
      </w:pPr>
      <w:r>
        <w:lastRenderedPageBreak/>
        <w:t>Introduction</w:t>
      </w:r>
    </w:p>
    <w:p w14:paraId="75056623" w14:textId="176075EF" w:rsidR="00601994" w:rsidRPr="00C40605" w:rsidRDefault="001B2ED8" w:rsidP="008E41B6">
      <w:r>
        <w:t>The analysis of h</w:t>
      </w:r>
      <w:r w:rsidR="00C40605">
        <w:t xml:space="preserve">istoric data on </w:t>
      </w:r>
      <w:r w:rsidR="00601994" w:rsidRPr="00601994">
        <w:t xml:space="preserve">the prevalence </w:t>
      </w:r>
      <w:r w:rsidR="00C40605" w:rsidRPr="00601994">
        <w:t xml:space="preserve">of </w:t>
      </w:r>
      <w:r>
        <w:t xml:space="preserve">major </w:t>
      </w:r>
      <w:r w:rsidR="00C40605" w:rsidRPr="00601994">
        <w:t xml:space="preserve">depression </w:t>
      </w:r>
      <w:r>
        <w:t xml:space="preserve">disorder </w:t>
      </w:r>
      <w:r w:rsidR="00C40605" w:rsidRPr="00601994">
        <w:t xml:space="preserve">and </w:t>
      </w:r>
      <w:r>
        <w:t xml:space="preserve">general </w:t>
      </w:r>
      <w:r w:rsidR="00C40605" w:rsidRPr="00601994">
        <w:t xml:space="preserve">anxiety </w:t>
      </w:r>
      <w:r>
        <w:t>reveal</w:t>
      </w:r>
      <w:r w:rsidR="00601994" w:rsidRPr="00601994">
        <w:t xml:space="preserve"> an upward trend in diagnosis worldwide</w:t>
      </w:r>
      <w:r>
        <w:t xml:space="preserve"> </w:t>
      </w:r>
      <w:r w:rsidR="00601994" w:rsidRPr="00601994">
        <w:fldChar w:fldCharType="begin"/>
      </w:r>
      <w:r w:rsidR="00601994" w:rsidRPr="00601994">
        <w:instrText xml:space="preserve"> ADDIN ZOTERO_ITEM CSL_CITATION {"citationID":"vz6eouFo","properties":{"formattedCitation":"(Fan et al., 2025; Santomauro et al., 2021)","plainCitation":"(Fan et al., 2025; Santomauro et al., 2021)","noteIndex":0},"citationItems":[{"id":1139,"uris":["http://zotero.org/users/1546863/items/K3A95QDL"],"itemData":{"id":1139,"type":"article-journal","container-title":"BMC Psychiatry","DOI":"10.1186/s12888-025-06932-y","ISSN":"1471-244X","issue":"1","journalAbbreviation":"BMC Psychiatry","language":"en","page":"486","source":"DOI.org (Crossref)","title":"Global burden of mental disorders in 204 countries and territories, 1990–2021: results from the global burden of disease study 2021","title-short":"Global burden of mental disorders in 204 countries and territories, 1990–2021","volume":"25","author":[{"family":"Fan","given":"Yangyan"},{"family":"Fan","given":"Ahui"},{"family":"Yang","given":"Zhiping"},{"family":"Fan","given":"Daiming"}],"issued":{"date-parts":[["2025",5,15]]}}},{"id":1140,"uris":["http://zotero.org/users/1546863/items/VSD3MULE"],"itemData":{"id":1140,"type":"article-journal","container-title":"The Lancet","DOI":"10.1016/S0140-6736(21)02143-7","ISSN":"01406736","issue":"10312","journalAbbreviation":"The Lancet","language":"en","page":"1700-1712","source":"DOI.org (Crossref)","title":"Global prevalence and burden of depressive and anxiety disorders in 204 countries and territories in 2020 due to the COVID-19 pandemic","volume":"398","author":[{"family":"Santomauro","given":"Damian F"},{"family":"Mantilla Herrera","given":"Ana M"},{"family":"Shadid","given":"Jamileh"},{"family":"Zheng","given":"Peng"},{"family":"Ashbaugh","given":"Charlie"},{"family":"Pigott","given":"David M"},{"family":"Abbafati","given":"Cristiana"},{"family":"Adolph","given":"Christopher"},{"family":"Amlag","given":"Joanne O"},{"family":"Aravkin","given":"Aleksandr Y"},{"family":"Bang-Jensen","given":"Bree L"},{"family":"Bertolacci","given":"Gregory J"},{"family":"Bloom","given":"Sabina S"},{"family":"Castellano","given":"Rachel"},{"family":"Castro","given":"Emma"},{"family":"Chakrabarti","given":"Suman"},{"family":"Chattopadhyay","given":"Jhilik"},{"family":"Cogen","given":"Rebecca M"},{"family":"Collins","given":"James K"},{"family":"Dai","given":"Xiaochen"},{"family":"Dangel","given":"William James"},{"family":"Dapper","given":"Carolyn"},{"family":"Deen","given":"Amanda"},{"family":"Erickson","given":"Megan"},{"family":"Ewald","given":"Samuel B"},{"family":"Flaxman","given":"Abraham D"},{"family":"Frostad","given":"Joseph Jon"},{"family":"Fullman","given":"Nancy"},{"family":"Giles","given":"John R"},{"family":"Giref","given":"Ababi Zergaw"},{"family":"Guo","given":"Gaorui"},{"family":"He","given":"Jiawei"},{"family":"Helak","given":"Monika"},{"family":"Hulland","given":"Erin N"},{"family":"Idrisov","given":"Bulat"},{"family":"Lindstrom","given":"Akiaja"},{"family":"Linebarger","given":"Emily"},{"family":"Lotufo","given":"Paulo A"},{"family":"Lozano","given":"Rafael"},{"family":"Magistro","given":"Beatrice"},{"family":"Malta","given":"Deborah Carvalho"},{"family":"Månsson","given":"Johan C"},{"family":"Marinho","given":"Fatima"},{"family":"Mokdad","given":"Ali H"},{"family":"Monasta","given":"Lorenzo"},{"family":"Naik","given":"Paulami"},{"family":"Nomura","given":"Shuhei"},{"family":"O'Halloran","given":"James Kevin"},{"family":"Ostroff","given":"Samuel M"},{"family":"Pasovic","given":"Maja"},{"family":"Penberthy","given":"Louise"},{"family":"Reiner Jr","given":"Robert C"},{"family":"Reinke","given":"Grace"},{"family":"Ribeiro","given":"Antonio Luiz P"},{"family":"Sholokhov","given":"Aleksei"},{"family":"Sorensen","given":"Reed J D"},{"family":"Varavikova","given":"Elena"},{"family":"Vo","given":"Anh Truc"},{"family":"Walcott","given":"Rebecca"},{"family":"Watson","given":"Stefanie"},{"family":"Wiysonge","given":"Charles Shey"},{"family":"Zigler","given":"Bethany"},{"family":"Hay","given":"Simon I"},{"family":"Vos","given":"Theo"},{"family":"Murray","given":"Christopher J L"},{"family":"Whiteford","given":"Harvey A"},{"family":"Ferrari","given":"Alize J"}],"issued":{"date-parts":[["2021",11]]}}}],"schema":"https://github.com/citation-style-language/schema/raw/master/csl-citation.json"} </w:instrText>
      </w:r>
      <w:r w:rsidR="00601994" w:rsidRPr="00601994">
        <w:fldChar w:fldCharType="separate"/>
      </w:r>
      <w:r w:rsidR="00601994" w:rsidRPr="00601994">
        <w:rPr>
          <w:rFonts w:ascii="Aptos" w:hAnsi="Aptos"/>
        </w:rPr>
        <w:t>(Fan et al., 2025; Santomauro et al., 2021)</w:t>
      </w:r>
      <w:r w:rsidR="00601994" w:rsidRPr="00601994">
        <w:fldChar w:fldCharType="end"/>
      </w:r>
      <w:r w:rsidR="00601994" w:rsidRPr="00601994">
        <w:t xml:space="preserve">. The most recent available </w:t>
      </w:r>
      <w:r w:rsidR="00C40605">
        <w:t xml:space="preserve">global </w:t>
      </w:r>
      <w:r w:rsidR="00601994" w:rsidRPr="00601994">
        <w:t>esti</w:t>
      </w:r>
      <w:r w:rsidR="00601994">
        <w:t xml:space="preserve">mates </w:t>
      </w:r>
      <w:r w:rsidR="00C40605">
        <w:t xml:space="preserve">(2021) </w:t>
      </w:r>
      <w:r w:rsidR="00601994">
        <w:t>show that</w:t>
      </w:r>
      <w:r>
        <w:t xml:space="preserve"> these </w:t>
      </w:r>
      <w:r w:rsidR="00C40605">
        <w:t xml:space="preserve">mood disorders </w:t>
      </w:r>
      <w:r w:rsidR="00601994">
        <w:t xml:space="preserve">account for approximately 11% of all global years lost due to disability </w:t>
      </w:r>
      <w:r w:rsidR="00601994">
        <w:fldChar w:fldCharType="begin"/>
      </w:r>
      <w:r w:rsidR="00601994">
        <w:instrText xml:space="preserve"> ADDIN ZOTERO_ITEM CSL_CITATION {"citationID":"TJwx8126","properties":{"formattedCitation":"(Fan et al., 2025)","plainCitation":"(Fan et al., 2025)","noteIndex":0},"citationItems":[{"id":1139,"uris":["http://zotero.org/users/1546863/items/K3A95QDL"],"itemData":{"id":1139,"type":"article-journal","container-title":"BMC Psychiatry","DOI":"10.1186/s12888-025-06932-y","ISSN":"1471-244X","issue":"1","journalAbbreviation":"BMC Psychiatry","language":"en","page":"486","source":"DOI.org (Crossref)","title":"Global burden of mental disorders in 204 countries and territories, 1990–2021: results from the global burden of disease study 2021","title-short":"Global burden of mental disorders in 204 countries and territories, 1990–2021","volume":"25","author":[{"family":"Fan","given":"Yangyan"},{"family":"Fan","given":"Ahui"},{"family":"Yang","given":"Zhiping"},{"family":"Fan","given":"Daiming"}],"issued":{"date-parts":[["2025",5,15]]}}}],"schema":"https://github.com/citation-style-language/schema/raw/master/csl-citation.json"} </w:instrText>
      </w:r>
      <w:r w:rsidR="00601994">
        <w:fldChar w:fldCharType="separate"/>
      </w:r>
      <w:r w:rsidR="00601994" w:rsidRPr="0032614C">
        <w:rPr>
          <w:rFonts w:ascii="Aptos" w:hAnsi="Aptos"/>
        </w:rPr>
        <w:t>(Fan et al., 2025)</w:t>
      </w:r>
      <w:r w:rsidR="00601994">
        <w:fldChar w:fldCharType="end"/>
      </w:r>
      <w:r w:rsidR="00601994">
        <w:t xml:space="preserve">. </w:t>
      </w:r>
      <w:r>
        <w:t xml:space="preserve">Post-pandemic </w:t>
      </w:r>
      <w:r w:rsidR="00601994">
        <w:t xml:space="preserve">reports suggest this trend worsened </w:t>
      </w:r>
      <w:r>
        <w:t xml:space="preserve">through </w:t>
      </w:r>
      <w:r w:rsidR="00601994">
        <w:t>COVID-19</w:t>
      </w:r>
      <w:r w:rsidR="00C40605">
        <w:t xml:space="preserve"> and </w:t>
      </w:r>
      <w:r>
        <w:t xml:space="preserve">will </w:t>
      </w:r>
      <w:r w:rsidR="00C40605">
        <w:t xml:space="preserve">likely have long-lasting impacts </w:t>
      </w:r>
      <w:r>
        <w:t xml:space="preserve">due to the </w:t>
      </w:r>
      <w:r w:rsidR="00D83D18">
        <w:t xml:space="preserve">interplay between </w:t>
      </w:r>
      <w:r w:rsidR="00C40605">
        <w:t>pandemic-related complications (</w:t>
      </w:r>
      <w:r w:rsidR="00D83D18">
        <w:t xml:space="preserve">such as </w:t>
      </w:r>
      <w:r w:rsidR="00C40605">
        <w:t xml:space="preserve">long covid) and depression </w:t>
      </w:r>
      <w:r w:rsidR="00C40605">
        <w:fldChar w:fldCharType="begin"/>
      </w:r>
      <w:r w:rsidR="00C40605">
        <w:instrText xml:space="preserve"> ADDIN ZOTERO_ITEM CSL_CITATION {"citationID":"pcA0rU8e","properties":{"formattedCitation":"(Seighali et al., 2024; Tebeka et al., 2024; Weiss et al., 2025)","plainCitation":"(Seighali et al., 2024; Tebeka et al., 2024; Weiss et al., 2025)","noteIndex":0},"citationItems":[{"id":1149,"uris":["http://zotero.org/users/1546863/items/E49HEUGH"],"itemData":{"id":1149,"type":"article-journal","abstract":"Abstract\n            \n              Background\n              Post COVID-19 syndrome, also known as \"Long COVID,\" is a complex and multifaceted condition that affects individuals who have recovered from SARS-CoV-2 infection. This systematic review and meta-analysis aim to comprehensively assess the global prevalence of depression, anxiety, and sleep disorder in individuals coping with Post COVID-19 syndrome.\n            \n            \n              Methods\n              A rigorous search of electronic databases was conducted to identify original studies until 24 January 2023. The inclusion criteria comprised studies employing previously validated assessment tools for depression, anxiety, and sleep disorders, reporting prevalence rates, and encompassing patients of all age groups and geographical regions for subgroup analysis Random effects model was utilized for the meta-analysis. Meta-regression analysis was done.\n            \n            \n              Results\n              \n                The pooled prevalence of depression and anxiety among patients coping with Post COVID-19 syndrome was estimated to be 23% (95% CI: 20%—26%; I2</w:instrText>
      </w:r>
      <w:r w:rsidR="00C40605">
        <w:rPr>
          <w:rFonts w:ascii="Arial" w:hAnsi="Arial" w:cs="Arial"/>
        </w:rPr>
        <w:instrText> </w:instrText>
      </w:r>
      <w:r w:rsidR="00C40605">
        <w:instrText>=</w:instrText>
      </w:r>
      <w:r w:rsidR="00C40605">
        <w:rPr>
          <w:rFonts w:ascii="Arial" w:hAnsi="Arial" w:cs="Arial"/>
        </w:rPr>
        <w:instrText> </w:instrText>
      </w:r>
      <w:r w:rsidR="00C40605">
        <w:instrText>99.9%) based on data from 143 studies with 7,782,124 participants and 132 studies with 9,320,687 participants, respectively. The pooled prevalence of sleep disorder among these patients, derived from 27 studies with 15,362 participants, was estimated to be 45% (95% CI: 37%</w:instrText>
      </w:r>
      <w:r w:rsidR="00C40605">
        <w:rPr>
          <w:rFonts w:ascii="Aptos" w:hAnsi="Aptos" w:cs="Aptos"/>
        </w:rPr>
        <w:instrText>—</w:instrText>
      </w:r>
      <w:r w:rsidR="00C40605">
        <w:instrText>53%; I2</w:instrText>
      </w:r>
      <w:r w:rsidR="00C40605">
        <w:rPr>
          <w:rFonts w:ascii="Arial" w:hAnsi="Arial" w:cs="Arial"/>
        </w:rPr>
        <w:instrText> </w:instrText>
      </w:r>
      <w:r w:rsidR="00C40605">
        <w:instrText>=</w:instrText>
      </w:r>
      <w:r w:rsidR="00C40605">
        <w:rPr>
          <w:rFonts w:ascii="Arial" w:hAnsi="Arial" w:cs="Arial"/>
        </w:rPr>
        <w:instrText> </w:instrText>
      </w:r>
      <w:r w:rsidR="00C40605">
        <w:instrText xml:space="preserve">98.7%). Subgroup analyses based on geographical regions and assessment scales revealed significant variations in prevalence rates. Meta-regression analysis showed significant correlations between the prevalence and total sample size of studies, the age of participants, and the percentage of male participants. Publication bias was assessed using Doi plot visualization and the Peters test, revealing a potential source of publication bias for depression (\n                p\n                </w:instrText>
      </w:r>
      <w:r w:rsidR="00C40605">
        <w:rPr>
          <w:rFonts w:ascii="Arial" w:hAnsi="Arial" w:cs="Arial"/>
        </w:rPr>
        <w:instrText> </w:instrText>
      </w:r>
      <w:r w:rsidR="00C40605">
        <w:instrText>=</w:instrText>
      </w:r>
      <w:r w:rsidR="00C40605">
        <w:rPr>
          <w:rFonts w:ascii="Arial" w:hAnsi="Arial" w:cs="Arial"/>
        </w:rPr>
        <w:instrText> </w:instrText>
      </w:r>
      <w:r w:rsidR="00C40605">
        <w:instrText xml:space="preserve">0.0085) and sleep disorder (\n                p\n                </w:instrText>
      </w:r>
      <w:r w:rsidR="00C40605">
        <w:rPr>
          <w:rFonts w:ascii="Arial" w:hAnsi="Arial" w:cs="Arial"/>
        </w:rPr>
        <w:instrText> </w:instrText>
      </w:r>
      <w:r w:rsidR="00C40605">
        <w:instrText>=</w:instrText>
      </w:r>
      <w:r w:rsidR="00C40605">
        <w:rPr>
          <w:rFonts w:ascii="Arial" w:hAnsi="Arial" w:cs="Arial"/>
        </w:rPr>
        <w:instrText> </w:instrText>
      </w:r>
      <w:r w:rsidR="00C40605">
        <w:instrText xml:space="preserve">0.02). However, no evidence of publication bias was found for anxiety (\n                p\n                </w:instrText>
      </w:r>
      <w:r w:rsidR="00C40605">
        <w:rPr>
          <w:rFonts w:ascii="Arial" w:hAnsi="Arial" w:cs="Arial"/>
        </w:rPr>
        <w:instrText> </w:instrText>
      </w:r>
      <w:r w:rsidR="00C40605">
        <w:instrText>=</w:instrText>
      </w:r>
      <w:r w:rsidR="00C40605">
        <w:rPr>
          <w:rFonts w:ascii="Arial" w:hAnsi="Arial" w:cs="Arial"/>
        </w:rPr>
        <w:instrText> </w:instrText>
      </w:r>
      <w:r w:rsidR="00C40605">
        <w:instrText>0.11).\n              \n            \n            \n              Conclusion\n              This systematic review and meta-analysis demonstrate a considerable burden of mental health issues, including depression, anxiety, and sleep disorders, among individuals recovering from COVID-19. The findings emphasize the need for comprehensive mental health support and tailored interventions for patients experiencing persistent symptoms after COVID-19 recovery.","container-title":"BMC Psychiatry","DOI":"10.1186/s12888-023-05481-6","ISSN":"1471-244X","issue":"1","journalAbbreviation":"BMC Psychiatry","language":"en","page":"105","source":"DOI.org (Crossref)","title":"The global prevalence of depression, anxiety, and sleep disorder among patients coping with Post COVID-19 syndrome (long COVID): a systematic review and meta-analysis","title-short":"The global prevalence of depression, anxiety, and sleep disorder among patients coping with Post COVID-19 syndrome (long COVID)","volume":"24","author":[{"family":"Seighali","given":"Niloofar"},{"family":"Abdollahi","given":"Abolfazl"},{"family":"Shafiee","given":"Arman"},{"family":"Amini","given":"Mohammad Javad"},{"family":"Teymouri Athar","given":"Mohammad Mobin"},{"family":"Safari","given":"Omid"},{"family":"Faghfouri","given":"Parsa"},{"family":"Eskandari","given":"Alireza"},{"family":"Rostaii","given":"Omid"},{"family":"Salehi","given":"Amir Hossein"},{"family":"Soltani","given":"Hedieh"},{"family":"Hosseini","given":"Mahsa"},{"family":"Abhari","given":"Faeze Soltani"},{"family":"Maghsoudi","given":"Mohammad Reza"},{"family":"Jahanbakhshi","given":"Bahar"},{"family":"Bakhtiyari","given":"Mahmood"}],"issued":{"date-parts":[["2024",2,6]]}}},{"id":1148,"uris":["http://zotero.org/users/1546863/items/N23MD2LH"],"itemData":{"id":1148,"type":"article-journal","container-title":"Journal of Psychosomatic Research","DOI":"10.1016/j.jpsychores.2024.111961","ISSN":"00223999","journalAbbreviation":"Journal of Psychosomatic Research","language":"en","page":"111961","source":"DOI.org (Crossref)","title":"Dissecting the association between long COVID and depressive symptoms in a nationally representative population from France","volume":"187","author":[{"family":"Tebeka","given":"Sarah"},{"family":"Coste","given":"Joël"},{"family":"Makovski","given":"Tatjana T."},{"family":"Alleaume","given":"Caroline"},{"family":"Delpierre","given":"Cyrille"},{"family":"Gallay","given":"Anne"},{"family":"Pignon","given":"Baptiste"},{"family":"Gouraud","given":"Clément"},{"family":"Ouazana Vedrines","given":"Charles"},{"family":"Pitron","given":"Victor"},{"family":"Robineau","given":"Olivier"},{"family":"Steichen","given":"Olivier"},{"family":"Lemogne","given":"Cédric"}],"issued":{"date-parts":[["2024",12]]}}},{"id":1142,"uris":["http://zotero.org/users/1546863/items/7R7EUPLQ"],"itemData":{"id":1142,"type":"article-journal","abstract":"Background The purpose of this report is to examine to what extent the COVID-19 pandemic affected pre-existing trends in mental health, with a focus on subgroup differences across age, gender and socioeconomic status.Methods Our analysis uses data from two survey periods (HUNT4: 2017–2019 and HUNT-COVID: 2021–2023) from the Trøndelag Health Study in Norway. We estimate overall and stratified (by age, sex and educational attainment) prevalence values for above-threshold (≥8) anxiety and dep</w:instrText>
      </w:r>
      <w:r w:rsidR="00C40605" w:rsidRPr="00D83D18">
        <w:instrText xml:space="preserve">ression scores using the Hospital Anxiety and Depression Scale. For each outcome, we compare prevalences between HUNT-4 and HUNT-Covid within each subgroup.Results Above-threshold levels of anxiety were higher among women than men, while the opposite was true for depression. Symptoms generally decrease with age. Between HUNT4 and HUNT-COVID, for both women and men, anxiety symptoms decreased (except among women between 18–29 and 30–39) while depression symptoms increased (except for individuals over 80). Anxiety symptoms decreased across education levels between HUNT4 and HUNT-COVID while depression symptoms increased across education levels.Conclusion The findings illustrate the negative long-term effects of a shock such as a pandemic while also illustrating the potential positive effects of generous welfare benefits on inequalities in mental health.","container-title":"Journal of Epidemiology and Community Health","DOI":"10.1136/jech-2024-222626","issue":"3","journalAbbreviation":"J Epidemiol Community Health","page":"165","title":"Diverging mental health trends in the postpandemic era: results from the HUNT Study, Norway","volume":"79","author":[{"family":"Weiss","given":"Daniel"},{"family":"Lowenstein","given":"Christopher"},{"family":"Sund","given":"Erik Reidar"},{"family":"Vethe","given":"Daniel"},{"family":"Krokstad","given":"Steinar"}],"issued":{"date-parts":[["2025",3,1]]}}}],"schema":"https://github.com/citation-style-language/schema/raw/master/csl-citation.json"} </w:instrText>
      </w:r>
      <w:r w:rsidR="00C40605">
        <w:fldChar w:fldCharType="separate"/>
      </w:r>
      <w:r w:rsidR="00C40605" w:rsidRPr="00D83D18">
        <w:rPr>
          <w:rFonts w:ascii="Aptos" w:hAnsi="Aptos"/>
        </w:rPr>
        <w:t>(</w:t>
      </w:r>
      <w:proofErr w:type="spellStart"/>
      <w:r w:rsidR="00C40605" w:rsidRPr="00D83D18">
        <w:rPr>
          <w:rFonts w:ascii="Aptos" w:hAnsi="Aptos"/>
        </w:rPr>
        <w:t>Seighali</w:t>
      </w:r>
      <w:proofErr w:type="spellEnd"/>
      <w:r w:rsidR="00C40605" w:rsidRPr="00D83D18">
        <w:rPr>
          <w:rFonts w:ascii="Aptos" w:hAnsi="Aptos"/>
        </w:rPr>
        <w:t xml:space="preserve"> et al., 2024; </w:t>
      </w:r>
      <w:proofErr w:type="spellStart"/>
      <w:r w:rsidR="00C40605" w:rsidRPr="00D83D18">
        <w:rPr>
          <w:rFonts w:ascii="Aptos" w:hAnsi="Aptos"/>
        </w:rPr>
        <w:t>Tebeka</w:t>
      </w:r>
      <w:proofErr w:type="spellEnd"/>
      <w:r w:rsidR="00C40605" w:rsidRPr="00D83D18">
        <w:rPr>
          <w:rFonts w:ascii="Aptos" w:hAnsi="Aptos"/>
        </w:rPr>
        <w:t xml:space="preserve"> et al., 2024; Weiss et al., 2025)</w:t>
      </w:r>
      <w:r w:rsidR="00C40605">
        <w:fldChar w:fldCharType="end"/>
      </w:r>
      <w:r w:rsidR="00601994" w:rsidRPr="00D83D18">
        <w:t>.</w:t>
      </w:r>
      <w:r w:rsidR="00C40605" w:rsidRPr="00D83D18">
        <w:t xml:space="preserve"> </w:t>
      </w:r>
      <w:r w:rsidR="00C40605" w:rsidRPr="00C40605">
        <w:t xml:space="preserve">Taken together, these findings underscore the urgent need for scalable, evidence-based interventions to address the rising burden of </w:t>
      </w:r>
      <w:r w:rsidR="00D83D18">
        <w:t>our global mental health crisis</w:t>
      </w:r>
      <w:r w:rsidR="00C40605" w:rsidRPr="00C40605">
        <w:t>.</w:t>
      </w:r>
    </w:p>
    <w:p w14:paraId="59E44EDD" w14:textId="5ACB39C4" w:rsidR="00E62315" w:rsidRDefault="00C40605" w:rsidP="008E41B6">
      <w:r>
        <w:t>A recent report by t</w:t>
      </w:r>
      <w:r w:rsidR="00262039">
        <w:t xml:space="preserve">he World Health Organization </w:t>
      </w:r>
      <w:r w:rsidR="00262039">
        <w:fldChar w:fldCharType="begin"/>
      </w:r>
      <w:r w:rsidR="001E1C6B">
        <w:instrText xml:space="preserve"> ADDIN ZOTERO_ITEM CSL_CITATION {"citationID":"bAq2YolZ","properties":{"formattedCitation":"(2025, p. 26)","plainCitation":"(2025, p. 26)","noteIndex":0},"citationItems":[{"id":1143,"uris":["http://zotero.org/users/1546863/items/KCFAXNMB"],"itemData":{"id":1143,"type":"book","publisher":"World Health Organization","title":"World mental health today: latest data","author":[{"literal":"World Health Organization"}],"issued":{"date-parts":[["2025"]]}},"locator":"26","label":"page","suppress-author":true}],"schema":"https://github.com/citation-style-language/schema/raw/master/csl-citation.json"} </w:instrText>
      </w:r>
      <w:r w:rsidR="00262039">
        <w:fldChar w:fldCharType="separate"/>
      </w:r>
      <w:r w:rsidR="00E62315" w:rsidRPr="00E62315">
        <w:rPr>
          <w:rFonts w:ascii="Aptos" w:hAnsi="Aptos"/>
        </w:rPr>
        <w:t>(2025, p. 26)</w:t>
      </w:r>
      <w:r w:rsidR="00262039">
        <w:fldChar w:fldCharType="end"/>
      </w:r>
      <w:r w:rsidR="00262039">
        <w:t xml:space="preserve"> identified childhood sexual abuse, bullying</w:t>
      </w:r>
      <w:r w:rsidR="00E62315">
        <w:t xml:space="preserve"> by peers</w:t>
      </w:r>
      <w:r w:rsidR="00262039">
        <w:t>, and intimate partner violence as relevant modifiable risk factors for major depressive disorder and anxiety (accounting for over 20% of all d</w:t>
      </w:r>
      <w:r w:rsidR="00262039" w:rsidRPr="00262039">
        <w:t>isability-adjusted life year</w:t>
      </w:r>
      <w:r w:rsidR="00262039">
        <w:t xml:space="preserve"> lost to </w:t>
      </w:r>
      <w:r w:rsidR="00E62315">
        <w:t>these conditions</w:t>
      </w:r>
      <w:r w:rsidR="00262039">
        <w:t>).</w:t>
      </w:r>
      <w:r w:rsidR="00E62315">
        <w:t xml:space="preserve"> Framing these events as risk factors is useful to establish </w:t>
      </w:r>
      <w:r>
        <w:t>preventive</w:t>
      </w:r>
      <w:r w:rsidR="00D83D18">
        <w:t xml:space="preserve"> policies</w:t>
      </w:r>
      <w:r>
        <w:t>. However</w:t>
      </w:r>
      <w:r w:rsidR="00E62315">
        <w:t>, the</w:t>
      </w:r>
      <w:r>
        <w:t xml:space="preserve"> nature of said risk factors also </w:t>
      </w:r>
      <w:r w:rsidR="00E62315">
        <w:t>illustrate</w:t>
      </w:r>
      <w:r>
        <w:t>s</w:t>
      </w:r>
      <w:r w:rsidR="00E62315">
        <w:t xml:space="preserve"> the complexity of </w:t>
      </w:r>
      <w:r w:rsidR="00094D86">
        <w:t xml:space="preserve">mood disorders as </w:t>
      </w:r>
      <w:r w:rsidR="00E62315" w:rsidRPr="00E62315">
        <w:t xml:space="preserve">dynamic patterns of disrupted </w:t>
      </w:r>
      <w:r w:rsidR="00094D86">
        <w:t xml:space="preserve">physical and emotional </w:t>
      </w:r>
      <w:r w:rsidR="00E62315" w:rsidRPr="00E62315">
        <w:t>development, social functioning, and physiological regulation that unfold over the life course</w:t>
      </w:r>
      <w:r w:rsidR="00094D86">
        <w:t xml:space="preserve"> </w:t>
      </w:r>
      <w:r w:rsidR="00094D86">
        <w:fldChar w:fldCharType="begin"/>
      </w:r>
      <w:r w:rsidR="00094D86">
        <w:instrText xml:space="preserve"> ADDIN ZOTERO_ITEM CSL_CITATION {"citationID":"fKDwEw9o","properties":{"formattedCitation":"(Kovacs et al., 2008)","plainCitation":"(Kovacs et al., 2008)","noteIndex":0},"citationItems":[{"id":1151,"uris":["http://zotero.org/users/1546863/items/5QXUJW7T"],"itemData":{"id":1151,"type":"article-journal","abstract":"ABSTRACT—\n              \n                Clinical depression is a significant mental health problem that is associated with personal suffering and impaired functioning. These effects underscore the continuing need for new approaches that can inform researchers and clinicians when designing interventions. The present article proposes that individual differences in the self</w:instrText>
      </w:r>
      <w:r w:rsidR="00094D86">
        <w:rPr>
          <w:rFonts w:ascii="Cambria Math" w:hAnsi="Cambria Math" w:cs="Cambria Math"/>
        </w:rPr>
        <w:instrText>‐</w:instrText>
      </w:r>
      <w:r w:rsidR="00094D86">
        <w:instrText>regulation of sadness and distress provide an important link between stress, depressed mood, and the onset of depressive disorder, and that a better understanding of the ways children successfully manage dysphoric emotions will lead to improved prevention and treatment of pediatric depression. After examining the normative development of responses that children use to attenuate sadness, aspects of the neurobiological infrastructure that both enable and constrain such self</w:instrText>
      </w:r>
      <w:r w:rsidR="00094D86">
        <w:rPr>
          <w:rFonts w:ascii="Cambria Math" w:hAnsi="Cambria Math" w:cs="Cambria Math"/>
        </w:rPr>
        <w:instrText>‐</w:instrText>
      </w:r>
      <w:r w:rsidR="00094D86">
        <w:instrText>regulatory efforts, and affect regulation of children at familial risk for depressive disorders, this article concludes by calling for integrated, developmental, multidisciplinary studies of sadness self</w:instrText>
      </w:r>
      <w:r w:rsidR="00094D86">
        <w:rPr>
          <w:rFonts w:ascii="Cambria Math" w:hAnsi="Cambria Math" w:cs="Cambria Math"/>
        </w:rPr>
        <w:instrText>‐</w:instrText>
      </w:r>
      <w:r w:rsidR="00094D86">
        <w:instrText xml:space="preserve">regulation.","container-title":"Child Development Perspectives","DOI":"10.1111/j.1750-8606.2008.00057.x","ISSN":"1750-8592, 1750-8606","issue":"3","journalAbbreviation":"Child Dev Perspectives","language":"en","license":"http://onlinelibrary.wiley.com/termsAndConditions#vor","page":"149-155","source":"DOI.org (Crossref)","title":"Emotion (Dys)regulation and Links to Depressive Disorders","volume":"2","author":[{"family":"Kovacs","given":"Maria"},{"family":"Joormann","given":"Jutta"},{"family":"Gotlib","given":"Ian H."}],"issued":{"date-parts":[["2008",12]]}}}],"schema":"https://github.com/citation-style-language/schema/raw/master/csl-citation.json"} </w:instrText>
      </w:r>
      <w:r w:rsidR="00094D86">
        <w:fldChar w:fldCharType="separate"/>
      </w:r>
      <w:r w:rsidR="00094D86" w:rsidRPr="00094D86">
        <w:rPr>
          <w:rFonts w:ascii="Aptos" w:hAnsi="Aptos"/>
        </w:rPr>
        <w:t>(Kovacs et al., 2008)</w:t>
      </w:r>
      <w:r w:rsidR="00094D86">
        <w:fldChar w:fldCharType="end"/>
      </w:r>
      <w:r w:rsidR="00E62315">
        <w:t>.</w:t>
      </w:r>
      <w:r w:rsidR="00D83D18">
        <w:t xml:space="preserve"> Such complex processes contrast with the most common approach to treat mood disorders: emphasizing chemical imbalance and </w:t>
      </w:r>
      <w:r w:rsidR="00D83D18" w:rsidRPr="00D83D18">
        <w:t>prioritiz</w:t>
      </w:r>
      <w:r w:rsidR="00D83D18">
        <w:t>ing</w:t>
      </w:r>
      <w:r w:rsidR="00D83D18" w:rsidRPr="00D83D18">
        <w:t xml:space="preserve"> symptom relief</w:t>
      </w:r>
      <w:r w:rsidR="00D83D18">
        <w:t>.</w:t>
      </w:r>
    </w:p>
    <w:p w14:paraId="11A0B597" w14:textId="5C04C6F1" w:rsidR="00094D86" w:rsidRDefault="00094D86" w:rsidP="008E41B6">
      <w:r>
        <w:t xml:space="preserve">Antidepressant </w:t>
      </w:r>
      <w:r w:rsidR="006B6C93">
        <w:t xml:space="preserve">drugs </w:t>
      </w:r>
      <w:r>
        <w:t>are</w:t>
      </w:r>
      <w:r w:rsidR="00D17D35">
        <w:t xml:space="preserve"> </w:t>
      </w:r>
      <w:r>
        <w:t>the first line of treatment</w:t>
      </w:r>
      <w:r w:rsidR="006B6C93">
        <w:t xml:space="preserve"> for both depression and generalized anxiety</w:t>
      </w:r>
      <w:r w:rsidR="00D17D35">
        <w:t>, recommended with or without psychological therapy</w:t>
      </w:r>
      <w:r w:rsidR="006B6C93">
        <w:t xml:space="preserve"> </w:t>
      </w:r>
      <w:r w:rsidR="006B6C93">
        <w:fldChar w:fldCharType="begin"/>
      </w:r>
      <w:r w:rsidR="006B6C93">
        <w:instrText xml:space="preserve"> ADDIN ZOTERO_ITEM CSL_CITATION {"citationID":"i08of34z","properties":{"formattedCitation":"(American Psychiatric Association, 2023; World Health Organization, 2023)","plainCitation":"(American Psychiatric Association, 2023; World Health Organization, 2023)","noteIndex":0},"citationItems":[{"id":1153,"uris":["http://zotero.org/users/1546863/items/IUXKASTL"],"itemData":{"id":1153,"type":"book","publisher":"American Psychiatric Association Publishing","title":"Practice Guideline for the Treatment of Patients With Major Depressive Disorder","URL":"https://www.apa.org/depression-guideline/guideline.pdf","author":[{"literal":"American Psychiatric Association"}],"issued":{"date-parts":[["2023"]]}}},{"id":1155,"uris":["http://zotero.org/users/1546863/items/Q44TKI5N"],"itemData":{"id":1155,"type":"book","abstract":"The mhGAP guideline supports countries to strengthen capacity to deal with the growing burden of mental, neurological and substance use (MNS) conditions and narrow the treatment gap. This new edition includes 30 updated and 18 new recommendations, alongside 90 pre-existing recommendations. This is the third iteration of the guideline and reflects 15 years of investment in the mhGAP programme. The revised recommendations ensure that mhGAP continues to offer high-quality, timely, transparent, and evidence-based guidance to support non-specialist health workers in low-income and middle-income countries in providing treatment and care to individuals with MNS conditions","event-place":"Geneva","ISBN":"978-92-4-008427-8","language":"eng","number-of-pages":"1","publisher":"World Health Organization","publisher-place":"Geneva","source":"K10plus ISBN","title":"Mental Health Gap Action Programme (mhGAP) guideline for mental, neurological and substance use disorders","author":[{"literal":"World Health Organization"}],"contributor":[{"literal":"World Health Organization"}],"issued":{"date-parts":[["2023"]]}}}],"schema":"https://github.com/citation-style-language/schema/raw/master/csl-citation.json"} </w:instrText>
      </w:r>
      <w:r w:rsidR="006B6C93">
        <w:fldChar w:fldCharType="separate"/>
      </w:r>
      <w:r w:rsidR="006B6C93" w:rsidRPr="006B6C93">
        <w:rPr>
          <w:rFonts w:ascii="Aptos" w:hAnsi="Aptos"/>
        </w:rPr>
        <w:t>(American Psychiatric Association, 2023; World Health Organization, 2023)</w:t>
      </w:r>
      <w:r w:rsidR="006B6C93">
        <w:fldChar w:fldCharType="end"/>
      </w:r>
      <w:r>
        <w:t>.</w:t>
      </w:r>
      <w:r w:rsidR="00F24710">
        <w:t xml:space="preserve"> </w:t>
      </w:r>
      <w:r w:rsidR="00D17D35">
        <w:t xml:space="preserve">When used on their own, such </w:t>
      </w:r>
      <w:r w:rsidR="00F24710">
        <w:t>population-level intervention</w:t>
      </w:r>
      <w:r w:rsidR="00D17D35">
        <w:t xml:space="preserve"> discounts </w:t>
      </w:r>
      <w:r w:rsidR="00D17D35">
        <w:t>the knowledge of the patient about his own condition</w:t>
      </w:r>
      <w:r w:rsidR="00C810AE">
        <w:t xml:space="preserve">. </w:t>
      </w:r>
      <w:r w:rsidR="0080363E">
        <w:t>This well-known epistemic injustice</w:t>
      </w:r>
      <w:r w:rsidR="00D17D35">
        <w:t xml:space="preserve"> often </w:t>
      </w:r>
      <w:r w:rsidR="0080363E">
        <w:t>lead</w:t>
      </w:r>
      <w:r w:rsidR="00D17D35">
        <w:t>s</w:t>
      </w:r>
      <w:r w:rsidR="0080363E">
        <w:t xml:space="preserve"> to reduced professional engagement and undermined trust in public health systems </w:t>
      </w:r>
      <w:r w:rsidR="0080363E">
        <w:fldChar w:fldCharType="begin"/>
      </w:r>
      <w:r w:rsidR="0080363E">
        <w:instrText xml:space="preserve"> ADDIN ZOTERO_ITEM CSL_CITATION {"citationID":"BeuddFvX","properties":{"formattedCitation":"(Crichton et al., 2017; De Las Cuevas et al., 2014; Jacob, 2015)","plainCitation":"(Crichton et al., 2017; De Las Cuevas et al., 2014; Jacob, 2015)","noteIndex":0},"citationItems":[{"id":1157,"uris":["http://zotero.org/users/1546863/items/5EHFXTIT"],"itemData":{"id":1157,"type":"article-journal","abstract":"Summary\n            It has been argued that those who suffer from medical conditions are more vulnerable to epistemic injustice (a harm done to a person in their capacity as an epistemic subject) than healthy people. This editorial claims that people with mental disorders are even more vulnerable to epistemic injustice than those with somatic illnesses. Two kinds of contributory factors are outlined, global and specific. Some suggestions are made to counteract the effects of these factors, for instance, we suggest that physicians should participate in groups where the subjective experience of patients is explored, and learn to become more aware of their own unconscious prejudices towards psychiatric patients.","container-title":"BJPsych Bulletin","DOI":"10.1192/pb.bp.115.050682","ISSN":"2056-4694, 2056-4708","issue":"2","journalAbbreviation":"BJPsych Bull","language":"en","license":"http://creativecommons.org/licenses/by/4.0","page":"65-70","source":"DOI.org (Crossref)","title":"Epistemic injustice in psychiatry","volume":"41","author":[{"family":"Crichton","given":"Paul"},{"family":"Carel","given":"Havi"},{"family":"Kidd","given":"Ian James"}],"issued":{"date-parts":[["2017",4]]}}},{"id":1159,"uris":["http://zotero.org/users/1546863/items/QSC3ZBDG"],"itemData":{"id":1159,"type":"article-journal","container-title":"European Journal of Clinical Pharmacology","DOI":"10.1007/s00228-013-1582-9","ISSN":"0031-6970, 1432-1041","issue":"1","journalAbbreviation":"Eur J Clin Pharmacol","language":"en","license":"http://www.springer.com/tdm","page":"89-98","source":"DOI.org (Crossref)","title":"Risk factors for non-adherence to antidepressant treatment in patients with mood disorders","volume":"70","author":[{"family":"De Las Cuevas","given":"Carlos"},{"family":"Peñate","given":"Wenceslao"},{"family":"Sanz","given":"Emilio J."}],"issued":{"date-parts":[["2014",1]]}}},{"id":1160,"uris":["http://zotero.org/users/1546863/items/RD22FIUH"],"itemData":{"id":1160,"type":"article-journal","container-title":"Indian Journal of Psychological Medicine","DOI":"10.4103/0253-7176.155605","ISSN":"0253-7176, 0975-1564","issue":"2","journalAbbreviation":"Indian Journal of Psychological Medicine","language":"en","page":"117-119","source":"DOI.org (Crossref)","title":"Recovery Model of Mental Illness: A Complementary Approach to Psychiatric Care","title-short":"Recovery Model of Mental Illness","volume":"37","author":[{"family":"Jacob","given":"K. S."}],"issued":{"date-parts":[["2015",4]]}}}],"schema":"https://github.com/citation-style-language/schema/raw/master/csl-citation.json"} </w:instrText>
      </w:r>
      <w:r w:rsidR="0080363E">
        <w:fldChar w:fldCharType="separate"/>
      </w:r>
      <w:r w:rsidR="0080363E" w:rsidRPr="0080363E">
        <w:rPr>
          <w:rFonts w:ascii="Aptos" w:hAnsi="Aptos"/>
        </w:rPr>
        <w:t>(Crichton et al., 2017; De Las Cuevas et al., 2014; Jacob, 2015)</w:t>
      </w:r>
      <w:r w:rsidR="0080363E">
        <w:fldChar w:fldCharType="end"/>
      </w:r>
      <w:r w:rsidR="0080363E">
        <w:t xml:space="preserve">. </w:t>
      </w:r>
      <w:r w:rsidR="00D17D35">
        <w:t xml:space="preserve">Moreover, current first-line antidepressants are under scrutiny due to a lack of support for the presumption of a chemical imbalance as the cause (rather than a symptom) of mental health outcomes, the questionable research practices in randomized control trials that led to the establishment of antidepressants as first-line therapy, including concealing adverse effects, the limited effect of these drugs compared to active placebos, their harms (including increased risk of suicide), and the long-term consequences of antidepressant use and withdrawal </w:t>
      </w:r>
      <w:r w:rsidR="00D17D35">
        <w:fldChar w:fldCharType="begin"/>
      </w:r>
      <w:r w:rsidR="00D17D35">
        <w:instrText xml:space="preserve"> ADDIN ZOTERO_ITEM CSL_CITATION {"citationID":"AfkdsoGj","properties":{"formattedCitation":"(Danborg et al., 2019; Moncrieff, 2018a, 2018b; Moncrieff et al., 2023; Pirani et al., 2023)","plainCitation":"(Danborg et al., 2019; Moncrieff, 2018a, 2018b; Moncrieff et al., 2023; Pirani et al., 2023)","noteIndex":0},"citationItems":[{"id":1166,"uris":["http://zotero.org/users/1546863/items/FX58EC9G"],"itemData":{"id":1166,"type":"article-journal","abstract":"BACKGROUND:\n              Millions of people are treated with antidepressants like selective serotonin reuptake inhibitors (SSRIs) or serotonin-norepinephrine reuptake inhibitors (SNRIs). This clinical practice is based on short-term trials that have exaggerated the benefits and underestimated the harms. We also know too little about long-term harms.\n            \n            \n              AIM:\n              To assess harms of SSRIs and SNRIs that persist after end of drug intake.\n            \n            \n              METHODS:\n              Systematic review of placebo-controlled randomised trials of any length in patients with a psychiatric diagnosis and a follow-up of at least six months. Our primary outcomes were mortality, functional outcomes, quality of life and core psychiatric events. We searched PubMed, Embase, and the Cochrane Central Register of Controlled Trials and checked the references for eligible articles. One researcher extracted data and another checked the data extraction.\n            \n            \n              RESULTS:\n              Our searches returned 9,153 unique records. We included 22 papers for 12 trials on SSRIs. Median intervention and follow-up periods were 15 and 52 weeks, respectively. Median number of randomised participants was 51; only two trials had a drop-out rate below 20%. Outcome reporting was less thorough during follow-up than for the intervention period and only two trials maintained the blind during follow-up. All authors concluded that the drugs were not beneficial in the long term. All trials reported harms outcomes selectively or did not report any. Only two trials reported on any of our primary outcomes (school attendance and number of heavy drinking days).\n            \n            \n              CONCLUSION:\n              The randomised trials currently available cannot be used to investigate persistent harms of antidepressants.","container-title":"International Journal of Risk &amp; Safety in Medicine","DOI":"10.3233/JRS-180046","ISSN":"0924-6479, 1878-6847","issue":"2","journalAbbreviation":"International Journal of Risk &amp; Safety in Medicine","language":"en","page":"59-71","source":"DOI.org (Crossref)","title":"Long-term harms from previous use of selective serotonin reuptake inhibitors: A systematic review","title-short":"Long-term harms from previous use of selective serotonin reuptake inhibitors","volume":"30","author":[{"family":"Danborg","given":"P.B."},{"family":"Valdersdorf","given":"M."},{"family":"Gøtzsche","given":"P.C."}],"issued":{"date-parts":[["2019",5]]}}},{"id":1161,"uris":["http://zotero.org/users/1546863/items/ZKKJLBMC"],"itemData":{"id":1161,"type":"article-journal","abstract":"Summary\n            Although antidepressants are regarded as effective and specific treatments, they are barely superior to placebo in randomised trials, and differences are unlikely to be clinically relevant. The conventional disease-centred understanding of drug action regards antidepressants as targeting an underlying brain process, but an alternative ‘drug-centred’ view suggests they are psychoactive substances that modify normal mental states and behaviour. These alterations, such as numbing of emotions, may reduce feelings of depression, and also create amplified placebo effects in randomised trials. Patients should be informed that there is no evidence that antidepressants work by correcting a chemical imbalance, that antidepressants have mind-altering effects, and that evidence suggests they produce no noticeable benefit compared with placebo.\n            \n              Declaration of interest\n              The author is co-chairperson of the Critical Psychiatry Network.","container-title":"BJPsych Bulletin","DOI":"10.1192/bjb.2017.11","ISSN":"2056-4694, 2056-4708","issue":"1","journalAbbreviation":"BJPsych Bull","language":"en","license":"http://creativecommons.org/licenses/by/4.0/","page":"42-44","source":"DOI.org (Crossref)","title":"Against the stream: Antidepressants are not antidepressants – an alternative approach to drug action and implications for the use of antidepressants","title-short":"Against the stream","volume":"42","author":[{"family":"Moncrieff","given":"Joanna"}],"issued":{"date-parts":[["2018",2]]}}},{"id":1164,"uris":["http://zotero.org/users/1546863/items/I9IY7LDV"],"itemData":{"id":1164,"type":"article-journal","abstract":"A recent meta-analysis of antidepressant trials is the largest conducted to date. Although it claims to prove antidepressant effectiveness beyond dispute, the main outcome is response rates, which are derived from continuous data in a process that can inflate differences between groups. The standardised mean difference of 0.3 is in line with other meta-analyses that show small differences between antidepressants and placebo that are unlikely to be clinically significant. Other factors likely to exaggerate the effects are discussed, and evidence on associations between antidepressant effects and severity and outcomes of long-term treatment is considered. Clinicians need to have open discussions with patients about the limitations of antidepressant research, the lack of evidence that antidepressants correct a chemical imbalance or other brain abnormality, and the range of adverse effects and mental and physical alterations they can produce.","container-title":"Epidemiology and Psychiatric Sciences","DOI":"10.1017/S2045796018000240","ISSN":"2045-7960, 2045-7979","issue":"5","journalAbbreviation":"Epidemiol Psychiatr Sci","language":"en","license":"https://www.cambridge.org/core/terms","page":"430-432","source":"DOI.org (Crossref)","title":"What does the latest meta-analysis really tell us about antidepressants?","volume":"27","author":[{"family":"Moncrieff","given":"J."}],"issued":{"date-parts":[["2018",10]]}}},{"id":1168,"uris":["http://zotero.org/users/1546863/items/GPLCLPFM"],"itemData":{"id":1168,"type":"article-journal","abstract":"Abstract\n            \n              The serotonin hypothesis of depression is still influential. We aimed to synthesise and evaluate evidence on whether depression is associated with lowered serotonin concentration or activity in a systematic umbrella review of the principal relevant areas of research. PubMed, EMBASE and PsycINFO were searched using terms appropriate to each area of research, from their inception until December 2020. Systematic reviews, meta-analyses and large data-set analyses in the following areas were identified: serotonin and serotonin metabolite, 5-HIAA, concentrations in body fluids; serotonin 5-HT\n              1A\n              receptor binding; serotonin transporter (SERT) levels measured by imaging or at post-mortem; tryptophan depletion studies; SERT gene associations and SERT gene-environment interactions. Studies of depression associated with physical conditions and specific subtypes of depression (e.g. bipolar depression) were excluded. Two independent reviewers extracted the data and assessed the quality of included studies using the AMSTAR-2, an adapted AMSTAR-2, or the STREGA for a large genetic study. The certainty of study results was assessed using a modified version of the GRADE. We did not synthesise results of individual meta-analyses because they included overlapping studies. The review was registered with PROSPERO (CRD42020207203). 17 studies were included: 12 systematic reviews and meta-analyses, 1 collaborative meta-analysis, 1 meta-analysis of large cohort studies, 1 systematic review and narrative synthesis, 1 genetic association study and 1 umbrella review. Quality of reviews was variable with some genetic studies of high quality. Two meta-analyses of overlapping studies examining the serotonin metabolite, 5-HIAA, showed no association with depression (largest\n              n\n              </w:instrText>
      </w:r>
      <w:r w:rsidR="00D17D35">
        <w:rPr>
          <w:rFonts w:ascii="Arial" w:hAnsi="Arial" w:cs="Arial"/>
        </w:rPr>
        <w:instrText> </w:instrText>
      </w:r>
      <w:r w:rsidR="00D17D35">
        <w:instrText>=</w:instrText>
      </w:r>
      <w:r w:rsidR="00D17D35">
        <w:rPr>
          <w:rFonts w:ascii="Arial" w:hAnsi="Arial" w:cs="Arial"/>
        </w:rPr>
        <w:instrText> </w:instrText>
      </w:r>
      <w:r w:rsidR="00D17D35">
        <w:instrText xml:space="preserve">1002). One meta-analysis of cohort studies of plasma serotonin showed no relationship with depression, and evidence that lowered serotonin concentration was associated with antidepressant use (\n              n\n              </w:instrText>
      </w:r>
      <w:r w:rsidR="00D17D35">
        <w:rPr>
          <w:rFonts w:ascii="Arial" w:hAnsi="Arial" w:cs="Arial"/>
        </w:rPr>
        <w:instrText> </w:instrText>
      </w:r>
      <w:r w:rsidR="00D17D35">
        <w:instrText>=</w:instrText>
      </w:r>
      <w:r w:rsidR="00D17D35">
        <w:rPr>
          <w:rFonts w:ascii="Arial" w:hAnsi="Arial" w:cs="Arial"/>
        </w:rPr>
        <w:instrText> </w:instrText>
      </w:r>
      <w:r w:rsidR="00D17D35">
        <w:instrText xml:space="preserve">1869). Two meta-analyses of overlapping studies examining the 5-HT\n              1A\n              receptor (largest\n              n\n              </w:instrText>
      </w:r>
      <w:r w:rsidR="00D17D35">
        <w:rPr>
          <w:rFonts w:ascii="Arial" w:hAnsi="Arial" w:cs="Arial"/>
        </w:rPr>
        <w:instrText> </w:instrText>
      </w:r>
      <w:r w:rsidR="00D17D35">
        <w:instrText>=</w:instrText>
      </w:r>
      <w:r w:rsidR="00D17D35">
        <w:rPr>
          <w:rFonts w:ascii="Arial" w:hAnsi="Arial" w:cs="Arial"/>
        </w:rPr>
        <w:instrText> </w:instrText>
      </w:r>
      <w:r w:rsidR="00D17D35">
        <w:instrText xml:space="preserve">561), and three meta-analyses of overlapping studies examining SERT binding (largest\n              n\n              </w:instrText>
      </w:r>
      <w:r w:rsidR="00D17D35">
        <w:rPr>
          <w:rFonts w:ascii="Arial" w:hAnsi="Arial" w:cs="Arial"/>
        </w:rPr>
        <w:instrText> </w:instrText>
      </w:r>
      <w:r w:rsidR="00D17D35">
        <w:instrText>=</w:instrText>
      </w:r>
      <w:r w:rsidR="00D17D35">
        <w:rPr>
          <w:rFonts w:ascii="Arial" w:hAnsi="Arial" w:cs="Arial"/>
        </w:rPr>
        <w:instrText> </w:instrText>
      </w:r>
      <w:r w:rsidR="00D17D35">
        <w:instrText>1845) showed weak and inconsistent evidence of reduced binding in some areas, which would be consistent with increased synaptic availability of serotonin in people with depression, if this was the original, causal abnormaly. However,</w:instrText>
      </w:r>
      <w:r w:rsidR="00D17D35">
        <w:rPr>
          <w:rFonts w:ascii="Aptos" w:hAnsi="Aptos" w:cs="Aptos"/>
        </w:rPr>
        <w:instrText> </w:instrText>
      </w:r>
      <w:r w:rsidR="00D17D35">
        <w:instrText xml:space="preserve">effects of prior antidepressant use were not reliably excluded. One meta-analysis of tryptophan depletion studies found no effect in most healthy volunteers (\n              n\n              </w:instrText>
      </w:r>
      <w:r w:rsidR="00D17D35">
        <w:rPr>
          <w:rFonts w:ascii="Arial" w:hAnsi="Arial" w:cs="Arial"/>
        </w:rPr>
        <w:instrText> </w:instrText>
      </w:r>
      <w:r w:rsidR="00D17D35">
        <w:instrText>=</w:instrText>
      </w:r>
      <w:r w:rsidR="00D17D35">
        <w:rPr>
          <w:rFonts w:ascii="Arial" w:hAnsi="Arial" w:cs="Arial"/>
        </w:rPr>
        <w:instrText> </w:instrText>
      </w:r>
      <w:r w:rsidR="00D17D35">
        <w:instrText xml:space="preserve">566), but weak evidence of an effect in those with a family history of depression (\n              n\n              </w:instrText>
      </w:r>
      <w:r w:rsidR="00D17D35">
        <w:rPr>
          <w:rFonts w:ascii="Arial" w:hAnsi="Arial" w:cs="Arial"/>
        </w:rPr>
        <w:instrText> </w:instrText>
      </w:r>
      <w:r w:rsidR="00D17D35">
        <w:instrText>=</w:instrText>
      </w:r>
      <w:r w:rsidR="00D17D35">
        <w:rPr>
          <w:rFonts w:ascii="Arial" w:hAnsi="Arial" w:cs="Arial"/>
        </w:rPr>
        <w:instrText> </w:instrText>
      </w:r>
      <w:r w:rsidR="00D17D35">
        <w:instrText xml:space="preserve">75). Another systematic review (\n              n\n              </w:instrText>
      </w:r>
      <w:r w:rsidR="00D17D35">
        <w:rPr>
          <w:rFonts w:ascii="Arial" w:hAnsi="Arial" w:cs="Arial"/>
        </w:rPr>
        <w:instrText> </w:instrText>
      </w:r>
      <w:r w:rsidR="00D17D35">
        <w:instrText>=</w:instrText>
      </w:r>
      <w:r w:rsidR="00D17D35">
        <w:rPr>
          <w:rFonts w:ascii="Arial" w:hAnsi="Arial" w:cs="Arial"/>
        </w:rPr>
        <w:instrText> </w:instrText>
      </w:r>
      <w:r w:rsidR="00D17D35">
        <w:instrText xml:space="preserve">342) and a sample of ten subsequent studies (\n              n\n              </w:instrText>
      </w:r>
      <w:r w:rsidR="00D17D35">
        <w:rPr>
          <w:rFonts w:ascii="Arial" w:hAnsi="Arial" w:cs="Arial"/>
        </w:rPr>
        <w:instrText> </w:instrText>
      </w:r>
      <w:r w:rsidR="00D17D35">
        <w:instrText>=</w:instrText>
      </w:r>
      <w:r w:rsidR="00D17D35">
        <w:rPr>
          <w:rFonts w:ascii="Arial" w:hAnsi="Arial" w:cs="Arial"/>
        </w:rPr>
        <w:instrText> </w:instrText>
      </w:r>
      <w:r w:rsidR="00D17D35">
        <w:instrText xml:space="preserve">407) found no effect in volunteers. No systematic review of tryptophan depletion studies has been performed since 2007. The two largest and highest quality studies of the SERT gene, one genetic association study (\n              n\n              </w:instrText>
      </w:r>
      <w:r w:rsidR="00D17D35">
        <w:rPr>
          <w:rFonts w:ascii="Arial" w:hAnsi="Arial" w:cs="Arial"/>
        </w:rPr>
        <w:instrText> </w:instrText>
      </w:r>
      <w:r w:rsidR="00D17D35">
        <w:instrText>=</w:instrText>
      </w:r>
      <w:r w:rsidR="00D17D35">
        <w:rPr>
          <w:rFonts w:ascii="Arial" w:hAnsi="Arial" w:cs="Arial"/>
        </w:rPr>
        <w:instrText> </w:instrText>
      </w:r>
      <w:r w:rsidR="00D17D35">
        <w:instrText xml:space="preserve">115,257) and one collaborative meta-analysis (\n              n\n              </w:instrText>
      </w:r>
      <w:r w:rsidR="00D17D35">
        <w:rPr>
          <w:rFonts w:ascii="Arial" w:hAnsi="Arial" w:cs="Arial"/>
        </w:rPr>
        <w:instrText> </w:instrText>
      </w:r>
      <w:r w:rsidR="00D17D35">
        <w:instrText>=</w:instrText>
      </w:r>
      <w:r w:rsidR="00D17D35">
        <w:rPr>
          <w:rFonts w:ascii="Arial" w:hAnsi="Arial" w:cs="Arial"/>
        </w:rPr>
        <w:instrText> </w:instrText>
      </w:r>
      <w:r w:rsidR="00D17D35">
        <w:instrText xml:space="preserve">43,165), revealed no evidence of an association with depression, or of an interaction between genotype, stress and depression. The main areas of serotonin research provide no consistent evidence of there being an association between serotonin and depression, and no support for the hypothesis that depression is caused by lowered serotonin activity or concentrations. Some evidence was consistent with the possibility that long-term antidepressant use reduces serotonin concentration.","container-title":"Molecular Psychiatry","DOI":"10.1038/s41380-022-01661-0","ISSN":"1359-4184, 1476-5578","issue":"8","journalAbbreviation":"Mol Psychiatry","language":"en","page":"3243-3256","source":"DOI.org (Crossref)","title":"The serotonin theory of depression: a systematic umbrella review of the evidence","title-short":"The serotonin theory of depression","volume":"28","author":[{"family":"Moncrieff","given":"Joanna"},{"family":"Cooper","given":"Ruth E."},{"family":"Stockmann","given":"Tom"},{"family":"Amendola","given":"Simone"},{"family":"Hengartner","given":"Michael P."},{"family":"Horowitz","given":"Mark A."}],"issued":{"date-parts":[["2023",8]]}}},{"id":424,"uris":["http://zotero.org/users/1546863/items/ZZ39W27D"],"itemData":{"id":424,"type":"article-journal","title":"Frequency of self-reported persistent post-treatment genital hypesthesia among past antidepressant users: A cross-sectional survey of sexual and gender minority youth in Canada and the US","URL":"https://doi.org/10.31219/osf.io/qha9n","author":[{"family":"Pirani","given":"Y."},{"family":"Delgado-Ron","given":"Jorge Andrés"},{"family":"Marinho","given":"P."},{"family":"Gupta","given":"A."},{"family":"Gray","given":"E."},{"family":"Watt","given":"S."},{"family":"Salway","given":"T."}],"issued":{"date-parts":[["2023",11,4]]}}}],"schema":"https://github.com/citation-style-language/schema/raw/master/csl-citation.json"} </w:instrText>
      </w:r>
      <w:r w:rsidR="00D17D35">
        <w:fldChar w:fldCharType="separate"/>
      </w:r>
      <w:r w:rsidR="00D17D35" w:rsidRPr="001E1C6B">
        <w:rPr>
          <w:rFonts w:ascii="Aptos" w:hAnsi="Aptos"/>
        </w:rPr>
        <w:t>(Danborg et al., 2019; Moncrieff, 2018a, 2018b; Moncrieff et al., 2023; Pirani et al., 2023)</w:t>
      </w:r>
      <w:r w:rsidR="00D17D35">
        <w:fldChar w:fldCharType="end"/>
      </w:r>
      <w:r w:rsidR="00D17D35">
        <w:t xml:space="preserve">. </w:t>
      </w:r>
    </w:p>
    <w:p w14:paraId="3E2D5274" w14:textId="77777777" w:rsidR="001E1C6B" w:rsidRDefault="001E1C6B" w:rsidP="001E1C6B">
      <w:pPr>
        <w:pStyle w:val="Heading2"/>
      </w:pPr>
      <w:r w:rsidRPr="001E1C6B">
        <w:lastRenderedPageBreak/>
        <w:t>From Symptoms to Sense-Making: An Enactivist Perspective</w:t>
      </w:r>
    </w:p>
    <w:p w14:paraId="70D835EA" w14:textId="77B9748C" w:rsidR="001A3CB4" w:rsidRDefault="00D17D35" w:rsidP="008E41B6">
      <w:r>
        <w:t>Our collective failure to improve global mental health raises the question about the adequacy of such impersonal</w:t>
      </w:r>
      <w:r>
        <w:t xml:space="preserve"> and reductionist</w:t>
      </w:r>
      <w:r>
        <w:t xml:space="preserve"> approach. </w:t>
      </w:r>
      <w:r>
        <w:t xml:space="preserve">This has prompted new conceptual approaches to overcome said limitations. </w:t>
      </w:r>
      <w:r w:rsidR="001E1C6B">
        <w:t>Enactivism</w:t>
      </w:r>
      <w:r>
        <w:t xml:space="preserve">, for example, </w:t>
      </w:r>
      <w:r w:rsidR="001E1C6B">
        <w:t xml:space="preserve">redefines mental health as </w:t>
      </w:r>
      <w:r w:rsidR="00BE05FD">
        <w:t>an embodied interaction between a person and its environment</w:t>
      </w:r>
      <w:r>
        <w:t xml:space="preserve">: the mind is both and </w:t>
      </w:r>
      <w:r w:rsidR="005A7F5D">
        <w:t xml:space="preserve">the pathology could lie in either </w:t>
      </w:r>
      <w:r>
        <w:t xml:space="preserve">elements or its interplay </w:t>
      </w:r>
      <w:r w:rsidR="001A3CB4">
        <w:fldChar w:fldCharType="begin"/>
      </w:r>
      <w:r w:rsidR="001A3CB4">
        <w:instrText xml:space="preserve"> ADDIN ZOTERO_ITEM CSL_CITATION {"citationID":"oWOpCnaL","properties":{"formattedCitation":"(Garc\\uc0\\u237{}a &amp; Barandiaran, 2025)","plainCitation":"(García &amp; Barandiaran, 2025)","noteIndex":0},"citationItems":[{"id":1144,"uris":["http://zotero.org/users/1546863/items/RITMDK55"],"itemData":{"id":1144,"type":"article-journal","abstract":"Abstract\n            In recent years, (autonomy-centered) enactivism has been used to provide an integrative and relational account of mental conditions. A significant advancement lies in its naturalized and pluralistic treatment of normativity, which transcends traditional objectivist and normativist dichotomies. This article explores the varieties of normativity within this paradigm and their implications for understanding mental conditions. We address purported challenges associated with the integration of social normativity into the enactive naturalistic framework of cognition, particularly concerning mental conditions. Drawing upon the distinction between the constitution problem and the status problem, we conceptualize mental conditions as intersubjectively constituted with an intersubjectively negotiated status. Adopting a participatory sense-making perspective, we address three challenges posed by social movements: (1) Hermeneutical dilemmas related to the ontological openness of mental health categories. (2) The difficulties and urgency to mitigate epistemic injustices. (3) The complex attribution of (social) responsibility in psychological wellbeing. In conclusion, this perspective prompts a reevaluation of epistemological assumptions, advocating for a second-person and engaged perspective on mental conditions.","container-title":"Synthese","DOI":"10.1007/s11229-024-04854-y","ISSN":"1573-0964","issue":"2","journalAbbreviation":"Synthese","language":"en","page":"53","source":"DOI.org (Crossref)","title":"Varieties of normativity and mental health: an enactive approach","title-short":"Varieties of normativity and mental health","volume":"205","author":[{"family":"García","given":"Enara"},{"family":"Barandiaran","given":"Xabier E."}],"issued":{"date-parts":[["2025",1,16]]}}}],"schema":"https://github.com/citation-style-language/schema/raw/master/csl-citation.json"} </w:instrText>
      </w:r>
      <w:r w:rsidR="001A3CB4">
        <w:fldChar w:fldCharType="separate"/>
      </w:r>
      <w:r w:rsidR="001A3CB4" w:rsidRPr="00BE05FD">
        <w:rPr>
          <w:rFonts w:ascii="Aptos" w:hAnsi="Aptos" w:cs="Times New Roman"/>
          <w:kern w:val="0"/>
        </w:rPr>
        <w:t>(García &amp; Barandiaran, 2025)</w:t>
      </w:r>
      <w:r w:rsidR="001A3CB4">
        <w:fldChar w:fldCharType="end"/>
      </w:r>
      <w:r w:rsidR="005A7F5D">
        <w:t xml:space="preserve">. </w:t>
      </w:r>
      <w:r w:rsidR="001A3CB4">
        <w:t xml:space="preserve">Depression, </w:t>
      </w:r>
      <w:r>
        <w:t>under this framework</w:t>
      </w:r>
      <w:r w:rsidR="001A3CB4">
        <w:t xml:space="preserve">, </w:t>
      </w:r>
      <w:r>
        <w:t xml:space="preserve">could </w:t>
      </w:r>
      <w:r w:rsidR="001A3CB4">
        <w:t xml:space="preserve">be understood as an inability </w:t>
      </w:r>
      <w:r w:rsidR="001A3CB4" w:rsidRPr="001A3CB4">
        <w:t>to connect meaningfully with life</w:t>
      </w:r>
      <w:r w:rsidR="001A3CB4">
        <w:t xml:space="preserve">, </w:t>
      </w:r>
      <w:r w:rsidR="001A3CB4" w:rsidRPr="00D17D35">
        <w:rPr>
          <w:i/>
          <w:iCs/>
        </w:rPr>
        <w:t>because</w:t>
      </w:r>
      <w:r w:rsidR="001A3CB4">
        <w:t xml:space="preserve"> </w:t>
      </w:r>
      <w:r w:rsidR="001A3CB4" w:rsidRPr="001A3CB4">
        <w:t>the world offers fewer opportunities to act, enjoy, or engage</w:t>
      </w:r>
      <w:r w:rsidR="001A3CB4">
        <w:t xml:space="preserve">. </w:t>
      </w:r>
      <w:r w:rsidR="001E1C6B">
        <w:t>Generalized a</w:t>
      </w:r>
      <w:r w:rsidR="001A3CB4">
        <w:t>nxiety</w:t>
      </w:r>
      <w:r w:rsidR="00203A00">
        <w:t xml:space="preserve"> could </w:t>
      </w:r>
      <w:r w:rsidR="001E1C6B">
        <w:t xml:space="preserve">be understood as interaction </w:t>
      </w:r>
      <w:r w:rsidR="001A3CB4">
        <w:t xml:space="preserve">with a world that </w:t>
      </w:r>
      <w:r w:rsidR="001A3CB4" w:rsidRPr="001A3CB4">
        <w:t>feels threatening</w:t>
      </w:r>
      <w:r w:rsidR="001A3CB4">
        <w:t xml:space="preserve"> </w:t>
      </w:r>
      <w:r w:rsidR="001E1C6B">
        <w:t xml:space="preserve">to the patient </w:t>
      </w:r>
      <w:r w:rsidR="001A3CB4">
        <w:fldChar w:fldCharType="begin"/>
      </w:r>
      <w:r w:rsidR="001A3CB4">
        <w:instrText xml:space="preserve"> ADDIN ZOTERO_ITEM CSL_CITATION {"citationID":"CoBr84ni","properties":{"formattedCitation":"(Hutto &amp; Myin, 2013)","plainCitation":"(Hutto &amp; Myin, 2013)","noteIndex":0},"citationItems":[{"id":1146,"uris":["http://zotero.org/users/1546863/items/8IHWFIH3"],"itemData":{"id":1146,"type":"book","abstract":"Enactivism : the radical line -- Enactivisms less radical -- The reach of REC -- The hard problem of content -- CIC's retreat -- CIC's last stand -- Extensive minds -- Regaining consciousness","event-place":"Cambridge, Mass.","ISBN":"978-0-262-53464-2","language":"eng","number-of-pages":"206","publisher":"MIT Press","publisher-place":"Cambridge, Mass.","source":"K10plus ISBN","title":"Radicalizing enactivism: basic minds without content","title-short":"Radicalizing enactivism","author":[{"family":"Hutto","given":"Daniel D."},{"family":"Myin","given":"Erik"}],"issued":{"date-parts":[["2013"]]}}}],"schema":"https://github.com/citation-style-language/schema/raw/master/csl-citation.json"} </w:instrText>
      </w:r>
      <w:r w:rsidR="001A3CB4">
        <w:fldChar w:fldCharType="separate"/>
      </w:r>
      <w:r w:rsidR="001A3CB4" w:rsidRPr="001A3CB4">
        <w:rPr>
          <w:rFonts w:ascii="Aptos" w:hAnsi="Aptos"/>
        </w:rPr>
        <w:t>(Hutto &amp; Myin, 2013)</w:t>
      </w:r>
      <w:r w:rsidR="001A3CB4">
        <w:fldChar w:fldCharType="end"/>
      </w:r>
      <w:r w:rsidR="001A3CB4" w:rsidRPr="001A3CB4">
        <w:t xml:space="preserve">. </w:t>
      </w:r>
      <w:r w:rsidR="001E1C6B">
        <w:t xml:space="preserve">The environment-person dysregulation is then addressed in tandem through a joint negotiation about what is pathological and what is not, therefore, overcoming the abovementioned epidemic injustice of ignoring the patient as a knowledgeable agent of his own condition </w:t>
      </w:r>
      <w:r w:rsidR="001E1C6B">
        <w:fldChar w:fldCharType="begin"/>
      </w:r>
      <w:r w:rsidR="001E1C6B">
        <w:instrText xml:space="preserve"> ADDIN ZOTERO_ITEM CSL_CITATION {"citationID":"H6AkvPBP","properties":{"formattedCitation":"(Garc\\uc0\\u237{}a &amp; Barandiaran, 2025)","plainCitation":"(García &amp; Barandiaran, 2025)","noteIndex":0},"citationItems":[{"id":1144,"uris":["http://zotero.org/users/1546863/items/RITMDK55"],"itemData":{"id":1144,"type":"article-journal","abstract":"Abstract\n            In recent years, (autonomy-centered) enactivism has been used to provide an integrative and relational account of mental conditions. A significant advancement lies in its naturalized and pluralistic treatment of normativity, which transcends traditional objectivist and normativist dichotomies. This article explores the varieties of normativity within this paradigm and their implications for understanding mental conditions. We address purported challenges associated with the integration of social normativity into the enactive naturalistic framework of cognition, particularly concerning mental conditions. Drawing upon the distinction between the constitution problem and the status problem, we conceptualize mental conditions as intersubjectively constituted with an intersubjectively negotiated status. Adopting a participatory sense-making perspective, we address three challenges posed by social movements: (1) Hermeneutical dilemmas related to the ontological openness of mental health categories. (2) The difficulties and urgency to mitigate epistemic injustices. (3) The complex attribution of (social) responsibility in psychological wellbeing. In conclusion, this perspective prompts a reevaluation of epistemological assumptions, advocating for a second-person and engaged perspective on mental conditions.","container-title":"Synthese","DOI":"10.1007/s11229-024-04854-y","ISSN":"1573-0964","issue":"2","journalAbbreviation":"Synthese","language":"en","page":"53","source":"DOI.org (Crossref)","title":"Varieties of normativity and mental health: an enactive approach","title-short":"Varieties of normativity and mental health","volume":"205","author":[{"family":"García","given":"Enara"},{"family":"Barandiaran","given":"Xabier E."}],"issued":{"date-parts":[["2025",1,16]]}}}],"schema":"https://github.com/citation-style-language/schema/raw/master/csl-citation.json"} </w:instrText>
      </w:r>
      <w:r w:rsidR="001E1C6B">
        <w:fldChar w:fldCharType="separate"/>
      </w:r>
      <w:r w:rsidR="001E1C6B" w:rsidRPr="00BE05FD">
        <w:rPr>
          <w:rFonts w:ascii="Aptos" w:hAnsi="Aptos" w:cs="Times New Roman"/>
          <w:kern w:val="0"/>
        </w:rPr>
        <w:t>(García &amp; Barandiaran, 2025)</w:t>
      </w:r>
      <w:r w:rsidR="001E1C6B">
        <w:fldChar w:fldCharType="end"/>
      </w:r>
      <w:r w:rsidR="001E1C6B">
        <w:t>.</w:t>
      </w:r>
    </w:p>
    <w:p w14:paraId="79C4AA01" w14:textId="395234B2" w:rsidR="001E1C6B" w:rsidRDefault="001E1C6B" w:rsidP="001E1C6B">
      <w:r w:rsidRPr="001E1C6B">
        <w:t>While an enactivist approach highlights the negotiated, context-sensitive nature of mental health, it is inherently challenging for public health because it resists fixed definitions and standardized protocols, which many medical professionals rely on to guide diagnosis, treatment, and population-level interventions</w:t>
      </w:r>
      <w:r>
        <w:t xml:space="preserve">  </w:t>
      </w:r>
      <w:r>
        <w:fldChar w:fldCharType="begin"/>
      </w:r>
      <w:r>
        <w:instrText xml:space="preserve"> ADDIN ZOTERO_ITEM CSL_CITATION {"citationID":"qXgQ7JbL","properties":{"formattedCitation":"(Garc\\uc0\\u237{}a &amp; Barandiaran, 2025)","plainCitation":"(García &amp; Barandiaran, 2025)","noteIndex":0},"citationItems":[{"id":1144,"uris":["http://zotero.org/users/1546863/items/RITMDK55"],"itemData":{"id":1144,"type":"article-journal","abstract":"Abstract\n            In recent years, (autonomy-centered) enactivism has been used to provide an integrative and relational account of mental conditions. A significant advancement lies in its naturalized and pluralistic treatment of normativity, which transcends traditional objectivist and normativist dichotomies. This article explores the varieties of normativity within this paradigm and their implications for understanding mental conditions. We address purported challenges associated with the integration of social normativity into the enactive naturalistic framework of cognition, particularly concerning mental conditions. Drawing upon the distinction between the constitution problem and the status problem, we conceptualize mental conditions as intersubjectively constituted with an intersubjectively negotiated status. Adopting a participatory sense-making perspective, we address three challenges posed by social movements: (1) Hermeneutical dilemmas related to the ontological openness of mental health categories. (2) The difficulties and urgency to mitigate epistemic injustices. (3) The complex attribution of (social) responsibility in psychological wellbeing. In conclusion, this perspective prompts a reevaluation of epistemological assumptions, advocating for a second-person and engaged perspective on mental conditions.","container-title":"Synthese","DOI":"10.1007/s11229-024-04854-y","ISSN":"1573-0964","issue":"2","journalAbbreviation":"Synthese","language":"en","page":"53","source":"DOI.org (Crossref)","title":"Varieties of normativity and mental health: an enactive approach","title-short":"Varieties of normativity and mental health","volume":"205","author":[{"family":"García","given":"Enara"},{"family":"Barandiaran","given":"Xabier E."}],"issued":{"date-parts":[["2025",1,16]]}}}],"schema":"https://github.com/citation-style-language/schema/raw/master/csl-citation.json"} </w:instrText>
      </w:r>
      <w:r>
        <w:fldChar w:fldCharType="separate"/>
      </w:r>
      <w:r w:rsidRPr="00BE05FD">
        <w:rPr>
          <w:rFonts w:ascii="Aptos" w:hAnsi="Aptos" w:cs="Times New Roman"/>
          <w:kern w:val="0"/>
        </w:rPr>
        <w:t>(García &amp; Barandiaran, 2025)</w:t>
      </w:r>
      <w:r>
        <w:fldChar w:fldCharType="end"/>
      </w:r>
      <w:r w:rsidRPr="001E1C6B">
        <w:t>.</w:t>
      </w:r>
      <w:r>
        <w:t xml:space="preserve"> </w:t>
      </w:r>
      <w:r w:rsidRPr="001E1C6B">
        <w:t>Moreover, even if we acknowledge that environmental factors contribute causally to mental health, public health interventions are inherently limited in their ability to reshape the world,</w:t>
      </w:r>
      <w:r w:rsidR="00203A00">
        <w:t xml:space="preserve"> facing</w:t>
      </w:r>
      <w:r w:rsidRPr="001E1C6B">
        <w:t xml:space="preserve"> constraints in how much they can alter social, economic, and cultural conditions.</w:t>
      </w:r>
      <w:r>
        <w:t xml:space="preserve"> Over time, patients’ difficulties in making sense of their environment—a core concern in enactivist frameworks of mental health </w:t>
      </w:r>
      <w:r>
        <w:fldChar w:fldCharType="begin"/>
      </w:r>
      <w:r>
        <w:instrText xml:space="preserve"> ADDIN ZOTERO_ITEM CSL_CITATION {"citationID":"TnY4oQX5","properties":{"formattedCitation":"(De Haan, 2020)","plainCitation":"(De Haan, 2020)","noteIndex":0},"citationItems":[{"id":1170,"uris":["http://zotero.org/users/1546863/items/DS6F59XF"],"itemData":{"id":1170,"type":"book","edition":"1","ISBN":"978-1-108-68521-4","license":"https://www.cambridge.org/core/terms","note":"DOI: 10.1017/9781108685214","publisher":"Cambridge University Press","source":"DOI.org (Crossref)","title":"Enactive Psychiatry","URL":"https://www.cambridge.org/core/product/identifier/9781108685214/type/book","author":[{"family":"De Haan","given":"Sanneke"}],"accessed":{"date-parts":[["2025",11,3]]},"issued":{"date-parts":[["2020",2,29]]}}}],"schema":"https://github.com/citation-style-language/schema/raw/master/csl-citation.json"} </w:instrText>
      </w:r>
      <w:r>
        <w:fldChar w:fldCharType="separate"/>
      </w:r>
      <w:r w:rsidRPr="001E1C6B">
        <w:rPr>
          <w:rFonts w:ascii="Aptos" w:hAnsi="Aptos"/>
        </w:rPr>
        <w:t>(De Haan, 2020)</w:t>
      </w:r>
      <w:r>
        <w:fldChar w:fldCharType="end"/>
      </w:r>
      <w:r>
        <w:t>—may become reinforced by the public health system’s own limitations in acknowledging and responding to this dynamic interplay of person and world.</w:t>
      </w:r>
    </w:p>
    <w:p w14:paraId="0A9D2EC9" w14:textId="25171D5B" w:rsidR="00203A00" w:rsidRDefault="00203A00" w:rsidP="008E41B6">
      <w:r>
        <w:t xml:space="preserve">Under these circumstances, it is understandable that the capacity of adapting to adverse circumstances or giving them a new meaning would be an asset in which public health interventions can be build upon </w:t>
      </w:r>
      <w:r>
        <w:fldChar w:fldCharType="begin"/>
      </w:r>
      <w:r>
        <w:instrText xml:space="preserve"> ADDIN ZOTERO_ITEM CSL_CITATION {"citationID":"KTXOPPEM","properties":{"formattedCitation":"(Kashdan &amp; Rottenberg, 2010)","plainCitation":"(Kashdan &amp; Rottenberg, 2010)","noteIndex":0},"citationItems":[{"id":1175,"uris":["http://zotero.org/users/1546863/items/FNI7E3LL"],"itemData":{"id":1175,"type":"article-journal","container-title":"Clinical Psychology Review","DOI":"10.1016/j.cpr.2010.03.001","ISSN":"02727358","issue":"7","journalAbbreviation":"Clinical Psychology Review","language":"en","page":"865-878","source":"DOI.org (Crossref)","title":"Psychological flexibility as a fundamental aspect of health","volume":"30","author":[{"family":"Kashdan","given":"Todd B."},{"family":"Rottenberg","given":"Jonathan"}],"issued":{"date-parts":[["2010",11]]}}}],"schema":"https://github.com/citation-style-language/schema/raw/master/csl-citation.json"} </w:instrText>
      </w:r>
      <w:r>
        <w:fldChar w:fldCharType="separate"/>
      </w:r>
      <w:r w:rsidRPr="00203A00">
        <w:rPr>
          <w:rFonts w:ascii="Aptos" w:hAnsi="Aptos"/>
        </w:rPr>
        <w:t>(Kashdan &amp; Rottenberg, 2010)</w:t>
      </w:r>
      <w:r>
        <w:fldChar w:fldCharType="end"/>
      </w:r>
      <w:r>
        <w:t xml:space="preserve">. </w:t>
      </w:r>
      <w:r w:rsidR="001E1C6B">
        <w:t xml:space="preserve">Meta-analytical and longitudinal studies conducted during the COVID-19 pandemic sought to understand the role of psychological (in)flexibility on mental health disorders, under extreme structural constrains </w:t>
      </w:r>
      <w:r w:rsidR="001E1C6B">
        <w:fldChar w:fldCharType="begin"/>
      </w:r>
      <w:r w:rsidR="001E1C6B">
        <w:instrText xml:space="preserve"> ADDIN ZOTERO_ITEM CSL_CITATION {"citationID":"LmtWgwOM","properties":{"formattedCitation":"(Hern\\uc0\\u225{}ndez-L\\uc0\\u243{}pez et al., 2021; Yao et al., 2023)","plainCitation":"(Hernández-López et al., 2021; Yao et al., 2023)","noteIndex":0},"citationItems":[{"id":1171,"uris":["http://zotero.org/users/1546863/items/E76TFD84"],"itemData":{"id":1171,"type":"article-journal","container-title":"Journal of Contextual Behavioral Science","DOI":"10.1016/j.jcbs.2020.12.002","ISSN":"22121447","journalAbbreviation":"Journal of Contextual Behavioral Science","language":"en","page":"42-49","source":"DOI.org (Crossref)","title":"Psychological inflexibility and mental health symptoms during the COVID-19 lockdown in Spain: A longitudinal study","title-short":"Psychological inflexibility and mental health symptoms during the COVID-19 lockdown in Spain","volume":"19","author":[{"family":"Hernández-López","given":"Mónica"},{"family":"Cepeda-Benito","given":"Antonio"},{"family":"Díaz-Pavón","given":"Pilar"},{"family":"Rodríguez-Valverde","given":"Miguel"}],"issued":{"date-parts":[["2021",1]]}}},{"id":1172,"uris":["http://zotero.org/users/1546863/items/QMQ5TS49"],"itemData":{"id":1172,"type":"article-journal","container-title":"Journal of Affective Disorders","DOI":"10.1016/j.jad.2022.09.116","ISSN":"01650327","journalAbbreviation":"Journal of Affective Disorders","language":"en","page":"148-160","source":"DOI.org (Crossref)","title":"Associations between psychological inflexibility and mental health problems during the COVID-19 pandemic: A three-level meta-analytic review","title-short":"Associations between psychological inflexibility and mental health problems during the COVID-19 pandemic","volume":"320","author":[{"family":"Yao","given":"Xiaoyu"},{"family":"Xu","given":"Xinhan"},{"family":"Chan","given":"Ko Ling"},{"family":"Chen","given":"Shimin"},{"family":"Assink","given":"Mark"},{"family":"Gao","given":"Shuling"}],"issued":{"date-parts":[["2023",1]]}}}],"schema":"https://github.com/citation-style-language/schema/raw/master/csl-citation.json"} </w:instrText>
      </w:r>
      <w:r w:rsidR="001E1C6B">
        <w:fldChar w:fldCharType="separate"/>
      </w:r>
      <w:r w:rsidR="001E1C6B" w:rsidRPr="001E1C6B">
        <w:rPr>
          <w:rFonts w:ascii="Aptos" w:hAnsi="Aptos" w:cs="Times New Roman"/>
          <w:kern w:val="0"/>
        </w:rPr>
        <w:t>(Hernández-López et al., 2021; Yao et al., 2023)</w:t>
      </w:r>
      <w:r w:rsidR="001E1C6B">
        <w:fldChar w:fldCharType="end"/>
      </w:r>
      <w:r w:rsidR="001E1C6B">
        <w:t xml:space="preserve">. They found that psychological inflexibility </w:t>
      </w:r>
      <w:r w:rsidR="001E1C6B" w:rsidRPr="001E1C6B">
        <w:t>predisposed to mental health problems</w:t>
      </w:r>
      <w:r w:rsidR="001E1C6B">
        <w:t>. Conversely, a</w:t>
      </w:r>
      <w:r w:rsidR="001E1C6B" w:rsidRPr="001E1C6B">
        <w:t xml:space="preserve"> growing body of research indicates that patients who cultivate mental flexibility are better able to reinterpret stressful situations, adapt their behaviors, and preserve a sense of meaning, even when broader social or structural conditions remain challenging </w:t>
      </w:r>
      <w:r w:rsidR="001E1C6B">
        <w:fldChar w:fldCharType="begin"/>
      </w:r>
      <w:r w:rsidR="001E1C6B">
        <w:instrText xml:space="preserve"> ADDIN ZOTERO_ITEM CSL_CITATION {"citationID":"Ohc8ksXM","properties":{"formattedCitation":"(Hern\\uc0\\u225{}ndez-L\\uc0\\u243{}pez et al., 2021; Kashdan &amp; Rottenberg, 2010; Paiva et al., 2024)","plainCitation":"(Hernández-López et al., 2021; Kashdan &amp; Rottenberg, 2010; Paiva et al., 2024)","noteIndex":0},"citationItems":[{"id":1171,"uris":["http://zotero.org/users/1546863/items/E76TFD84"],"itemData":{"id":1171,"type":"article-journal","container-title":"Journal of Contextual Behavioral Science","DOI":"10.1016/j.jcbs.2020.12.002","ISSN":"22121447","journalAbbreviation":"Journal of Contextual Behavioral Science","language":"en","page":"42-49","source":"DOI.org (Crossref)","title":"Psychological inflexibility and mental health symptoms during the COVID-19 lockdown in Spain: A longitudinal study","title-short":"Psychological inflexibility and mental health symptoms during the COVID-19 lockdown in Spain","volume":"19","author":[{"family":"Hernández-López","given":"Mónica"},{"family":"Cepeda-Benito","given":"Antonio"},{"family":"Díaz-Pavón","given":"Pilar"},{"family":"Rodríguez-Valverde","given":"Miguel"}],"issued":{"date-parts":[["2021",1]]}}},{"id":1175,"uris":["http://zotero.org/users/1546863/items/FNI7E3LL"],"itemData":{"id":1175,"type":"article-journal","container-title":"Clinical Psychology Review","DOI":"10.1016/j.cpr.2010.03.001","ISSN":"02727358","issue":"7","journalAbbreviation":"Clinical Psychology Review","language":"en","page":"865-878","source":"DOI.org (Crossref)","title":"Psychological flexibility as a fundamental aspect of health","volume":"30","author":[{"family":"Kashdan","given":"Todd B."},{"family":"Rottenberg","given":"Jonathan"}],"issued":{"date-parts":[["2010",11]]}}},{"id":1173,"uris":["http://zotero.org/users/1546863/items/URVKZLXR"],"itemData":{"id":1173,"type":"article-journal","abstract":"The COVID-19 pandemic involved a complex set of stressors affecting the health and well-being of the population. The understanding of the psychological processes that influence well-being in response to the pandemic and their interrelation is vital. A promising process in understanding the emotional impacts of these stressors is psychological flexibility. This study investigated the effect of psychological flexibility on well-being, both directly and indirectly, via mindfulness and coping strategies. A total of 334 Portuguese adults participated in this cross-sectional study. Participants were asked to complete an online questionnaire, including measures of psychological flexibility, well-being, mindfulness, and coping strategies. A multiple mediation model studied whether there are conditional indirect effects of mindfulness and coping strategies on well-being. The results showed statistically significant correlations between psychological flexibility, well-being, mindfulness, and coping strategies. Furthermore, we found that mindfulness and coping strategies partly mediate the relationship between psychological flexibility and well-being. Understanding the processes through which psychological flexibility influences well-being in a stressful context is important in comprehending the processes involved in an emotional reaction to a pandemic-like societal event. Mindfulness and coping are shown to be important processes to consider in understanding this phenomenon and designing future responses.","container-title":"Behavioral Sciences","DOI":"10.3390/bs14070545","ISSN":"2076-328X","issue":"7","journalAbbreviation":"Behavioral Sciences","language":"en","page":"545","source":"DOI.org (Crossref)","title":"The Effect of Psychological Flexibility on Well-Being during the COVID-19 Pandemic: The Multiple Mediation Role of Mindfulness and Coping","title-short":"The Effect of Psychological Flexibility on Well-Being during the COVID-19 Pandemic","volume":"14","author":[{"family":"Paiva","given":"Thiago"},{"family":"Silva","given":"Ana Nunes Da"},{"family":"Neto","given":"David Dias"},{"family":"Karekla","given":"Maria"},{"family":"Kassianos","given":"Angelos P."},{"family":"Gloster","given":"Andrew"}],"issued":{"date-parts":[["2024",6,28]]}}}],"schema":"https://github.com/citation-style-language/schema/raw/master/csl-citation.json"} </w:instrText>
      </w:r>
      <w:r w:rsidR="001E1C6B">
        <w:fldChar w:fldCharType="separate"/>
      </w:r>
      <w:r w:rsidR="001E1C6B" w:rsidRPr="001E1C6B">
        <w:rPr>
          <w:rFonts w:ascii="Aptos" w:hAnsi="Aptos" w:cs="Times New Roman"/>
          <w:kern w:val="0"/>
        </w:rPr>
        <w:t>(Hernández-López et al., 2021; Kashdan &amp; Rottenberg, 2010; Paiva et al., 2024)</w:t>
      </w:r>
      <w:r w:rsidR="001E1C6B">
        <w:fldChar w:fldCharType="end"/>
      </w:r>
      <w:r w:rsidR="001E1C6B">
        <w:t>.</w:t>
      </w:r>
      <w:r>
        <w:t xml:space="preserve"> </w:t>
      </w:r>
    </w:p>
    <w:p w14:paraId="2F0B1C2F" w14:textId="2C388758" w:rsidR="00203A00" w:rsidRDefault="00203A00" w:rsidP="008E41B6">
      <w:r>
        <w:lastRenderedPageBreak/>
        <w:t>The problem when trying to apply psychological flexibility as an intervention is its trait-like nature</w:t>
      </w:r>
      <w:r w:rsidRPr="00203A00">
        <w:t>, which can make it resistant to rapid or short-term change</w:t>
      </w:r>
      <w:r w:rsidR="00A807BE">
        <w:t xml:space="preserve"> </w:t>
      </w:r>
      <w:r w:rsidR="00A807BE">
        <w:fldChar w:fldCharType="begin"/>
      </w:r>
      <w:r w:rsidR="00A807BE">
        <w:instrText xml:space="preserve"> ADDIN ZOTERO_ITEM CSL_CITATION {"citationID":"28nvyTIb","properties":{"formattedCitation":"(Kashdan et al., 2020)","plainCitation":"(Kashdan et al., 2020)","noteIndex":0},"citationItems":[{"id":1188,"uris":["http://zotero.org/users/1546863/items/6N2Q39T2"],"itemData":{"id":1188,"type":"article-journal","container-title":"Psychological Assessment","DOI":"10.1037/pas0000834","ISSN":"1939-134X, 1040-3590","issue":"9","journalAbbreviation":"Psychological Assessment","language":"en","page":"829-850","source":"DOI.org (Crossref)","title":"Understanding psychological flexibility: A multimethod exploration of pursuing valued goals despite the presence of distress.","title-short":"Understanding psychological flexibility","volume":"32","author":[{"family":"Kashdan","given":"Todd B."},{"family":"Disabato","given":"David J."},{"family":"Goodman","given":"Fallon R."},{"family":"Doorley","given":"James D."},{"family":"McKnight","given":"Patrick E."}],"issued":{"date-parts":[["2020",9]]}}}],"schema":"https://github.com/citation-style-language/schema/raw/master/csl-citation.json"} </w:instrText>
      </w:r>
      <w:r w:rsidR="00A807BE">
        <w:fldChar w:fldCharType="separate"/>
      </w:r>
      <w:r w:rsidR="00A807BE" w:rsidRPr="00A807BE">
        <w:rPr>
          <w:rFonts w:ascii="Aptos" w:hAnsi="Aptos"/>
        </w:rPr>
        <w:t>(Kashdan et al., 2020)</w:t>
      </w:r>
      <w:r w:rsidR="00A807BE">
        <w:fldChar w:fldCharType="end"/>
      </w:r>
      <w:r w:rsidRPr="00203A00">
        <w:t>.</w:t>
      </w:r>
      <w:r w:rsidR="00A807BE">
        <w:t xml:space="preserve"> </w:t>
      </w:r>
      <w:r w:rsidR="00234F0A" w:rsidRPr="00234F0A">
        <w:t>While mindfulness</w:t>
      </w:r>
      <w:r w:rsidR="00234F0A" w:rsidRPr="00234F0A">
        <w:rPr>
          <w:rFonts w:ascii="Cambria Math" w:hAnsi="Cambria Math" w:cs="Cambria Math"/>
        </w:rPr>
        <w:t>‑</w:t>
      </w:r>
      <w:r w:rsidR="00234F0A" w:rsidRPr="00234F0A">
        <w:t>based interventions offer a viable path toward greater psychological flexibility, meta</w:t>
      </w:r>
      <w:r w:rsidR="00234F0A" w:rsidRPr="00234F0A">
        <w:rPr>
          <w:rFonts w:ascii="Cambria Math" w:hAnsi="Cambria Math" w:cs="Cambria Math"/>
        </w:rPr>
        <w:t>‑</w:t>
      </w:r>
      <w:r w:rsidR="00234F0A" w:rsidRPr="00234F0A">
        <w:t>analyses suggest the effect sizes are modest and inconsistent (e.g., g</w:t>
      </w:r>
      <w:r w:rsidR="00234F0A" w:rsidRPr="00234F0A">
        <w:rPr>
          <w:rFonts w:ascii="Arial" w:hAnsi="Arial" w:cs="Arial"/>
        </w:rPr>
        <w:t> </w:t>
      </w:r>
      <w:r w:rsidR="00234F0A" w:rsidRPr="00234F0A">
        <w:rPr>
          <w:rFonts w:ascii="Aptos" w:hAnsi="Aptos" w:cs="Aptos"/>
        </w:rPr>
        <w:t>≈</w:t>
      </w:r>
      <w:r w:rsidR="00234F0A" w:rsidRPr="00234F0A">
        <w:rPr>
          <w:rFonts w:ascii="Arial" w:hAnsi="Arial" w:cs="Arial"/>
        </w:rPr>
        <w:t> </w:t>
      </w:r>
      <w:r w:rsidR="00234F0A" w:rsidRPr="00234F0A">
        <w:t>0.38 for ACT interventions in undergraduate samples) and depend heavily on intervention format, duration, and target population</w:t>
      </w:r>
      <w:r w:rsidR="00234F0A">
        <w:t xml:space="preserve"> </w:t>
      </w:r>
      <w:r w:rsidR="00234F0A">
        <w:fldChar w:fldCharType="begin"/>
      </w:r>
      <w:r w:rsidR="00234F0A">
        <w:instrText xml:space="preserve"> ADDIN ZOTERO_ITEM CSL_CITATION {"citationID":"sKLxORqr","properties":{"formattedCitation":"(Hsu et al., 2023)","plainCitation":"(Hsu et al., 2023)","noteIndex":0},"citationItems":[{"id":1190,"uris":["http://zotero.org/users/1546863/items/BFJJ2YCQ"],"itemData":{"id":1190,"type":"article-journal","container-title":"Journal of Contextual Behavioral Science","DOI":"10.1016/j.jcbs.2023.10.006","ISSN":"22121447","journalAbbreviation":"Journal of Contextual Behavioral Science","language":"en","page":"169-180","source":"DOI.org (Crossref)","title":"The effect of acceptance and commitment therapy on the psychological flexibility and inflexibility of undergraduate students: A systematic review and three-level meta-analysis","title-short":"The effect of acceptance and commitment therapy on the psychological flexibility and inflexibility of undergraduate students","volume":"30","author":[{"family":"Hsu","given":"Ti"},{"family":"Adamowicz","given":"Jenna L."},{"family":"Thomas","given":"Emily B.K."}],"issued":{"date-parts":[["2023",10]]}}}],"schema":"https://github.com/citation-style-language/schema/raw/master/csl-citation.json"} </w:instrText>
      </w:r>
      <w:r w:rsidR="00234F0A">
        <w:fldChar w:fldCharType="separate"/>
      </w:r>
      <w:r w:rsidR="00234F0A" w:rsidRPr="00234F0A">
        <w:rPr>
          <w:rFonts w:ascii="Aptos" w:hAnsi="Aptos"/>
        </w:rPr>
        <w:t>(Hsu et al., 2023)</w:t>
      </w:r>
      <w:r w:rsidR="00234F0A">
        <w:fldChar w:fldCharType="end"/>
      </w:r>
      <w:r w:rsidR="00234F0A" w:rsidRPr="00234F0A">
        <w:t>.</w:t>
      </w:r>
    </w:p>
    <w:p w14:paraId="357529B0" w14:textId="0435CE06" w:rsidR="001E1C6B" w:rsidRDefault="001E1C6B" w:rsidP="001E1C6B">
      <w:pPr>
        <w:pStyle w:val="Heading2"/>
      </w:pPr>
      <w:r w:rsidRPr="001E1C6B">
        <w:t>Psychedelics as World-Changers</w:t>
      </w:r>
    </w:p>
    <w:p w14:paraId="075F6E76" w14:textId="77ABED73" w:rsidR="001E1C6B" w:rsidRDefault="001E1C6B" w:rsidP="001E1C6B">
      <w:r w:rsidRPr="001E1C6B">
        <w:t>A psychedelic experience entails a profound and rapid re</w:t>
      </w:r>
      <w:r w:rsidRPr="001E1C6B">
        <w:rPr>
          <w:rFonts w:ascii="Cambria Math" w:hAnsi="Cambria Math" w:cs="Cambria Math"/>
        </w:rPr>
        <w:t>‑</w:t>
      </w:r>
      <w:r w:rsidRPr="001E1C6B">
        <w:t>configuration of one</w:t>
      </w:r>
      <w:r w:rsidRPr="001E1C6B">
        <w:rPr>
          <w:rFonts w:ascii="Aptos" w:hAnsi="Aptos" w:cs="Aptos"/>
        </w:rPr>
        <w:t>’</w:t>
      </w:r>
      <w:r w:rsidRPr="001E1C6B">
        <w:t>s perceptual, emotional, and self</w:t>
      </w:r>
      <w:r w:rsidRPr="001E1C6B">
        <w:rPr>
          <w:rFonts w:ascii="Cambria Math" w:hAnsi="Cambria Math" w:cs="Cambria Math"/>
        </w:rPr>
        <w:t>‑</w:t>
      </w:r>
      <w:r w:rsidRPr="001E1C6B">
        <w:t xml:space="preserve">referential frameworks, characterised by </w:t>
      </w:r>
      <w:r>
        <w:t xml:space="preserve">and </w:t>
      </w:r>
      <w:r w:rsidRPr="001E1C6B">
        <w:t xml:space="preserve">altered sense of </w:t>
      </w:r>
      <w:r w:rsidR="00234F0A">
        <w:t xml:space="preserve">both </w:t>
      </w:r>
      <w:r>
        <w:t xml:space="preserve">existence </w:t>
      </w:r>
      <w:r w:rsidRPr="001E1C6B">
        <w:t xml:space="preserve">and </w:t>
      </w:r>
      <w:r>
        <w:t xml:space="preserve">the </w:t>
      </w:r>
      <w:r w:rsidRPr="001E1C6B">
        <w:t>self</w:t>
      </w:r>
      <w:r>
        <w:t xml:space="preserve"> </w:t>
      </w:r>
      <w:r>
        <w:fldChar w:fldCharType="begin"/>
      </w:r>
      <w:r>
        <w:instrText xml:space="preserve"> ADDIN ZOTERO_ITEM CSL_CITATION {"citationID":"vofP9wUl","properties":{"formattedCitation":"(Ko et al., 2022)","plainCitation":"(Ko et al., 2022)","noteIndex":0},"citationItems":[{"id":1181,"uris":["http://zotero.org/users/1546863/items/S9U48MKL"],"itemData":{"id":1181,"type":"article-journal","abstract":"The mystical experience is a potential psychological mechanism to influence outcome in psychedelic therapy. It includes features such as oceanic boundlessness, ego dissolution, and universal interconnectedness, which have been closely linked to both symptom reduction and improved quality of life. In this review, 12 studies of psychedelic therapy utilizing psilocybin, ayahuasca, or ketamine were analyzed for association between mystical experience and symptom reduction, in areas as diverse as cancer-related distress, substance use disorder, and depressive disorders to include treatment-resistant. Ten of the twelve established a significant association of correlation, mediation, and/or prediction. A majority of the studies are limited, however, by their small sample size and lack of diversity (gender, ethnic, racial, educational, and socioeconomic), common in this newly re-emerging field. Further, 6 out of 12 studies were open-label in design and therefore susceptible to bias. Future studies of this nature should consider a larger sample size with greater diversity and thus representation by use of randomized design. More in-depth exploration into the nature of mystical experience is needed, including predictors of intensity, in order to maximize its positive effects on treatment outcome benefits and minimize concomitant anxiety.\n            \n              Systematic Review Registration:\n              PROSPERO, identifier CRD42021261752.","container-title":"Frontiers in Psychiatry","DOI":"10.3389/fpsyt.2022.917199","ISSN":"1664-0640","journalAbbreviation":"Front. Psychiatry","page":"917199","source":"DOI.org (Crossref)","title":"Psychedelics, Mystical Experience, and Therapeutic Efficacy: A Systematic Review","title-short":"Psychedelics, Mystical Experience, and Therapeutic Efficacy","volume":"13","author":[{"family":"Ko","given":"Kwonmok"},{"family":"Knight","given":"Gemma"},{"family":"Rucker","given":"James J."},{"family":"Cleare","given":"Anthony J."}],"issued":{"date-parts":[["2022",7,12]]}}}],"schema":"https://github.com/citation-style-language/schema/raw/master/csl-citation.json"} </w:instrText>
      </w:r>
      <w:r>
        <w:fldChar w:fldCharType="separate"/>
      </w:r>
      <w:r w:rsidRPr="001E1C6B">
        <w:rPr>
          <w:rFonts w:ascii="Aptos" w:hAnsi="Aptos"/>
        </w:rPr>
        <w:t>(Ko et al., 2022)</w:t>
      </w:r>
      <w:r>
        <w:fldChar w:fldCharType="end"/>
      </w:r>
      <w:r>
        <w:t xml:space="preserve">. </w:t>
      </w:r>
      <w:r w:rsidRPr="001E1C6B">
        <w:t xml:space="preserve"> </w:t>
      </w:r>
      <w:r>
        <w:t>A</w:t>
      </w:r>
      <w:r w:rsidRPr="001E1C6B">
        <w:t xml:space="preserve"> qualitative study of patients receiving psilocybin for treatment-resistant depression</w:t>
      </w:r>
      <w:r>
        <w:t xml:space="preserve"> </w:t>
      </w:r>
      <w:r w:rsidRPr="001E1C6B">
        <w:t xml:space="preserve">identified two core psychological shifts: </w:t>
      </w:r>
      <w:r>
        <w:t xml:space="preserve">(1) </w:t>
      </w:r>
      <w:r w:rsidRPr="001E1C6B">
        <w:t>moving from a state of disconnection</w:t>
      </w:r>
      <w:r>
        <w:t xml:space="preserve"> or disengagement</w:t>
      </w:r>
      <w:r w:rsidRPr="001E1C6B">
        <w:rPr>
          <w:rFonts w:ascii="Aptos" w:hAnsi="Aptos" w:cs="Aptos"/>
        </w:rPr>
        <w:t>—</w:t>
      </w:r>
      <w:r w:rsidRPr="001E1C6B">
        <w:t>from themselves, others, and the wider world</w:t>
      </w:r>
      <w:r w:rsidRPr="001E1C6B">
        <w:rPr>
          <w:rFonts w:ascii="Aptos" w:hAnsi="Aptos" w:cs="Aptos"/>
        </w:rPr>
        <w:t>—</w:t>
      </w:r>
      <w:r w:rsidRPr="001E1C6B">
        <w:t xml:space="preserve">toward increased connectedness, and </w:t>
      </w:r>
      <w:r>
        <w:t xml:space="preserve">(2) </w:t>
      </w:r>
      <w:r w:rsidRPr="001E1C6B">
        <w:t>from habitual avoidance of difficult emotions toward acceptance</w:t>
      </w:r>
      <w:r>
        <w:t xml:space="preserve"> </w:t>
      </w:r>
      <w:r>
        <w:fldChar w:fldCharType="begin"/>
      </w:r>
      <w:r>
        <w:instrText xml:space="preserve"> ADDIN ZOTERO_ITEM CSL_CITATION {"citationID":"LtsmgVXK","properties":{"formattedCitation":"(Watts et al., 2017)","plainCitation":"(Watts et al., 2017)","noteIndex":0},"citationItems":[{"id":1177,"uris":["http://zotero.org/users/1546863/items/KD9LVLC5"],"itemData":{"id":1177,"type":"article-journal","abstract":"Objective: To identify patients’ perceptions of the value of psilocybin as a treatment for depression. Method: Twenty patients enrolled in an open-label trial of psilocybin for treatment-resistant depression participated in a semistructured interview at 6-month follow-up. Thematic analysis was used to identify patients’ experiences of the treatment and how it compared with previous treatments. Results: Two main change processes were identified in relation to the treatment. The first concerned change from disconnection (from self, others, and world) to connection, and the second concerned change from avoidance (of emotion) to acceptance. A third theme concerned comparison between psilocybin and conventional treatments. Patients reported that medications and some short-term talking therapies tended to reinforce their sense of disconnection and avoidance, whereas treatment with psilocybin encouraged connection and acceptance. Conclusions: These results suggest that psilocybin treatment for depression may work via paradigmatically novel means, antithetical to antidepressant medications, and some short-term talking therapies.","container-title":"Journal of Humanistic Psychology","DOI":"10.1177/0022167817709585","ISSN":"0022-1678, 1552-650X","issue":"5","journalAbbreviation":"Journal of Humanistic Psychology","language":"en","page":"520-564","source":"DOI.org (Crossref)","title":"Patients’ Accounts of Increased “Connectedness” and “Acceptance” After Psilocybin for Treatment-Resistant Depression","volume":"57","author":[{"family":"Watts","given":"Rosalind"},{"family":"Day","given":"Camilla"},{"family":"Krzanowski","given":"Jacob"},{"family":"Nutt","given":"David"},{"family":"Carhart-Harris","given":"Robin"}],"issued":{"date-parts":[["2017",9]]}}}],"schema":"https://github.com/citation-style-language/schema/raw/master/csl-citation.json"} </w:instrText>
      </w:r>
      <w:r>
        <w:fldChar w:fldCharType="separate"/>
      </w:r>
      <w:r w:rsidRPr="001E1C6B">
        <w:rPr>
          <w:rFonts w:ascii="Aptos" w:hAnsi="Aptos"/>
        </w:rPr>
        <w:t>(Watts et al., 2017)</w:t>
      </w:r>
      <w:r>
        <w:fldChar w:fldCharType="end"/>
      </w:r>
      <w:r w:rsidRPr="001E1C6B">
        <w:t>.</w:t>
      </w:r>
    </w:p>
    <w:p w14:paraId="280F8C90" w14:textId="2E792600" w:rsidR="001E1C6B" w:rsidRPr="001E1C6B" w:rsidRDefault="001E1C6B" w:rsidP="008E41B6">
      <w:r w:rsidRPr="001E1C6B">
        <w:t xml:space="preserve">Although </w:t>
      </w:r>
      <w:r w:rsidR="00234F0A">
        <w:t xml:space="preserve">some hypothesis have tried linking </w:t>
      </w:r>
      <w:r>
        <w:t xml:space="preserve">such </w:t>
      </w:r>
      <w:r w:rsidRPr="001E1C6B">
        <w:t>changes to neuromodulatory effects, including serotonin receptor activity</w:t>
      </w:r>
      <w:r>
        <w:t xml:space="preserve"> and changes in the default mode network </w:t>
      </w:r>
      <w:r>
        <w:fldChar w:fldCharType="begin"/>
      </w:r>
      <w:r>
        <w:instrText xml:space="preserve"> ADDIN ZOTERO_ITEM CSL_CITATION {"citationID":"FUXZDeII","properties":{"formattedCitation":"(Carhart-Harris &amp; Goodwin, 2017; Smausz et al., 2022)","plainCitation":"(Carhart-Harris &amp; Goodwin, 2017; Smausz et al., 2022)","noteIndex":0},"citationItems":[{"id":1178,"uris":["http://zotero.org/users/1546863/items/F7D6VJP5"],"itemData":{"id":1178,"type":"article-journal","container-title":"Neuropsychopharmacology","DOI":"10.1038/npp.2017.84","ISSN":"0893-133X, 1740-634X","issue":"11","journalAbbreviation":"Neuropsychopharmacol","language":"en","page":"2105-2113","source":"DOI.org (Crossref)","title":"The Therapeutic Potential of Psychedelic Drugs: Past, Present, and Future","title-short":"The Therapeutic Potential of Psychedelic Drugs","volume":"42","author":[{"family":"Carhart-Harris","given":"Robin L"},{"family":"Goodwin","given":"Guy M"}],"issued":{"date-parts":[["2017",10]]}}},{"id":1179,"uris":["http://zotero.org/users/1546863/items/CYEZGCLS"],"itemData":{"id":1179,"type":"article-journal","abstract":"Psilocybin is a naturally occurring psychedelic compound with profound perception-, emotion- and cognition-altering properties and great potential for treating brain disorders. However, the neural mechanisms mediating its effects require in-depth investigation as there is still much to learn about how psychedelic drugs produce their profound and long-lasting effects. In this review, we outline the current understanding of the neurophysiology of psilocybin’s psychoactive properties, highlighting the need for additional preclinical studies to determine its effect on neural network dynamics. We first describe how psilocybin’s effect on brain regions associated with the default-mode network (DMN), particularly the prefrontal cortex and hippocampus, likely plays a key role in mediating its consciousness-altering properties. We then outline the specific receptor and cell types involved and discuss contradictory evidence from neuroimaging studies regarding psilocybin’s net effect on activity within these regions. We go on to argue that in vivo electrophysiology is ideally suited to provide a more holistic, neural network analysis approach to understand psilocybin’s mode of action. Thus, we integrate information about the neural bases for oscillatory activity generation with the accumulating evidence about psychedelic drug effects on neural synchrony within DMN-associated areas. This approach will help to generate important questions for future preclinical and clinical studies. Answers to these questions are vital for determining the neural mechanisms mediating psilocybin’s psychotherapeutic potential, which promises to improve outcomes for patients with severe depression and other difficulty to treat conditions.","container-title":"Journal of Psychopharmacology","DOI":"10.1177/02698811221092508","ISSN":"0269-8811, 1461-7285","issue":"7","journalAbbreviation":"J Psychopharmacol","language":"en","page":"781-793","source":"DOI.org (Crossref)","title":"Neural mechanisms underlying psilocybin’s therapeutic potential – the need for preclinical in vivo electrophysiology","volume":"36","author":[{"family":"Smausz","given":"Rebecca"},{"family":"Neill","given":"Joanna"},{"family":"Gigg","given":"John"}],"issued":{"date-parts":[["2022",7]]}}}],"schema":"https://github.com/citation-style-language/schema/raw/master/csl-citation.json"} </w:instrText>
      </w:r>
      <w:r>
        <w:fldChar w:fldCharType="separate"/>
      </w:r>
      <w:r w:rsidRPr="001E1C6B">
        <w:rPr>
          <w:rFonts w:ascii="Aptos" w:hAnsi="Aptos"/>
        </w:rPr>
        <w:t>(Carhart-Harris &amp; Goodwin, 2017; Smausz et al., 2022)</w:t>
      </w:r>
      <w:r>
        <w:fldChar w:fldCharType="end"/>
      </w:r>
      <w:r w:rsidRPr="001E1C6B">
        <w:t xml:space="preserve">, </w:t>
      </w:r>
      <w:r>
        <w:t xml:space="preserve">such correlations are secondary to the true underlying mechanism: the psychedelic experience itself. </w:t>
      </w:r>
      <w:r w:rsidRPr="001E1C6B">
        <w:t>Participants with greater levels of mystical experiences</w:t>
      </w:r>
      <w:r>
        <w:t>, for example,</w:t>
      </w:r>
      <w:r w:rsidRPr="001E1C6B">
        <w:t xml:space="preserve"> </w:t>
      </w:r>
      <w:r>
        <w:t xml:space="preserve">exhibit </w:t>
      </w:r>
      <w:r w:rsidRPr="001E1C6B">
        <w:t xml:space="preserve">a greater </w:t>
      </w:r>
      <w:r>
        <w:t xml:space="preserve">response </w:t>
      </w:r>
      <w:r w:rsidRPr="001E1C6B">
        <w:t>at first dose, but not at second or third dose</w:t>
      </w:r>
      <w:r>
        <w:t>s, further supporting a phenomenological rather than a pharmacological effect</w:t>
      </w:r>
      <w:r w:rsidRPr="001E1C6B">
        <w:t xml:space="preserve"> </w:t>
      </w:r>
      <w:r>
        <w:fldChar w:fldCharType="begin"/>
      </w:r>
      <w:r>
        <w:instrText xml:space="preserve"> ADDIN ZOTERO_ITEM CSL_CITATION {"citationID":"ZgMFOlRH","properties":{"formattedCitation":"(Brudner et al., 2025)","plainCitation":"(Brudner et al., 2025)","noteIndex":0},"citationItems":[{"id":1135,"uris":["http://zotero.org/users/1546863/items/Z2GVF2WI"],"itemData":{"id":1135,"type":"article-journal","abstract":"Background:\n              Psilocybin-assisted psychotherapy (PAP) is a promising treatment for various psychiatric disorders. However, the exact biological and psychological mechanisms of action of PAP remain to be determined. Examining predictors of PAP outcomes may help identify necessary processes for positive treatment outcomes. Mystical experiences are considered a key aspect of the subjective effects of ingesting psilocybin. Mystical experiences have been observed to be possibly predictive of positive outcomes in psilocybin treatments. Therefore, some argue that mystical-type experiences are necessary to achieve therapeutic benefits.\n            \n            \n              Aims:\n              The current study examines mystical experiences as a predictor of antidepressant treatment outcomes in PAP, in a complex clinical sample.\n            \n            \n              Methods:\n              Participants included 31 individuals with a primary diagnosis of major depressive disorder (MDD) or Bipolar II Disorder (BDII), with treatment resistance to symptoms of their disorder. Participants had one, two, or three PAP treatments with a fixed dose of 25</w:instrText>
      </w:r>
      <w:r>
        <w:rPr>
          <w:rFonts w:ascii="Arial" w:hAnsi="Arial" w:cs="Arial"/>
        </w:rPr>
        <w:instrText> </w:instrText>
      </w:r>
      <w:r>
        <w:instrText>mg of psilocybin. Depressive symptoms were measured at baseline, at a pre-dose visit and at 2</w:instrText>
      </w:r>
      <w:r>
        <w:rPr>
          <w:rFonts w:ascii="Arial" w:hAnsi="Arial" w:cs="Arial"/>
        </w:rPr>
        <w:instrText> </w:instrText>
      </w:r>
      <w:r>
        <w:instrText xml:space="preserve">weeks post-dosing. The presence of mystical experiences was measured on the dosing day after the acute effects had resolved.\n            \n            \n              Results:\n              For the first psilocybin dose, participants with greater levels of mystical experiences exhibited a greater antidepressant effect from PAP. This effect was not found at the second or third doses.\n            \n            \n              Conclusion:\n              These results provide preliminary support for the hypothesis that mystical experiences have therapeutic importance in PAP and extend the literature to include a clinical sample of individuals with treatment-resistant depression in the context of MDD or BDII.","container-title":"Journal of Psychopharmacology","DOI":"10.1177/02698811251346697","ISSN":"0269-8811, 1461-7285","issue":"9","journalAbbreviation":"J Psychopharmacol","language":"en","page":"950-956","source":"DOI.org (Crossref)","title":"Examining mystical experiences as a predictor of psilocybin-assisted psychotherapy for treatment-resistant depression","volume":"39","author":[{"family":"Brudner","given":"Ryan M"},{"family":"Kaczmarek","given":"Erica"},{"family":"Blainey","given":"Marc G"},{"family":"Schulz-Quach","given":"Christian"},{"family":"Meshkat","given":"Shakila"},{"family":"Doyle","given":"Zoe"},{"family":"Lipsitz","given":"Orly"},{"family":"Offman","given":"Hilary"},{"family":"Sethi","given":"Rickinder"},{"family":"Weiglein","given":"Geneva"},{"family":"McIntyre","given":"Roger S"},{"family":"Rosenblat","given":"Joshua D"}],"issued":{"date-parts":[["2025",9]]}}}],"schema":"https://github.com/citation-style-language/schema/raw/master/csl-citation.json"} </w:instrText>
      </w:r>
      <w:r>
        <w:fldChar w:fldCharType="separate"/>
      </w:r>
      <w:r w:rsidRPr="001E1C6B">
        <w:rPr>
          <w:rFonts w:ascii="Aptos" w:hAnsi="Aptos"/>
        </w:rPr>
        <w:t>(Brudner et al., 2025)</w:t>
      </w:r>
      <w:r>
        <w:fldChar w:fldCharType="end"/>
      </w:r>
      <w:r>
        <w:t>.</w:t>
      </w:r>
    </w:p>
    <w:p w14:paraId="43C65543" w14:textId="3C2DE015" w:rsidR="001E1C6B" w:rsidRDefault="001E1C6B">
      <w:r w:rsidRPr="001E1C6B">
        <w:t xml:space="preserve">Conventional therapeutic approaches often produce only temporary shifts in mood, without fundamentally addressing the ongoing relationship between the individual and the environment. Psychedelic experiences, by contrast, appear to engage individuals in a way that is deeply personal. Across diverse cultural and demographic contexts, people report core phenomenological features such as ego-dissolution, awe, and profound insight, yet each experience is interpreted and integrated through the individual’s unique life history, values, and social circumstances </w:t>
      </w:r>
      <w:r>
        <w:fldChar w:fldCharType="begin"/>
      </w:r>
      <w:r>
        <w:instrText xml:space="preserve"> ADDIN ZOTERO_ITEM CSL_CITATION {"citationID":"FV3cOYDq","properties":{"formattedCitation":"(Graziosi et al., 2023; Griffiths et al., 2006; Lerner &amp; Lyvers, 2006)","plainCitation":"(Graziosi et al., 2023; Griffiths et al., 2006; Lerner &amp; Lyvers, 2006)","noteIndex":0},"citationItems":[{"id":1183,"uris":["http://zotero.org/users/1546863/items/IXG67TXZ"],"itemData":{"id":1183,"type":"article-journal","container-title":"Journal of Psychoactive Drugs","DOI":"10.1080/02791072.2023.2255274","ISSN":"0279-1072, 2159-9777","issue":"5","journalAbbreviation":"Journal of Psychoactive Drugs","language":"en","page":"558-569","source":"DOI.org (Crossref)","title":"Acute Subjective Effects of Psychedelics within and Beyond WEIRD Contexts","volume":"55","author":[{"family":"Graziosi","given":"Marianna"},{"family":"Singh","given":"Manvir"},{"family":"Nayak","given":"Sandeep M."},{"family":"Yaden","given":"David B."}],"</w:instrText>
      </w:r>
      <w:r w:rsidRPr="007E0DA1">
        <w:instrText>issued":{"date-parts":[["2023",10,20]]}}},{"id":1185,"uris":["http://zotero.org/users/1546863/items/SD62MYDM"],"itemData":{"id":1185,"type":"article-journal","container-title":"Psychopharmacology","DOI":"10.1007/s00213-006-0457-5","ISSN":"0033-3158, 1432-2072","issue":"3","journalAbbreviation":"Psychopharmacology","language":"en","license":"http://www.springer.com/tdm","page":"268-283","source":"DOI.org (Crossref)","title":"Psilocybin can occasion mystical-type experiences having substantial and sustained personal meaning and spiritual significance","volume":"187","author":[{"family":"Griffiths","given":"R. R."},{"family":"Richards","given":"W. A."},{"family":"McCann","given":"U."},{"family":"Jesse","given":"R."}],"issued":{"date-parts":[["2006",8]]}}},{"id":1184,"uris":["http://zotero.org/users/1546863/items/FS77BI9D"],"itemData":{"id":1184,"type":"article-journal","container-title":"Journal of Psychoactive Drugs","DOI":"10.1080/02791072.2006.10399838","ISSN":"0279-1072, 2159-9777","issue":"2","journalAbbreviation":"Journal of Psychoactive Drugs","language":"en","page":"143-147","source":"DOI.org (Crossref)","title":"Values and Beliefs of Psychedelic Drug Users: A Cross-Cultural Study","title-short":"Values and Beliefs of Psychedelic Drug Users","volume":"38","author":[{"family":"Lerner","given":"Michael"},{"family":"Lyvers","given":"Michael"}],"issued":{"date-parts":[["2006",6]]}}}],"schema":"https://github.com/citation-style-language/schema/raw/master/csl-citation.jso</w:instrText>
      </w:r>
      <w:r w:rsidRPr="001E1C6B">
        <w:rPr>
          <w:lang w:val="fr-FR"/>
        </w:rPr>
        <w:instrText xml:space="preserve">n"} </w:instrText>
      </w:r>
      <w:r>
        <w:fldChar w:fldCharType="separate"/>
      </w:r>
      <w:r w:rsidRPr="001E1C6B">
        <w:rPr>
          <w:rFonts w:ascii="Aptos" w:hAnsi="Aptos"/>
          <w:lang w:val="fr-FR"/>
        </w:rPr>
        <w:t>(Graziosi et al., 2023; Griffiths et al., 2006; Lerner &amp; Lyvers, 2006)</w:t>
      </w:r>
      <w:r>
        <w:fldChar w:fldCharType="end"/>
      </w:r>
      <w:r w:rsidRPr="001E1C6B">
        <w:rPr>
          <w:lang w:val="fr-FR"/>
        </w:rPr>
        <w:t xml:space="preserve">. </w:t>
      </w:r>
      <w:r w:rsidRPr="001E1C6B">
        <w:t>From an enactivist perspective, meaning emerges through active engagement with both the self and the surrounding world; psychedelics do not provide ready-made interpretations, but rather create conditions in which individuals must make sense of the experience themselves.</w:t>
      </w:r>
    </w:p>
    <w:p w14:paraId="5647FC3C" w14:textId="1D6828FF" w:rsidR="001E1C6B" w:rsidRDefault="001E1C6B">
      <w:r>
        <w:t>Ultimately, psychedelics overcome the limitations of traditional approaches because they do change the world (through a change in perception).</w:t>
      </w:r>
      <w:r w:rsidR="00234F0A">
        <w:t xml:space="preserve"> However, a</w:t>
      </w:r>
      <w:r>
        <w:t xml:space="preserve">ccess to psilocybin is still heavily regulated. In Canada, it is considered </w:t>
      </w:r>
      <w:r w:rsidRPr="001E1C6B">
        <w:t xml:space="preserve">illegal to possess, traffic, or produce without </w:t>
      </w:r>
      <w:r w:rsidRPr="001E1C6B">
        <w:lastRenderedPageBreak/>
        <w:t>authorization</w:t>
      </w:r>
      <w:r>
        <w:t xml:space="preserve">. Its use in unregulated settings is illegal, and it has only been approved for specific conditions based on existing evidence: end-of-life distress and treatment-resistant major depressive disorder. A total of </w:t>
      </w:r>
      <w:r w:rsidRPr="001E1C6B">
        <w:t>200 patients were granted access to either psilocybin or MDMA</w:t>
      </w:r>
      <w:r>
        <w:t xml:space="preserve"> during the first two years of Canada’s Special Access Program </w:t>
      </w:r>
      <w:r>
        <w:fldChar w:fldCharType="begin"/>
      </w:r>
      <w:r>
        <w:instrText xml:space="preserve"> ADDIN ZOTERO_ITEM CSL_CITATION {"citationID":"d26R02QU","properties":{"formattedCitation":"(Richard et al., 2025)","plainCitation":"(Richard et al., 2025)","noteIndex":0},"citationItems":[{"id":1053,"uris":["http://zotero.org/users/1546863/items/DW9PAJWC"],"itemData":{"id":1053,"type":"article-journal","container-title":"General Psychiatry","DOI":"10.1136/gpsych-2024-101894","ISSN":"2517-729X","issue":"1","journalAbbreviation":"Gen Psych","language":"en","page":"e101894","source":"DOI.org (Crossref)","title":"Expanded access to psychedelic treatments: comparing American and Canadian policies","title-short":"Expanded access to psychedelic treatments","volume":"38","author":[{"family":"Richard","given":"Jérémie"},{"family":"Garcia-Romeu","given":"Albert"},{"family":"Henningfield","given":"Jack E"}],"issued":{"date-parts":[["2025",2]]}}}],"schema":"https://github.com/citation-style-language/schema/raw/master/csl-citation.json"} </w:instrText>
      </w:r>
      <w:r>
        <w:fldChar w:fldCharType="separate"/>
      </w:r>
      <w:r w:rsidRPr="00F56660">
        <w:rPr>
          <w:rFonts w:ascii="Aptos" w:hAnsi="Aptos"/>
        </w:rPr>
        <w:t>(Richard et al., 2025)</w:t>
      </w:r>
      <w:r>
        <w:fldChar w:fldCharType="end"/>
      </w:r>
      <w:r>
        <w:t xml:space="preserve">. Similar restrictions are often imposed on the eligibility conditions of clinical trials outside Canada </w:t>
      </w:r>
      <w:r>
        <w:fldChar w:fldCharType="begin"/>
      </w:r>
      <w:r>
        <w:instrText xml:space="preserve"> ADDIN ZOTERO_ITEM CSL_CITATION {"citationID":"LfGg71mi","properties":{"formattedCitation":"(Ross et al., 2025)","plainCitation":"(Ross et al., 2025)","noteIndex":0},"citationItems":[{"id":1065,"uris":["http://zotero.org/users/1546863/items/8WT3HMSY"],"itemData":{"id":1065,"type":"article-journal","container-title":"General Hospital Psychiatry","DOI":"10.1016/j.genhosppsych.2025.08.001","ISSN":"01638343","journalAbbreviation":"General Hospital Psychiatry","language":"en","page":"322-331","source":"DOI.org (Crossref)","title":"Psilocybin-assisted psychotherapy for depression and anxiety associated with life threatening illness: A phase 2b randomized controlled trial","title-short":"Psilocybin-assisted psychotherapy for depression and anxiety associated with life threatening illness","volume":"96","author":[{"family":"Ross","given":"Margaret L."},{"family":"Iyer","given":"Ravi"},{"family":"Williams","given":"Martin L."},{"family":"Boughey","given":"Mark"},{"family":"O'Callaghan","given":"Clare"},{"family":"Hiscock","given":"Richard"},{"family":"Dwyer","given":"Justin"}],"issued":{"date-parts":[["2025",9]]}}}],"schema":"https://github.com/citation-style-language/schema/raw/master/csl-citation.json"} </w:instrText>
      </w:r>
      <w:r>
        <w:fldChar w:fldCharType="separate"/>
      </w:r>
      <w:r w:rsidRPr="001E1C6B">
        <w:rPr>
          <w:rFonts w:ascii="Aptos" w:hAnsi="Aptos"/>
        </w:rPr>
        <w:t>(Ross et al., 2025)</w:t>
      </w:r>
      <w:r>
        <w:fldChar w:fldCharType="end"/>
      </w:r>
      <w:r>
        <w:t xml:space="preserve">. </w:t>
      </w:r>
    </w:p>
    <w:p w14:paraId="2F201C8D" w14:textId="1002B03C" w:rsidR="001E1C6B" w:rsidRPr="001E1C6B" w:rsidRDefault="001E1C6B">
      <w:r>
        <w:t xml:space="preserve">Despite such restrictions, emerging evidence from randomized clinical trials signal promising results for depression and other mental health conditions </w:t>
      </w:r>
      <w:r>
        <w:fldChar w:fldCharType="begin"/>
      </w:r>
      <w:r>
        <w:instrText xml:space="preserve"> ADDIN ZOTERO_ITEM CSL_CITATION {"citationID":"89PGX1Zd","properties":{"formattedCitation":"(Askariyan et al., 2025; Li et al., 2024)","plainCitation":"(Askariyan et al., 2025; Li et al., 2024)","noteIndex":0},"citationItems":[{"id":1132,"uris":["http://zotero.org/users/1546863/items/X22XJX8W"],"itemData":{"id":1132,"type":"article-journal","container-title":"Progress in Neuro-Psychopharmacology and Biological Psychiatry","DOI":"10.1016/j.pnpbp.2025.111461","ISSN":"02785846","journalAbbreviation":"Progress in Neuro-Psychopharmacology and Biological Psychiatry","language":"en","page":"111461","source":"DOI.org (Crossref)","title":"An overview of psilocybin, LSD, MDMA, and ketamine in revitalizing psychedelic-assisted therapy: Insights, limitations and future directions","title-short":"An overview of psilocybin, LSD, MDMA, and ketamine in revitalizing psychedelic-assisted therapy","volume":"141","author":[{"family":"Askariyan","given":"Kiana"},{"family":"Joghataei","given":"Mohammad Taghi"},{"family":"Dehghan","given":"Samaneh"},{"family":"Nohesara","given":"Shabnam"},{"family":"Riahi Pour","given":"Leila"},{"family":"Mohammadi","given":"Mohammad Hossein"},{"family":"Ahmadirad","given":"Nooshin"}],"issued":{"date-parts":[["2025",8]]}}},{"id":1186,"uris":["http://zotero.org/users/1546863/items/9U9QAY6F"],"itemData":{"id":1186,"type":"article-journal","abstract":"Objectives\n              The purpose of this systematic review of randomized controlled trials (RCTs) was to evaluate the effectiveness, safety, and tolerability of psilocybin in adult patients with major depressive disorder (MDD).\n            \n            \n              Methods\n              A systematic search (up to September 14, 2023) was conducted for RCTs that examined the efficacy, safety, and tolerability of psilocybin in physically healthy adult patients with MDD. Three independent researchers extracted data from publications where the primary outcome was a change in depressive symptoms, and key secondary outcomes were changes in anxiety symptoms and suicidal ideation, discontinuation rates for any reason, and adverse drug reactions (ADRs).\n            \n            \n              Results\n              Five RCTs with 472 adult patients with MDD on psilocybin (n = 274) and controls (n = 198) were included. Two of the five RCTs (40%) reported mixed results, while the other three (60%) found that psilocybin had a beneficial effect on MDD treatment. Four RCTs (80%) assessing the anxiolytic effects of psilocybin for treating MDD found that psilocybin was significantly more effective than the control group in improving anxiety symptoms. Psilocybin was more effective than the control group in improving suicidal ideation in one out of five RCTs. Discontinuation rates were similar for any reason between the psilocybin group (2–13%) and the control group (4–21%) (P &amp;gt; 0.05). Four RCTs (80%) reported ADRs in detail. The most common ADR in both groups was headache.\n            \n            \n              Conclusion\n              Psilocybin was effective in improving depressive symptoms in over half of the included studies and reduced anxiety symptoms in patients with MDD. The long-term efficacy and safety of psilocybin for MDD treatment needs to be further investigated in large RCTs.","container-title":"Frontiers in Psychiatry","DOI":"10.3389/fpsyt.2024.1416420","ISSN":"1664-0640","journalAbbreviation":"Front. Psychiatry","page":"1416420","source":"DOI.org (Crossref)","title":"Psilocybin for major depressive disorder: a systematic review of randomized controlled studies","title-short":"Psilocybin for major depressive disorder","volume":"15","author":[{"family":"Li","given":"Li-Juan"},{"family":"Mo","given":"Yu"},{"family":"Shi","given":"Zhan-Ming"},{"family":"Huang","given":"Xing-Bing"},{"family":"Ning","given":"Yu-Ping"},{"family":"Wu","given":"Hua-Wang"},{"family":"Yang","given":"Xin-Hu"},{"family":"Zheng","given":"Wei"}],"issued":{"date-parts":[["2024",9,23]]}}}],"schema":"https://github.com/citation-style-language/schema/raw/master/csl-citation.json"} </w:instrText>
      </w:r>
      <w:r>
        <w:fldChar w:fldCharType="separate"/>
      </w:r>
      <w:r w:rsidRPr="001E1C6B">
        <w:rPr>
          <w:rFonts w:ascii="Aptos" w:hAnsi="Aptos"/>
        </w:rPr>
        <w:t>(Askariyan et al., 2025; Li et al., 2024)</w:t>
      </w:r>
      <w:r>
        <w:fldChar w:fldCharType="end"/>
      </w:r>
      <w:r>
        <w:t xml:space="preserve">. </w:t>
      </w:r>
      <w:r w:rsidRPr="001E1C6B">
        <w:t xml:space="preserve">Moreover, access to, and consumption of, psychedelics has been </w:t>
      </w:r>
      <w:r w:rsidRPr="007328B0">
        <w:rPr>
          <w:i/>
          <w:iCs/>
        </w:rPr>
        <w:t>de</w:t>
      </w:r>
      <w:r w:rsidRPr="007328B0">
        <w:rPr>
          <w:rFonts w:ascii="Arial" w:hAnsi="Arial" w:cs="Arial"/>
          <w:i/>
          <w:iCs/>
        </w:rPr>
        <w:t> </w:t>
      </w:r>
      <w:r w:rsidRPr="007328B0">
        <w:rPr>
          <w:i/>
          <w:iCs/>
        </w:rPr>
        <w:t>facto</w:t>
      </w:r>
      <w:r w:rsidRPr="001E1C6B">
        <w:t xml:space="preserve"> legalized in several jurisdictions, meaning people can readily access the compounds through online or in</w:t>
      </w:r>
      <w:r w:rsidRPr="001E1C6B">
        <w:rPr>
          <w:rFonts w:ascii="Cambria Math" w:hAnsi="Cambria Math" w:cs="Cambria Math"/>
        </w:rPr>
        <w:t>‑</w:t>
      </w:r>
      <w:r w:rsidRPr="001E1C6B">
        <w:t>person stores at reasonable prices.</w:t>
      </w:r>
      <w:r>
        <w:t xml:space="preserve"> E</w:t>
      </w:r>
      <w:r w:rsidRPr="001E1C6B">
        <w:t>xamining real</w:t>
      </w:r>
      <w:r w:rsidRPr="001E1C6B">
        <w:rPr>
          <w:rFonts w:ascii="Cambria Math" w:hAnsi="Cambria Math" w:cs="Cambria Math"/>
        </w:rPr>
        <w:t>‐</w:t>
      </w:r>
      <w:r w:rsidRPr="001E1C6B">
        <w:t>world consumption of psychedelics allows for a broader view of how these compounds perform in less controlled, more representative settings</w:t>
      </w:r>
      <w:r>
        <w:t>. </w:t>
      </w:r>
      <w:r w:rsidRPr="001E1C6B">
        <w:t xml:space="preserve">For instance, a longitudinal cohort study </w:t>
      </w:r>
      <w:r>
        <w:fldChar w:fldCharType="begin"/>
      </w:r>
      <w:r>
        <w:instrText xml:space="preserve"> ADDIN ZOTERO_ITEM CSL_CITATION {"citationID":"3sJKhnF1","properties":{"formattedCitation":"(Nayak et al., 2023)","plainCitation":"(Nayak et al., 2023)","noteIndex":0},"citationItems":[{"id":1137,"uris":["http://zotero.org/users/1546863/items/T7HIARCG"],"itemData":{"id":1137,"type":"article-journal","abstract":"Introduction\n              The classic psychedelic psilocybin, found in some mushroom species, has received renewed interest in clinical research, showing potential mental health benefits in preliminary trials. Naturalistic use of psilocybin outside of research settings has increased in recent years, though data on the public health impact of such use remain limited.\n            \n            \n              Methods\n              This prospective, longitudinal study comprised six sequential automated web-based surveys that collected data from adults planning to take psilocybin outside clinical research: at time of consent, 2</w:instrText>
      </w:r>
      <w:r>
        <w:rPr>
          <w:rFonts w:ascii="Arial" w:hAnsi="Arial" w:cs="Arial"/>
        </w:rPr>
        <w:instrText> </w:instrText>
      </w:r>
      <w:r>
        <w:instrText>weeks before, the day before, 1</w:instrText>
      </w:r>
      <w:r>
        <w:rPr>
          <w:rFonts w:ascii="Aptos" w:hAnsi="Aptos" w:cs="Aptos"/>
        </w:rPr>
        <w:instrText>–</w:instrText>
      </w:r>
      <w:r>
        <w:instrText>3</w:instrText>
      </w:r>
      <w:r>
        <w:rPr>
          <w:rFonts w:ascii="Arial" w:hAnsi="Arial" w:cs="Arial"/>
        </w:rPr>
        <w:instrText> </w:instrText>
      </w:r>
      <w:r>
        <w:instrText>days after, 2</w:instrText>
      </w:r>
      <w:r>
        <w:rPr>
          <w:rFonts w:ascii="Aptos" w:hAnsi="Aptos" w:cs="Aptos"/>
        </w:rPr>
        <w:instrText>–</w:instrText>
      </w:r>
      <w:r>
        <w:instrText>4</w:instrText>
      </w:r>
      <w:r>
        <w:rPr>
          <w:rFonts w:ascii="Arial" w:hAnsi="Arial" w:cs="Arial"/>
        </w:rPr>
        <w:instrText> </w:instrText>
      </w:r>
      <w:r>
        <w:instrText>weeks after, and 2</w:instrText>
      </w:r>
      <w:r>
        <w:rPr>
          <w:rFonts w:ascii="Aptos" w:hAnsi="Aptos" w:cs="Aptos"/>
        </w:rPr>
        <w:instrText>–</w:instrText>
      </w:r>
      <w:r>
        <w:instrText>3</w:instrText>
      </w:r>
      <w:r>
        <w:rPr>
          <w:rFonts w:ascii="Arial" w:hAnsi="Arial" w:cs="Arial"/>
        </w:rPr>
        <w:instrText> </w:instrText>
      </w:r>
      <w:r>
        <w:instrText>months after psilocybin use.\n            \n            \n              Results\n              A sample of 2,833 respondents completed all baseline assessments approximately 2</w:instrText>
      </w:r>
      <w:r>
        <w:rPr>
          <w:rFonts w:ascii="Arial" w:hAnsi="Arial" w:cs="Arial"/>
        </w:rPr>
        <w:instrText> </w:instrText>
      </w:r>
      <w:r>
        <w:instrText>weeks before psilocybin use, 1,182 completed the 2</w:instrText>
      </w:r>
      <w:r>
        <w:rPr>
          <w:rFonts w:ascii="Aptos" w:hAnsi="Aptos" w:cs="Aptos"/>
        </w:rPr>
        <w:instrText>–</w:instrText>
      </w:r>
      <w:r>
        <w:instrText>4</w:instrText>
      </w:r>
      <w:r>
        <w:rPr>
          <w:rFonts w:ascii="Arial" w:hAnsi="Arial" w:cs="Arial"/>
        </w:rPr>
        <w:instrText> </w:instrText>
      </w:r>
      <w:r>
        <w:instrText>week post-use survey, and 657 completed the final follow-up survey 2</w:instrText>
      </w:r>
      <w:r>
        <w:rPr>
          <w:rFonts w:ascii="Aptos" w:hAnsi="Aptos" w:cs="Aptos"/>
        </w:rPr>
        <w:instrText>–</w:instrText>
      </w:r>
      <w:r>
        <w:instrText>3</w:instrText>
      </w:r>
      <w:r>
        <w:rPr>
          <w:rFonts w:ascii="Arial" w:hAnsi="Arial" w:cs="Arial"/>
        </w:rPr>
        <w:instrText> </w:instrText>
      </w:r>
      <w:r>
        <w:instrText>months after psilocybin use. Participants were primarily college-educated White men residing in the United States with a prior history of psychedelic use; mean age</w:instrText>
      </w:r>
      <w:r>
        <w:rPr>
          <w:rFonts w:ascii="Arial" w:hAnsi="Arial" w:cs="Arial"/>
        </w:rPr>
        <w:instrText> </w:instrText>
      </w:r>
      <w:r>
        <w:instrText>=</w:instrText>
      </w:r>
      <w:r>
        <w:rPr>
          <w:rFonts w:ascii="Arial" w:hAnsi="Arial" w:cs="Arial"/>
        </w:rPr>
        <w:instrText> </w:instrText>
      </w:r>
      <w:r>
        <w:instrText>40</w:instrText>
      </w:r>
      <w:r>
        <w:rPr>
          <w:rFonts w:ascii="Arial" w:hAnsi="Arial" w:cs="Arial"/>
        </w:rPr>
        <w:instrText> </w:instrText>
      </w:r>
      <w:r>
        <w:instrText>years. Participants primarily used dried psilocybin mushrooms (mean dose</w:instrText>
      </w:r>
      <w:r>
        <w:rPr>
          <w:rFonts w:ascii="Arial" w:hAnsi="Arial" w:cs="Arial"/>
        </w:rPr>
        <w:instrText> </w:instrText>
      </w:r>
      <w:r>
        <w:instrText>=</w:instrText>
      </w:r>
      <w:r>
        <w:rPr>
          <w:rFonts w:ascii="Arial" w:hAnsi="Arial" w:cs="Arial"/>
        </w:rPr>
        <w:instrText> </w:instrText>
      </w:r>
      <w:r>
        <w:instrText xml:space="preserve">3.1 grams) for </w:instrText>
      </w:r>
      <w:r>
        <w:rPr>
          <w:rFonts w:ascii="Aptos" w:hAnsi="Aptos" w:cs="Aptos"/>
        </w:rPr>
        <w:instrText>“</w:instrText>
      </w:r>
      <w:r>
        <w:instrText>self-exploration</w:instrText>
      </w:r>
      <w:r>
        <w:rPr>
          <w:rFonts w:ascii="Aptos" w:hAnsi="Aptos" w:cs="Aptos"/>
        </w:rPr>
        <w:instrText>”</w:instrText>
      </w:r>
      <w:r>
        <w:instrText xml:space="preserve"> purposes. Prospective longitudinal data collected before and after a planned psilocybin experience on average showed persisting reductions in anxiety, depression, and alcohol misuse, increased cognitive flexibility, emotion regulation, spiritual wellbeing, and extraversion, and reduced neuroticism and burnout after psilocybin use. However, a minority of participants (11% at 2</w:instrText>
      </w:r>
      <w:r>
        <w:rPr>
          <w:rFonts w:ascii="Aptos" w:hAnsi="Aptos" w:cs="Aptos"/>
        </w:rPr>
        <w:instrText>–</w:instrText>
      </w:r>
      <w:r>
        <w:instrText>4</w:instrText>
      </w:r>
      <w:r>
        <w:rPr>
          <w:rFonts w:ascii="Arial" w:hAnsi="Arial" w:cs="Arial"/>
        </w:rPr>
        <w:instrText> </w:instrText>
      </w:r>
      <w:r>
        <w:instrText>weeks and 7% at 2</w:instrText>
      </w:r>
      <w:r>
        <w:rPr>
          <w:rFonts w:ascii="Aptos" w:hAnsi="Aptos" w:cs="Aptos"/>
        </w:rPr>
        <w:instrText>–</w:instrText>
      </w:r>
      <w:r>
        <w:instrText>3</w:instrText>
      </w:r>
      <w:r>
        <w:rPr>
          <w:rFonts w:ascii="Arial" w:hAnsi="Arial" w:cs="Arial"/>
        </w:rPr>
        <w:instrText> </w:instrText>
      </w:r>
      <w:r>
        <w:instrText xml:space="preserve">months) reported persisting negative effects after psilocybin use (e.g., mood fluctuations, depressive symptoms).\n            \n            \n              Discussion\n              Results from this study, the largest prospective survey of naturalistic psilocybin use to date, support the potential for psilocybin to produce lasting improvements in mental health symptoms and general wellbeing.","container-title":"Frontiers in Psychiatry","DOI":"10.3389/fpsyt.2023.1199642","ISSN":"1664-0640","journalAbbreviation":"Front. Psychiatry","page":"1199642","source":"DOI.org (Crossref)","title":"Naturalistic psilocybin use is associated with persisting improvements in mental health and wellbeing: results from a prospective, longitudinal survey","title-short":"Naturalistic psilocybin use is associated with persisting improvements in mental health and wellbeing","volume":"14","author":[{"family":"Nayak","given":"Sandeep M."},{"family":"Jackson","given":"Hillary"},{"family":"Sepeda","given":"Nathan D."},{"family":"Mathai","given":"David S."},{"family":"So","given":"Sara"},{"family":"Yaffe","given":"Abigail"},{"family":"Zaki","given":"Hadi"},{"family":"Brasher","given":"Trey J."},{"family":"Lowe","given":"Matthew X."},{"family":"Jolly","given":"Del R. P."},{"family":"Barrett","given":"Frederick S."},{"family":"Griffiths","given":"Roland R."},{"family":"Strickland","given":"Justin C."},{"family":"Johnson","given":"Matthew W."},{"family":"Jackson","given":"Heather"},{"family":"Garcia-Romeu","given":"Albert"}],"issued":{"date-parts":[["2023",9,19]]}}}],"schema":"https://github.com/citation-style-language/schema/raw/master/csl-citation.json"} </w:instrText>
      </w:r>
      <w:r>
        <w:fldChar w:fldCharType="separate"/>
      </w:r>
      <w:r w:rsidRPr="008E41B6">
        <w:rPr>
          <w:rFonts w:ascii="Aptos" w:hAnsi="Aptos"/>
        </w:rPr>
        <w:t>(Nayak et al., 2023)</w:t>
      </w:r>
      <w:r>
        <w:fldChar w:fldCharType="end"/>
      </w:r>
      <w:r w:rsidRPr="001E1C6B">
        <w:t xml:space="preserve"> of psilocybin in naturalistic settings reported improvements in mental health outcomes over a three</w:t>
      </w:r>
      <w:r w:rsidRPr="001E1C6B">
        <w:rPr>
          <w:rFonts w:ascii="Cambria Math" w:hAnsi="Cambria Math" w:cs="Cambria Math"/>
        </w:rPr>
        <w:t>‑</w:t>
      </w:r>
      <w:r w:rsidRPr="001E1C6B">
        <w:t>month period</w:t>
      </w:r>
      <w:r>
        <w:t>, aligning with the findings from controlled trials</w:t>
      </w:r>
      <w:r w:rsidRPr="001E1C6B">
        <w:t>.</w:t>
      </w:r>
    </w:p>
    <w:p w14:paraId="7B144777" w14:textId="381620C2" w:rsidR="00D23F13" w:rsidRDefault="00D23F13" w:rsidP="00D23F13">
      <w:pPr>
        <w:pStyle w:val="Heading2"/>
      </w:pPr>
      <w:r>
        <w:t>Research goals</w:t>
      </w:r>
    </w:p>
    <w:p w14:paraId="4A2F2B12" w14:textId="16B0866C" w:rsidR="007328B0" w:rsidRDefault="00C51743" w:rsidP="007328B0">
      <w:r>
        <w:t xml:space="preserve">Our research seeks to contribute to this growing body of evidence by examining the </w:t>
      </w:r>
      <w:r w:rsidR="00D23F13">
        <w:t xml:space="preserve">benefits and </w:t>
      </w:r>
      <w:r>
        <w:t>long-term effects of psylocibin use</w:t>
      </w:r>
      <w:r w:rsidR="00D23F13">
        <w:t xml:space="preserve"> in a</w:t>
      </w:r>
      <w:r w:rsidR="00234F0A">
        <w:t xml:space="preserve">n online </w:t>
      </w:r>
      <w:r w:rsidR="00D23F13">
        <w:t>sample</w:t>
      </w:r>
      <w:r w:rsidR="00234F0A">
        <w:t xml:space="preserve"> of Canadians which reported psylocibin use </w:t>
      </w:r>
      <w:r>
        <w:t xml:space="preserve">from 2023 to 2025. </w:t>
      </w:r>
      <w:r w:rsidR="007328B0">
        <w:t xml:space="preserve">Despite extensive research in both trials and naturalistic settings, several limitations remain. </w:t>
      </w:r>
      <w:r w:rsidR="007328B0">
        <w:t>For example</w:t>
      </w:r>
      <w:r w:rsidR="007328B0">
        <w:t xml:space="preserve">, the youngest age of any participant was 34 years, and there is a general lack of representation of visible minorities relative to the general population </w:t>
      </w:r>
      <w:r w:rsidR="007328B0">
        <w:fldChar w:fldCharType="begin"/>
      </w:r>
      <w:r w:rsidR="007328B0">
        <w:instrText xml:space="preserve"> ADDIN ZOTERO_ITEM CSL_CITATION {"citationID":"XrCgRnFy","properties":{"formattedCitation":"(Swieczkowski et al., 2025)","plainCitation":"(Swieczkowski et al., 2025)","noteIndex":0},"citationItems":[{"id":1134,"uris":["http://zotero.org/users/1546863/items/5JMQBLIJ"],"itemData":{"id":1134,"type":"article-journal","abstract":"Background:\n              Although classic psychedelic trials show therapeutic potential, the limited diversity of participants raises concerns about generalizability and safety.\n            \n            \n              Aims:\n              This study assesses the representation of race, ethnicity, and sex in interventional clinical trials of psilocybin and lysergic acid diethylamide (LSD) to evaluate disparities in participant diversity.\n            \n            \n              Methods:\n              We conducted a cross-sectional analysis of interventional trials registered on ClinicalTrials.gov up to 12 January 2025 that focused on classic psychedelics (psilocybin, psilocin, LSD, DMT, 5-MeO-DMT, and mescaline). Eligible trials were phases 2–4 and targeted psychiatric disorders or symptoms. Trials involving only healthy participants were excluded. Two reviewers extracted trial-level data independently; discrepancies were resolved by consensus.\n            \n            \n              Results:\n              \n                Nine eligible trials included eight with psilocybin and one with LSD. In the psilocybin trials (\n                n\n                </w:instrText>
      </w:r>
      <w:r w:rsidR="007328B0">
        <w:rPr>
          <w:rFonts w:ascii="Arial" w:hAnsi="Arial" w:cs="Arial"/>
        </w:rPr>
        <w:instrText> </w:instrText>
      </w:r>
      <w:r w:rsidR="007328B0">
        <w:instrText>=</w:instrText>
      </w:r>
      <w:r w:rsidR="007328B0">
        <w:rPr>
          <w:rFonts w:ascii="Arial" w:hAnsi="Arial" w:cs="Arial"/>
        </w:rPr>
        <w:instrText> </w:instrText>
      </w:r>
      <w:r w:rsidR="007328B0">
        <w:instrText xml:space="preserve">501), the age of participants ranged from 34.3 to 56.3 years; 47.7% were women. White participants accounted for 87.2%, while Black participants accounted for 3.0%, and Asian individuals accounted for 5.0%. Ethnicity was reported in 4 of 8 psilocybin trials (\n                n\n                </w:instrText>
      </w:r>
      <w:r w:rsidR="007328B0">
        <w:rPr>
          <w:rFonts w:ascii="Arial" w:hAnsi="Arial" w:cs="Arial"/>
        </w:rPr>
        <w:instrText> </w:instrText>
      </w:r>
      <w:r w:rsidR="007328B0">
        <w:instrText>=</w:instrText>
      </w:r>
      <w:r w:rsidR="007328B0">
        <w:rPr>
          <w:rFonts w:ascii="Arial" w:hAnsi="Arial" w:cs="Arial"/>
        </w:rPr>
        <w:instrText> </w:instrText>
      </w:r>
      <w:r w:rsidR="007328B0">
        <w:instrText xml:space="preserve">134), with 13.4% identifying as Hispanic or Latino. In four U.S.-only trials(\n                n\n                </w:instrText>
      </w:r>
      <w:r w:rsidR="007328B0">
        <w:rPr>
          <w:rFonts w:ascii="Arial" w:hAnsi="Arial" w:cs="Arial"/>
        </w:rPr>
        <w:instrText> </w:instrText>
      </w:r>
      <w:r w:rsidR="007328B0">
        <w:instrText>=</w:instrText>
      </w:r>
      <w:r w:rsidR="007328B0">
        <w:rPr>
          <w:rFonts w:ascii="Arial" w:hAnsi="Arial" w:cs="Arial"/>
        </w:rPr>
        <w:instrText> </w:instrText>
      </w:r>
      <w:r w:rsidR="007328B0">
        <w:instrText>139), participation-to-population ratios (PPRs) confirmed the underrepresentation of Black (PPR</w:instrText>
      </w:r>
      <w:r w:rsidR="007328B0">
        <w:rPr>
          <w:rFonts w:ascii="Arial" w:hAnsi="Arial" w:cs="Arial"/>
        </w:rPr>
        <w:instrText> </w:instrText>
      </w:r>
      <w:r w:rsidR="007328B0">
        <w:instrText>=</w:instrText>
      </w:r>
      <w:r w:rsidR="007328B0">
        <w:rPr>
          <w:rFonts w:ascii="Arial" w:hAnsi="Arial" w:cs="Arial"/>
        </w:rPr>
        <w:instrText> </w:instrText>
      </w:r>
      <w:r w:rsidR="007328B0">
        <w:instrText>0.317) and Asian participants (PPR</w:instrText>
      </w:r>
      <w:r w:rsidR="007328B0">
        <w:rPr>
          <w:rFonts w:ascii="Arial" w:hAnsi="Arial" w:cs="Arial"/>
        </w:rPr>
        <w:instrText> </w:instrText>
      </w:r>
      <w:r w:rsidR="007328B0">
        <w:instrText>=</w:instrText>
      </w:r>
      <w:r w:rsidR="007328B0">
        <w:rPr>
          <w:rFonts w:ascii="Arial" w:hAnsi="Arial" w:cs="Arial"/>
        </w:rPr>
        <w:instrText> </w:instrText>
      </w:r>
      <w:r w:rsidR="007328B0">
        <w:instrText xml:space="preserve">0.799). The LSD trial (\n                n\n                </w:instrText>
      </w:r>
      <w:r w:rsidR="007328B0">
        <w:rPr>
          <w:rFonts w:ascii="Arial" w:hAnsi="Arial" w:cs="Arial"/>
        </w:rPr>
        <w:instrText> </w:instrText>
      </w:r>
      <w:r w:rsidR="007328B0">
        <w:instrText>=</w:instrText>
      </w:r>
      <w:r w:rsidR="007328B0">
        <w:rPr>
          <w:rFonts w:ascii="Arial" w:hAnsi="Arial" w:cs="Arial"/>
        </w:rPr>
        <w:instrText> </w:instrText>
      </w:r>
      <w:r w:rsidR="007328B0">
        <w:instrText>11) included older adults (average age: 51.7</w:instrText>
      </w:r>
      <w:r w:rsidR="007328B0">
        <w:rPr>
          <w:rFonts w:ascii="Arial" w:hAnsi="Arial" w:cs="Arial"/>
        </w:rPr>
        <w:instrText> </w:instrText>
      </w:r>
      <w:r w:rsidR="007328B0">
        <w:instrText xml:space="preserve">years) who did not provide any information on race or origin.\n              \n            \n            \n              Conclusions:\n              The limited diversity in psychedelic trials demonstrates the need for broader recruitment. Without better representation, the safety and efficacy of these therapies remain uncertain. Standardized reporting and targeted strategies are essential to ensure equity.","container-title":"Journal of Psychopharmacology","DOI":"10.1177/02698811251353250","ISSN":"0269-8811, 1461-7285","issue":"9","journalAbbreviation":"J Psychopharmacol","language":"en","page":"1014-1022","source":"DOI.org (Crossref)","title":"Unequal representation? A cross-sectional analysis of age, sex, race, and ethnicity in clinical trials of classic psychedelics","title-short":"Unequal representation?","volume":"39","author":[{"family":"Swieczkowski","given":"Damian"},{"family":"Kwaśny","given":"Aleksander"},{"family":"Ciurkowska","given":"Patrycja"},{"family":"Pruc","given":"Michal"},{"family":"Szarpak","given":"Lukasz"},{"family":"Cubała","given":"Wiesław Jerzy"}],"issued":{"date-parts":[["2025",9]]}}}],"schema":"https://github.com/citation-style-language/schema/raw/master/csl-citation.json"} </w:instrText>
      </w:r>
      <w:r w:rsidR="007328B0">
        <w:fldChar w:fldCharType="separate"/>
      </w:r>
      <w:r w:rsidR="007328B0" w:rsidRPr="00B116B6">
        <w:rPr>
          <w:rFonts w:ascii="Aptos" w:hAnsi="Aptos"/>
        </w:rPr>
        <w:t>(Swieczkowski et al., 2025)</w:t>
      </w:r>
      <w:r w:rsidR="007328B0">
        <w:fldChar w:fldCharType="end"/>
      </w:r>
      <w:r w:rsidR="007328B0">
        <w:t xml:space="preserve">. </w:t>
      </w:r>
      <w:r w:rsidR="007328B0">
        <w:t>Even outside trials, n</w:t>
      </w:r>
      <w:r w:rsidR="007328B0">
        <w:t xml:space="preserve">o studies </w:t>
      </w:r>
      <w:r w:rsidR="007328B0">
        <w:t xml:space="preserve">have included </w:t>
      </w:r>
      <w:r w:rsidR="007328B0">
        <w:t xml:space="preserve">adolescents up to April 2025 </w:t>
      </w:r>
      <w:r w:rsidR="007328B0">
        <w:fldChar w:fldCharType="begin"/>
      </w:r>
      <w:r w:rsidR="007328B0">
        <w:instrText xml:space="preserve"> ADDIN ZOTERO_ITEM CSL_CITATION {"citationID":"Kh5eaxBf","properties":{"formattedCitation":"(Rajwani et al., 2025)","plainCitation":"(Rajwani et al., 2025)","noteIndex":0},"citationItems":[{"id":1124,"uris":["http://zotero.org/users/1546863/items/XAUSQMSX"],"itemData":{"id":1124,"type":"article-journal","container-title":"The Lancet Child &amp; Adolescent Health","DOI":"10.1016/S2352-4642(25)00208-1","ISSN":"23524642","issue":"10","journalAbbreviation":"The Lancet Child &amp; Adolescent Health","language":"en","page":"744-752","source":"DOI.org (Crossref)","title":"Clinical psychedelic research in adolescents: a scoping review and overview of ethical considerations","title-short":"Clinical psychedelic research in adolescents","volume":"9","author":[{"family":"Rajwani","given":"Khaleel"},{"family":"Jacobs","given":"Edward"},{"family":"Bruce","given":"Lori"},{"family":"Hokanson","given":"Jamila"},{"family":"Almonte","given":"Melanie T"},{"family":"Feroz","given":"Faisal"},{"family":"Waldman","given":"Elisha"},{"family":"Cheung","given":"Katherine"},{"family":"Levy","given":"Neil"},{"family":"Savulescu","given":"Julian"},{"family":"Singh","given":"Ilina"},{"family":"Yaden","given":"David B"},{"family":"Earp","given":"Brian D"}],"issued":{"date-parts":[["2025",10]]}}}],"schema":"https://github.com/citation-style-language/schema/raw/master/csl-citation.json"} </w:instrText>
      </w:r>
      <w:r w:rsidR="007328B0">
        <w:fldChar w:fldCharType="separate"/>
      </w:r>
      <w:r w:rsidR="007328B0" w:rsidRPr="00FD5F56">
        <w:rPr>
          <w:rFonts w:ascii="Aptos" w:hAnsi="Aptos"/>
        </w:rPr>
        <w:t>(Rajwani et al., 2025)</w:t>
      </w:r>
      <w:r w:rsidR="007328B0">
        <w:fldChar w:fldCharType="end"/>
      </w:r>
      <w:r w:rsidR="007328B0">
        <w:t xml:space="preserve">. </w:t>
      </w:r>
      <w:r w:rsidR="007328B0">
        <w:t xml:space="preserve">Overall, </w:t>
      </w:r>
      <w:r w:rsidR="007328B0">
        <w:t xml:space="preserve">open label and randomized control trials </w:t>
      </w:r>
      <w:r w:rsidR="007328B0">
        <w:t xml:space="preserve">also lack long-term follow-up, with the typical follow-up being </w:t>
      </w:r>
      <w:r w:rsidR="007328B0">
        <w:t xml:space="preserve">weeks </w:t>
      </w:r>
      <w:r w:rsidR="007328B0">
        <w:t xml:space="preserve">or a few </w:t>
      </w:r>
      <w:r w:rsidR="007328B0">
        <w:t xml:space="preserve">months </w:t>
      </w:r>
      <w:r w:rsidR="007328B0">
        <w:fldChar w:fldCharType="begin"/>
      </w:r>
      <w:r w:rsidR="007328B0">
        <w:instrText xml:space="preserve"> ADDIN ZOTERO_ITEM CSL_CITATION {"citationID":"VYOMQ4xy","properties":{"formattedCitation":"(Andrade et al., 2025)","plainCitation":"(Andrade et al., 2025)","noteIndex":0},"citationItems":[{"id":1125,"uris":["http://zotero.org/users/1546863/items/MIY3X5L4"],"itemData":{"id":1125,"type":"article-journal","abstract":"Abstract\n            \n              Background:\n              Major depressive disorder (MDD) is a significant public health concern, and current treatments often have limitations in effectiveness and adherence. Psilocybin, a psychedelic compound found in certain mushrooms, is being explored as a potential treatment for depression. It primarily acts through the serotonin 5-HT2A receptor but interacts with 5-HT1A and 5-HT2C receptors. Its precise mechanisms remain under investigation.\n            \n            \n              Objectives:\n              (1) To consolidate evidence on psilocybin’s efficacy and safety for depression and the role of 5HT2a, (2) to identify limitations in the literature, and (3) to highlight areas needing further research.\n            \n            \n              Methods:\n              This systematic review follows PRISMA guidelines and analyses 22 studies, including randomised controlled trials (RCTs) and open-label studies. The studies cover various populations, including individuals with treatment-resistant depression, different dosing regimens, and adjunctive therapies.\n            \n            \n              Results:\n              Psilocybin therapy shows substantial and rapid antidepressant effects, often after one or two sessions with psychological support. Improvements are sustained for weeks or months in many cases. Psilocybin is generally well-tolerated, with mild adverse effects such as anxiety during administration and transient headaches, which are manageable in controlled settings.\n            \n            \n              Conclusions:\n              Psilocybin demonstrates promise as a novel treatment for depression, especially for individuals unresponsive to conventional antidepressants. Further research is needed to refine dosing, explore long-term effects, and understand its mechanisms of action.","container-title":"Acta Neuropsychiatrica","DOI":"10.1017/neu.2025.10039","ISSN":"0924-2708, 1601-5215","journalAbbreviation":"Acta Neuropsychiatr.","language":"en","page":"e86","source":"DOI.org (Crossref)","title":"Therapeutic Use of Psilocybin in Depression: a Systematic Review of Clinical Evidence","title-short":"Therapeutic Use of Psilocybin in Depression","volume":"37","author":[{"family":"Andrade","given":"Filipe Reis Teodoro"},{"family":"Buchborn","given":"Tobias"},{"family":"Thalheimer","given":"Gabriel"},{"family":"Meinhardt","given":"Marcus W."},{"family":"Joca","given":"Samia"},{"family":"De Almeida","given":"Rosa Maria Martins"}],"issued":{"date-parts":[["2025"]]}}}],"schema":"https://github.com/citation-style-language/schema/raw/master/csl-citation.json"} </w:instrText>
      </w:r>
      <w:r w:rsidR="007328B0">
        <w:fldChar w:fldCharType="separate"/>
      </w:r>
      <w:r w:rsidR="007328B0" w:rsidRPr="00852AAD">
        <w:rPr>
          <w:rFonts w:ascii="Aptos" w:hAnsi="Aptos"/>
        </w:rPr>
        <w:t>(Andrade et al., 2025)</w:t>
      </w:r>
      <w:r w:rsidR="007328B0">
        <w:fldChar w:fldCharType="end"/>
      </w:r>
      <w:r w:rsidR="007328B0">
        <w:t>.</w:t>
      </w:r>
    </w:p>
    <w:p w14:paraId="647E3EEE" w14:textId="0E94217E" w:rsidR="00BF6E1F" w:rsidRPr="00C62639" w:rsidRDefault="001D335E" w:rsidP="00C62639">
      <w:r>
        <w:t xml:space="preserve">Our primary objective </w:t>
      </w:r>
      <w:r w:rsidR="00C51743">
        <w:t xml:space="preserve">on this study </w:t>
      </w:r>
      <w:r>
        <w:t xml:space="preserve">was </w:t>
      </w:r>
      <w:r w:rsidR="00C62639">
        <w:t xml:space="preserve">to quantify the effect of psilocybin use on the psychological distress levels of Canadian adults. </w:t>
      </w:r>
      <w:r w:rsidR="0008750F">
        <w:t xml:space="preserve">We hypothesized that psilocybin use would lower psychological distress based on previous evidence of psychedelic use on other mental health outcomes. </w:t>
      </w:r>
      <w:r>
        <w:t xml:space="preserve">Our secondary objective was </w:t>
      </w:r>
      <w:r w:rsidR="00C62639">
        <w:t xml:space="preserve">to determine whether said changes </w:t>
      </w:r>
      <w:r w:rsidR="00BF6E1F">
        <w:t>were sustained over time.</w:t>
      </w:r>
      <w:r w:rsidR="0008750F">
        <w:t xml:space="preserve"> We hypothesized </w:t>
      </w:r>
      <w:r>
        <w:t xml:space="preserve">they </w:t>
      </w:r>
      <w:r w:rsidR="0008750F">
        <w:t xml:space="preserve">would </w:t>
      </w:r>
      <w:r>
        <w:t xml:space="preserve">because </w:t>
      </w:r>
      <w:r w:rsidR="001E6654">
        <w:t>of their long-lasting</w:t>
      </w:r>
      <w:r w:rsidR="0008750F">
        <w:t xml:space="preserve"> impact </w:t>
      </w:r>
      <w:r w:rsidR="001E6654">
        <w:t xml:space="preserve">on </w:t>
      </w:r>
      <w:r w:rsidR="0008750F">
        <w:t>the sense of self and reality.</w:t>
      </w:r>
    </w:p>
    <w:p w14:paraId="61FF9A58" w14:textId="7156739A" w:rsidR="00C62639" w:rsidRDefault="00C62639" w:rsidP="00C62639">
      <w:pPr>
        <w:pStyle w:val="Heading1"/>
      </w:pPr>
      <w:r>
        <w:lastRenderedPageBreak/>
        <w:t>Methods</w:t>
      </w:r>
    </w:p>
    <w:p w14:paraId="4B0B2EF3" w14:textId="1F35E707" w:rsidR="00BF6E1F" w:rsidRDefault="00BF6E1F" w:rsidP="00BF6E1F">
      <w:pPr>
        <w:pStyle w:val="Heading2"/>
      </w:pPr>
      <w:r>
        <w:t>Study design</w:t>
      </w:r>
    </w:p>
    <w:p w14:paraId="674EA149" w14:textId="6B64D201" w:rsidR="001D335E" w:rsidRPr="001D335E" w:rsidRDefault="001D335E" w:rsidP="0023435C">
      <w:r>
        <w:t xml:space="preserve">We </w:t>
      </w:r>
      <w:r w:rsidR="003F339F">
        <w:t xml:space="preserve">employed </w:t>
      </w:r>
      <w:r>
        <w:t>a closed cohort design</w:t>
      </w:r>
      <w:r w:rsidR="0023435C">
        <w:t xml:space="preserve"> </w:t>
      </w:r>
      <w:r w:rsidR="0023435C" w:rsidRPr="0023435C">
        <w:t xml:space="preserve">nested within the larger </w:t>
      </w:r>
      <w:r w:rsidR="0023435C">
        <w:t>Tips and Recommendations for the Ingestion of Psilocybin s</w:t>
      </w:r>
      <w:r w:rsidR="0023435C" w:rsidRPr="0023435C">
        <w:t xml:space="preserve">tudy </w:t>
      </w:r>
      <w:r w:rsidR="0023435C">
        <w:fldChar w:fldCharType="begin"/>
      </w:r>
      <w:r w:rsidR="0023435C" w:rsidRPr="0023435C">
        <w:instrText xml:space="preserve"> ADDIN ZOTERO_ITEM CSL_CITATION {"citationID":"weV7RP31","properties":{"formattedCitation":"(Card et al., 2024)","plainCitation":"(Card et al., 2024)","noteIndex":0},"citationItems":[{"id":1052,"uris":["http://zotero.org/users/1546863/items/GI3RVW7I"],"itemData":{"id":1052,"type":"article-journal","container-title":"Journal of Psychoactive Drugs","DOI":"10.1080/02791072.2023.2268640","ISSN":"0279-1072, 2159-9777","issue":"5","journalAbbreviation":"Journal of Psychoactive Drugs","language":"en","page":"616-626","source":"DOI.org (Crossref)","title":"Therapeutic Potential of Psilocybin for Treating Psychological Distress among Survivors of Adverse Childhood Experiences: Evidence on Acceptability and Potential Efficacy of Psilocybin Use","title-short":"Therapeutic Potential of Psilocybin for Treating Psychological Distress among Survivors of Adverse Childhood Experiences","volume":"56","author":[{"family":"Card","given":"Kiffer G."},{"family":"Grewal","given":"Ashmita"},{"family":"Closson","given":"Kalysha"},{"family":"Martin","given":"Gina"},{"family":"Baracaldo","given":"Laura"},{"family":"Allison","given":"Sandra"},{"family":"Kruger","given":"Daniel J."},{"family":"Walsh","given":"Zach"}],"issued":{"date-parts":[["2024",10,19]]}}}],"schema":"https://github.com/citation-style-language/schema/raw/master/csl-citation.json"} </w:instrText>
      </w:r>
      <w:r w:rsidR="0023435C">
        <w:fldChar w:fldCharType="separate"/>
      </w:r>
      <w:r w:rsidR="0023435C" w:rsidRPr="0023435C">
        <w:rPr>
          <w:rFonts w:ascii="Aptos" w:hAnsi="Aptos"/>
        </w:rPr>
        <w:t>(Card et al., 2024)</w:t>
      </w:r>
      <w:r w:rsidR="0023435C">
        <w:fldChar w:fldCharType="end"/>
      </w:r>
      <w:r>
        <w:t xml:space="preserve">. </w:t>
      </w:r>
      <w:r w:rsidR="0023435C">
        <w:t xml:space="preserve">Participants were selected </w:t>
      </w:r>
      <w:r w:rsidR="00264E97">
        <w:t xml:space="preserve">if they have not consumed </w:t>
      </w:r>
      <w:r w:rsidR="0023435C">
        <w:t xml:space="preserve">psylocibin </w:t>
      </w:r>
      <w:r w:rsidR="00264E97">
        <w:t xml:space="preserve">during their lifetime </w:t>
      </w:r>
      <w:r w:rsidR="0023435C">
        <w:t>at the start of the study period</w:t>
      </w:r>
      <w:r w:rsidR="00264E97">
        <w:t xml:space="preserve"> (2023)</w:t>
      </w:r>
      <w:r w:rsidR="0023435C">
        <w:t xml:space="preserve">. </w:t>
      </w:r>
      <w:r w:rsidR="00264E97">
        <w:t xml:space="preserve">The study size was determined by the number of participants who provided data for the first follow-up period </w:t>
      </w:r>
      <w:r w:rsidR="0023435C">
        <w:t>(</w:t>
      </w:r>
      <w:r w:rsidR="00264E97">
        <w:t>2024</w:t>
      </w:r>
      <w:r w:rsidR="0023435C">
        <w:t>)</w:t>
      </w:r>
      <w:r w:rsidR="00264E97">
        <w:t xml:space="preserve">, some of which also provided data in </w:t>
      </w:r>
      <w:r w:rsidR="0023435C">
        <w:t>2025 (wave 3).</w:t>
      </w:r>
      <w:r w:rsidR="008327EB">
        <w:t xml:space="preserve"> Exposure and outcome data were collected during all three waves.</w:t>
      </w:r>
      <w:r w:rsidR="00CF3FE0">
        <w:t xml:space="preserve"> This study was approved by the Research Ethics Board of Simon Fraser University (</w:t>
      </w:r>
      <w:r w:rsidR="00CF3FE0" w:rsidRPr="00CF3FE0">
        <w:t>#30001311</w:t>
      </w:r>
      <w:r w:rsidR="00CF3FE0">
        <w:t>).</w:t>
      </w:r>
    </w:p>
    <w:p w14:paraId="22830CCC" w14:textId="0E3CCB15" w:rsidR="00BF6E1F" w:rsidRDefault="00BF6E1F" w:rsidP="00BF6E1F">
      <w:pPr>
        <w:pStyle w:val="Heading2"/>
      </w:pPr>
      <w:r>
        <w:t>Setting</w:t>
      </w:r>
    </w:p>
    <w:p w14:paraId="4A607D97" w14:textId="7B6D94BA" w:rsidR="00AB243E" w:rsidRPr="00AB243E" w:rsidRDefault="00AB243E" w:rsidP="000B5C67">
      <w:r>
        <w:t xml:space="preserve">Participants were recruited through Meta via paid advertisements and through organic posts on </w:t>
      </w:r>
      <w:r w:rsidRPr="00AB243E">
        <w:t>Twitter, Reddit, and LinkedIn</w:t>
      </w:r>
      <w:r>
        <w:t>. Email distribution campaigns were also used. All available venues offered a 1:100 chance of winning a $100 cash prize</w:t>
      </w:r>
      <w:r w:rsidR="00264E97">
        <w:t xml:space="preserve"> </w:t>
      </w:r>
      <w:r w:rsidR="00264E97" w:rsidRPr="0023435C">
        <w:t xml:space="preserve"> </w:t>
      </w:r>
      <w:r w:rsidR="00264E97">
        <w:fldChar w:fldCharType="begin"/>
      </w:r>
      <w:r w:rsidR="00963F7E">
        <w:instrText xml:space="preserve"> ADDIN ZOTERO_ITEM CSL_CITATION {"citationID":"gNHPQWK2","properties":{"formattedCitation":"(Card et al., 2024)","plainCitation":"(Card et al., 2024)","noteIndex":0},"citationItems":[{"id":1052,"uris":["http://zotero.org/users/1546863/items/GI3RVW7I"],"itemData":{"id":1052,"type":"article-journal","container-title":"Journal of Psychoactive Drugs","DOI":"10.1080/02791072.2023.2268640","ISSN":"0279-1072, 2159-9777","issue":"5","journalAbbreviation":"Journal of Psychoactive Drugs","language":"en","page":"616-626","source":"DOI.org (Crossref)","title":"Therapeutic Potential of Psilocybin for Treating Psychological Distress among Survivors of Adverse Childhood Experiences: Evidence on Acceptability and Potential Efficacy of Psilocybin Use","title-short":"Therapeutic Potential of Psilocybin for Treating Psychological Distress among Survivors of Adverse Childhood Experiences","volume":"56","author":[{"family":"Card","given":"Kiffer G."},{"family":"Grewal","given":"Ashmita"},{"family":"Closson","given":"Kalysha"},{"family":"Martin","given":"Gina"},{"family":"Baracaldo","given":"Laura"},{"family":"Allison","given":"Sandra"},{"family":"Kruger","given":"Daniel J."},{"family":"Walsh","given":"Zach"}],"issued":{"date-parts":[["2024",10,19]]}}}],"schema":"https://github.com/citation-style-language/schema/raw/master/csl-citation.json"} </w:instrText>
      </w:r>
      <w:r w:rsidR="00264E97">
        <w:fldChar w:fldCharType="separate"/>
      </w:r>
      <w:r w:rsidR="00264E97" w:rsidRPr="0023435C">
        <w:rPr>
          <w:rFonts w:ascii="Aptos" w:hAnsi="Aptos"/>
        </w:rPr>
        <w:t>(Card et al., 2024)</w:t>
      </w:r>
      <w:r w:rsidR="00264E97">
        <w:fldChar w:fldCharType="end"/>
      </w:r>
      <w:r>
        <w:t xml:space="preserve">. </w:t>
      </w:r>
      <w:r w:rsidR="00EC34F4">
        <w:t>Participants who showed interest were directed to a website with information about the study, including eligibility criteria (residing in Canada and being 16 or older)</w:t>
      </w:r>
      <w:r w:rsidR="0014069B">
        <w:t xml:space="preserve">, which later </w:t>
      </w:r>
      <w:r w:rsidR="00EC34F4">
        <w:t>link</w:t>
      </w:r>
      <w:r w:rsidR="0014069B">
        <w:t>ed</w:t>
      </w:r>
      <w:r w:rsidR="00EC34F4">
        <w:t xml:space="preserve"> to a consent form. </w:t>
      </w:r>
      <w:r w:rsidR="0014069B">
        <w:t xml:space="preserve">Upon consenting to being considered for participation, they were directed to </w:t>
      </w:r>
      <w:r>
        <w:t>Qualtrics, a</w:t>
      </w:r>
      <w:r w:rsidR="0014069B">
        <w:t xml:space="preserve"> secure</w:t>
      </w:r>
      <w:r>
        <w:t xml:space="preserve"> online platform specialized in online surveys.</w:t>
      </w:r>
      <w:r w:rsidR="000B5C67">
        <w:t xml:space="preserve"> </w:t>
      </w:r>
      <w:r w:rsidR="005362BE">
        <w:t>Bot detection and e</w:t>
      </w:r>
      <w:r w:rsidR="005362BE" w:rsidRPr="005362BE">
        <w:t xml:space="preserve">nhanced </w:t>
      </w:r>
      <w:r w:rsidR="005362BE">
        <w:t>control for b</w:t>
      </w:r>
      <w:r w:rsidR="005362BE" w:rsidRPr="005362BE">
        <w:t xml:space="preserve">allot </w:t>
      </w:r>
      <w:r w:rsidR="005362BE">
        <w:t>b</w:t>
      </w:r>
      <w:r w:rsidR="005362BE" w:rsidRPr="005362BE">
        <w:t xml:space="preserve">ox </w:t>
      </w:r>
      <w:r w:rsidR="005362BE">
        <w:t>s</w:t>
      </w:r>
      <w:r w:rsidR="005362BE" w:rsidRPr="005362BE">
        <w:t>tuffing</w:t>
      </w:r>
      <w:r w:rsidR="005362BE">
        <w:t xml:space="preserve"> were enabled to prevent to prevent fraud.</w:t>
      </w:r>
    </w:p>
    <w:p w14:paraId="6807AAAB" w14:textId="0823113A" w:rsidR="00BF6E1F" w:rsidRPr="00F2739D" w:rsidRDefault="006D23F3" w:rsidP="00BF6E1F">
      <w:pPr>
        <w:pStyle w:val="Heading2"/>
      </w:pPr>
      <w:r w:rsidRPr="00F2739D">
        <w:t xml:space="preserve">Survey </w:t>
      </w:r>
      <w:r w:rsidR="00F2739D" w:rsidRPr="00F2739D">
        <w:t>and data i</w:t>
      </w:r>
      <w:r w:rsidR="00F2739D">
        <w:t>ntegrity</w:t>
      </w:r>
    </w:p>
    <w:p w14:paraId="1A6356F6" w14:textId="3A2C9B68" w:rsidR="006D23F3" w:rsidRDefault="006D23F3" w:rsidP="006D23F3">
      <w:r>
        <w:t>The baseline survey</w:t>
      </w:r>
      <w:r w:rsidR="009650E6">
        <w:t xml:space="preserve"> </w:t>
      </w:r>
      <w:r w:rsidR="005362BE">
        <w:t xml:space="preserve">was developed in consultation with academic advisors and </w:t>
      </w:r>
      <w:r>
        <w:t>contained around 250 items asking about opinion, use, and experience of psychedelics</w:t>
      </w:r>
      <w:r w:rsidR="00264E97">
        <w:t xml:space="preserve">. It also assessed mental health constructs through </w:t>
      </w:r>
      <w:r>
        <w:t xml:space="preserve">validated instruments. </w:t>
      </w:r>
      <w:r w:rsidR="00264E97">
        <w:t>B</w:t>
      </w:r>
      <w:r w:rsidR="005362BE">
        <w:t xml:space="preserve">ranching logic </w:t>
      </w:r>
      <w:r w:rsidR="00264E97">
        <w:t xml:space="preserve">helped </w:t>
      </w:r>
      <w:r w:rsidR="005362BE">
        <w:t>reduce the burden of response</w:t>
      </w:r>
      <w:r w:rsidR="00264E97">
        <w:t xml:space="preserve">, particularly for users, who had a longer questionnaire. The survey </w:t>
      </w:r>
      <w:r w:rsidR="005362BE">
        <w:t xml:space="preserve">was tested among a group of students and </w:t>
      </w:r>
      <w:r w:rsidR="009650E6">
        <w:t>researchers and</w:t>
      </w:r>
      <w:r w:rsidR="00264E97">
        <w:t xml:space="preserve"> iteratively adjusted</w:t>
      </w:r>
      <w:r w:rsidR="005362BE">
        <w:t xml:space="preserve"> before launch</w:t>
      </w:r>
      <w:r w:rsidR="009650E6">
        <w:t xml:space="preserve"> for Wave 1 (Feb 4 to Apr 4, </w:t>
      </w:r>
      <w:r w:rsidR="009650E6" w:rsidRPr="00C771D2">
        <w:t>2023</w:t>
      </w:r>
      <w:r w:rsidR="009650E6">
        <w:t>)</w:t>
      </w:r>
      <w:r w:rsidR="005362BE">
        <w:t xml:space="preserve">. </w:t>
      </w:r>
      <w:r>
        <w:t xml:space="preserve">The follow-up surveys for </w:t>
      </w:r>
      <w:r w:rsidR="009650E6">
        <w:t>W</w:t>
      </w:r>
      <w:r>
        <w:t xml:space="preserve">aves 2 (Feb 2 to Mar 23, 2024) and 3 (May 27 to July 4, 2025) were shorter, with approximately 200 and 100 items, respectively. </w:t>
      </w:r>
      <w:r w:rsidR="00BF7FA6">
        <w:t xml:space="preserve">Participants who provided logically inconsistent responses or who lacked outcome data were excluded. </w:t>
      </w:r>
    </w:p>
    <w:p w14:paraId="063D052F" w14:textId="77777777" w:rsidR="00F2739D" w:rsidRDefault="00F2739D" w:rsidP="00F2739D">
      <w:pPr>
        <w:pStyle w:val="Heading2"/>
      </w:pPr>
      <w:r w:rsidRPr="003F46AD">
        <w:t>Variables</w:t>
      </w:r>
    </w:p>
    <w:p w14:paraId="1E7B962D" w14:textId="6C819E31" w:rsidR="00F2739D" w:rsidRDefault="00316AEE" w:rsidP="006D23F3">
      <w:r>
        <w:t xml:space="preserve">The </w:t>
      </w:r>
      <w:r w:rsidRPr="00316AEE">
        <w:t xml:space="preserve">Kessler </w:t>
      </w:r>
      <w:r>
        <w:t xml:space="preserve">Psychological Distress </w:t>
      </w:r>
      <w:r w:rsidRPr="00316AEE">
        <w:t>Scale (K6)</w:t>
      </w:r>
      <w:r>
        <w:t xml:space="preserve"> was </w:t>
      </w:r>
      <w:r w:rsidR="00D63894">
        <w:t xml:space="preserve">our main outcome. This six-item scale was </w:t>
      </w:r>
      <w:r>
        <w:t>designed to measure serious mental illness and has been thoroughly tested for validity and reliability in the general population</w:t>
      </w:r>
      <w:r w:rsidR="00264E97">
        <w:t xml:space="preserve"> across multiple countries</w:t>
      </w:r>
      <w:r>
        <w:t xml:space="preserve"> </w:t>
      </w:r>
      <w:r>
        <w:fldChar w:fldCharType="begin"/>
      </w:r>
      <w:r>
        <w:instrText xml:space="preserve"> ADDIN ZOTERO_ITEM CSL_CITATION {"citationID":"lJxPakPv","properties":{"formattedCitation":"(Kessler et al., 2002, 2010)","plainCitation":"(Kessler et al., 2002, 2010)","noteIndex":0},"citationItems":[{"id":1068,"uris":["http://zotero.org/users/1546863/items/QJYUZJYE"],"itemData":{"id":1068,"type":"article-journal","abstract":"Background.\n              A 10-question screening scale of psychological distress and a six-question short-form scale embedded within the 10-question scale were developed for the redesigned US National Health Interview Survey (NHIS).\n            \n            \n              Methods.\n              Initial pilot questions were administered in a US national mail survey (\n              N\n              = 1401). A reduced set of questions was subsequently administered in a US national telephone survey (\n              N\n              = 1574). The 10-question and six-question scales, which we refer to as the K10 and K6, were constructed from the reduced set of questions based on Item Response Theory models. The scales were subsequently validated in a two-stage clinical reappraisal survey (\n              N\n              = 1000 telephone screening interviews in the first stage followed by\n              N\n              = 153 face-to-face clinical interviews in the second stage that oversampled first-stage respondents who screened positive for emotional problems) in a local convenience sample. The second-stage sample was administered the screening scales along with the Structured Clinical Interview for DSM-IV (SCID). The K6 was subsequently included in the 1997 (\n              N\n              = 36116) and 1998 (\n              N\n              = 32440) US National Health Interview Survey, while the K10 was included in the 1997 (\n              N\n              = 10641) Australian National Survey of Mental Health and Well-Being.\n            \n            \n              Results.\n              Both the K10 and K6 have good precision in the 90th–99th percentile range of the population distribution (standard errors of standardized scores in the range 0·20–0·25) as well as consistent psychometric properties across major sociodemographic subsamples. The scales strongly discriminate between community cases and non-cases of DSM-IV/SCID disorders, with areas under the Receiver Operating Characteristic (ROC) curve of 0·87–0·88 for disorders having Global Assessment of Functioning (GAF) scores of 0–70 and 0·95–0·96 for disorders having GAF scores of 0–50.\n            \n            \n              Conclusions.\n              The brevity, strong psychometric properties, and ability to discriminate DSM-IV cases from non-cases make the K10 and K6 attractive for use in general-purpose health surveys. The scales are already being used in annual government health surveys in the US and Canada as well as in the WHO World Mental Health Surveys. Routine inclusion of either the K10 or K6 in clinical studies would create an important, and heretofore missing, crosswalk between community and clinical epidemiology.","container-title":"Psychological Medicine","DOI":"10.1017/S0033291702006074","ISSN":"0033-2917, 1469-8978","issue":"6","journalAbbreviation":"Psychol. Med.","language":"en","license":"https://www.cambridge.org/core/terms","page":"959-976","source":"DOI.org (Crossref)","title":"Short screening scales to monitor population prevalences and trends in non-specific psychological distress","volume":"32","author":[{"family":"Kessler","given":"R. C."},{"family":"Andrews","given":"G."},{"family":"Colpe","given":"L. J."},{"family":"Hiripi","given":"E."},{"family":"Mroczek","given":"D. K."},{"family":"Normand","given":"S.-L. T."},{"family":"Walters","given":"E. E."},{"family":"Zaslavsky","given":"A. M."}],"issued":{"date-parts":[["2002",8]]}}},{"id":1069,"uris":["http://zotero.org/users/1546863/items/IHAFS22C"],"itemData":{"id":1069,"type":"article-journal","abstract":"Abstract\n            \n              Data are reported on the background and performance of the K6 screening scale for serious mental illness (SMI) in the World Health Organization (WHO) World Mental Health (WMH) surveys. The K6 is a six</w:instrText>
      </w:r>
      <w:r>
        <w:rPr>
          <w:rFonts w:ascii="Cambria Math" w:hAnsi="Cambria Math" w:cs="Cambria Math"/>
        </w:rPr>
        <w:instrText>‐</w:instrText>
      </w:r>
      <w:r>
        <w:instrText>item scale developed to provide a brief valid screen for Diagnostic and Statistical Manual of Mental Disorders 4th edition (DSM</w:instrText>
      </w:r>
      <w:r>
        <w:rPr>
          <w:rFonts w:ascii="Cambria Math" w:hAnsi="Cambria Math" w:cs="Cambria Math"/>
        </w:rPr>
        <w:instrText>‐</w:instrText>
      </w:r>
      <w:r>
        <w:instrText>IV) SMI based on the criteria in the US ADAMHA Reorganization Act. Although methodological studies have documented good K6 validity in a number of countries, optimal scoring rules have never been proposed. Such rules are presented here based on analysis of K6 data in nationally or regionally representative WMH surveys in 14 countries (combined\n              N\n              = 41,770 respondents). Twelve</w:instrText>
      </w:r>
      <w:r>
        <w:rPr>
          <w:rFonts w:ascii="Cambria Math" w:hAnsi="Cambria Math" w:cs="Cambria Math"/>
        </w:rPr>
        <w:instrText>‐</w:instrText>
      </w:r>
      <w:r>
        <w:instrText>month prevalence of DSM</w:instrText>
      </w:r>
      <w:r>
        <w:rPr>
          <w:rFonts w:ascii="Cambria Math" w:hAnsi="Cambria Math" w:cs="Cambria Math"/>
        </w:rPr>
        <w:instrText>‐</w:instrText>
      </w:r>
      <w:r>
        <w:instrText>IV SMI was assessed with the fully</w:instrText>
      </w:r>
      <w:r>
        <w:rPr>
          <w:rFonts w:ascii="Cambria Math" w:hAnsi="Cambria Math" w:cs="Cambria Math"/>
        </w:rPr>
        <w:instrText>‐</w:instrText>
      </w:r>
      <w:r>
        <w:instrText>structured WHO Composite International Diagnostic Interview. Nested logistic regression analysis was used to generate estimates of the predicted probability of SMI for each respondent from K6 scores, taking into consideration the possibility of variable concordance as a function of respondent age, gender, education, and country. Concordance, assessed by calculating the area under the receiver operating characteristic curve, was generally substantial (median 0.83; range 0.76–0.89; inter</w:instrText>
      </w:r>
      <w:r>
        <w:rPr>
          <w:rFonts w:ascii="Cambria Math" w:hAnsi="Cambria Math" w:cs="Cambria Math"/>
        </w:rPr>
        <w:instrText>‐</w:instrText>
      </w:r>
      <w:r>
        <w:instrText>quartile range 0.81</w:instrText>
      </w:r>
      <w:r>
        <w:rPr>
          <w:rFonts w:ascii="Aptos" w:hAnsi="Aptos" w:cs="Aptos"/>
        </w:rPr>
        <w:instrText>–</w:instrText>
      </w:r>
      <w:r>
        <w:instrText xml:space="preserve">0.85). Based on this result, optimal scaling rules are presented for use by investigators working with the K6 scale in the countries studied.\n              Copyright\n              </w:instrText>
      </w:r>
      <w:r>
        <w:rPr>
          <w:rFonts w:ascii="Aptos" w:hAnsi="Aptos" w:cs="Aptos"/>
        </w:rPr>
        <w:instrText>©</w:instrText>
      </w:r>
      <w:r>
        <w:instrText>\n              2010 John Wiley &amp; Sons, Ltd.","container-title":"International Journal of Methods in Psychiatric Research","DOI":"10.1002/mpr.310","ISSN":"1049-8931, 1557-0657","issue":"S1","journalAbbreviation":"Int J Methods Psych Res","language":"en","license":"http://onlinelibrary.wiley.com/termsAndConditions#vor","page":"4-22","source":"DOI.org (Crossref)","title":"Screening for serious mental illness in the general population with the K6 screening scale: results from the WHO World Mental Health (WMH) survey initiative","title-short":"Screening for serious mental illness in the general population with the K6 screening scale","volume":"19","author":[{"family":"Kessler","given":"Ronald C."},{"family":"Green","given":"Jennifer Greif"},{"family":"Gruber","given":"Michael J."},{"family":"Sampson","given":"Nancy A."},{"family":"Bromet","given":"Evelyn"},{"family":"Cuitan","given":"Marius"},{"family":"Furukawa","given":"Toshi A."},{"family":"Gureje","given":"Oye"},{"family":"Hinkov","given":"Hristo"},{"family":"Hu","given":"Chi</w:instrText>
      </w:r>
      <w:r>
        <w:rPr>
          <w:rFonts w:ascii="Cambria Math" w:hAnsi="Cambria Math" w:cs="Cambria Math"/>
        </w:rPr>
        <w:instrText>‐</w:instrText>
      </w:r>
      <w:r>
        <w:instrText>Yi"},{"family":"Lara","given":"Carmen"},{"family":"Lee","given":"Sing"},{"family":"Mneimneh","given":"Zeina"},{"family":"Myer","given":"Landon"},{"family":"Oakley</w:instrText>
      </w:r>
      <w:r>
        <w:rPr>
          <w:rFonts w:ascii="Cambria Math" w:hAnsi="Cambria Math" w:cs="Cambria Math"/>
        </w:rPr>
        <w:instrText>‐</w:instrText>
      </w:r>
      <w:r>
        <w:instrText>Browne","given":"Mark"},{"family":"Posada</w:instrText>
      </w:r>
      <w:r>
        <w:rPr>
          <w:rFonts w:ascii="Cambria Math" w:hAnsi="Cambria Math" w:cs="Cambria Math"/>
        </w:rPr>
        <w:instrText>‐</w:instrText>
      </w:r>
      <w:r>
        <w:instrText xml:space="preserve">Villa","given":"Jose"},{"family":"Sagar","given":"Rajesh"},{"family":"Viana","given":"Maria Carmen"},{"family":"Zaslavsky","given":"Alan M."}],"issued":{"date-parts":[["2010",6]]}}}],"schema":"https://github.com/citation-style-language/schema/raw/master/csl-citation.json"} </w:instrText>
      </w:r>
      <w:r>
        <w:fldChar w:fldCharType="separate"/>
      </w:r>
      <w:r w:rsidRPr="00316AEE">
        <w:rPr>
          <w:rFonts w:ascii="Aptos" w:hAnsi="Aptos"/>
        </w:rPr>
        <w:t>(Kessler et al., 2002, 2010)</w:t>
      </w:r>
      <w:r>
        <w:fldChar w:fldCharType="end"/>
      </w:r>
      <w:r>
        <w:t xml:space="preserve">. </w:t>
      </w:r>
      <w:r w:rsidR="00D63894">
        <w:t xml:space="preserve">Subjects are asked about feeling: (1) nervous, (2) hopeless, (3) restless or fidgety, (4) </w:t>
      </w:r>
      <w:r w:rsidR="00D63894">
        <w:lastRenderedPageBreak/>
        <w:t>so depressed that nothing could cheer you up, (5) that everything was an effort, and (6) worthless, during the past 30 days. The available responses (“</w:t>
      </w:r>
      <w:r w:rsidR="00D63894" w:rsidRPr="00D63894">
        <w:t>None of the time</w:t>
      </w:r>
      <w:r w:rsidR="00D63894">
        <w:t>,”</w:t>
      </w:r>
      <w:r w:rsidR="00D63894" w:rsidRPr="00D63894">
        <w:t xml:space="preserve"> </w:t>
      </w:r>
      <w:r w:rsidR="00D63894">
        <w:t>“</w:t>
      </w:r>
      <w:r w:rsidR="00D63894" w:rsidRPr="00D63894">
        <w:t>A little of the time</w:t>
      </w:r>
      <w:r w:rsidR="00D63894">
        <w:t>,” “</w:t>
      </w:r>
      <w:r w:rsidR="00D63894" w:rsidRPr="00D63894">
        <w:t>Some of the time</w:t>
      </w:r>
      <w:r w:rsidR="00D63894">
        <w:t>,”</w:t>
      </w:r>
      <w:r w:rsidR="00D63894" w:rsidRPr="00D63894">
        <w:t xml:space="preserve"> </w:t>
      </w:r>
      <w:r w:rsidR="00D63894">
        <w:t>“</w:t>
      </w:r>
      <w:r w:rsidR="00D63894" w:rsidRPr="00D63894">
        <w:t>Most of the time</w:t>
      </w:r>
      <w:r w:rsidR="00D63894">
        <w:t>,”</w:t>
      </w:r>
      <w:r w:rsidR="00D63894" w:rsidRPr="00D63894">
        <w:t xml:space="preserve"> </w:t>
      </w:r>
      <w:r w:rsidR="00D63894">
        <w:t>and “</w:t>
      </w:r>
      <w:r w:rsidR="00D63894" w:rsidRPr="00D63894">
        <w:t>All of the time</w:t>
      </w:r>
      <w:r w:rsidR="00D63894">
        <w:t xml:space="preserve">”) </w:t>
      </w:r>
      <w:r w:rsidR="00D63894" w:rsidRPr="00D63894">
        <w:t>are each scored from 0 to 4 and then summed, yielding a possible total score range of 0 to 24.</w:t>
      </w:r>
    </w:p>
    <w:p w14:paraId="3F13BAB4" w14:textId="6DACA854" w:rsidR="00CF3FE0" w:rsidRDefault="00CF3FE0" w:rsidP="00BF6E1F">
      <w:pPr>
        <w:pStyle w:val="Heading2"/>
        <w:rPr>
          <w:rFonts w:asciiTheme="minorHAnsi" w:eastAsiaTheme="minorHAnsi" w:hAnsiTheme="minorHAnsi" w:cstheme="minorBidi"/>
          <w:color w:val="auto"/>
          <w:sz w:val="24"/>
          <w:szCs w:val="24"/>
        </w:rPr>
      </w:pPr>
      <w:r w:rsidRPr="00CF3FE0">
        <w:rPr>
          <w:rFonts w:asciiTheme="minorHAnsi" w:eastAsiaTheme="minorHAnsi" w:hAnsiTheme="minorHAnsi" w:cstheme="minorBidi"/>
          <w:color w:val="auto"/>
          <w:sz w:val="24"/>
          <w:szCs w:val="24"/>
        </w:rPr>
        <w:t>Participants were asked to indicate the recency of their psilocybin use, with response options ranging from “in the past week” to “more than 5 years ago” or “never used psilocybin.</w:t>
      </w:r>
      <w:r>
        <w:rPr>
          <w:rFonts w:asciiTheme="minorHAnsi" w:eastAsiaTheme="minorHAnsi" w:hAnsiTheme="minorHAnsi" w:cstheme="minorBidi"/>
          <w:color w:val="auto"/>
          <w:sz w:val="24"/>
          <w:szCs w:val="24"/>
        </w:rPr>
        <w:t xml:space="preserve">” A secondary variable was created to assert whether the participants had consumed psilocybin within the last year based on their responses, and this was our main exposure for </w:t>
      </w:r>
      <w:r w:rsidR="009650E6">
        <w:rPr>
          <w:rFonts w:asciiTheme="minorHAnsi" w:eastAsiaTheme="minorHAnsi" w:hAnsiTheme="minorHAnsi" w:cstheme="minorBidi"/>
          <w:color w:val="auto"/>
          <w:sz w:val="24"/>
          <w:szCs w:val="24"/>
        </w:rPr>
        <w:t>W</w:t>
      </w:r>
      <w:r>
        <w:rPr>
          <w:rFonts w:asciiTheme="minorHAnsi" w:eastAsiaTheme="minorHAnsi" w:hAnsiTheme="minorHAnsi" w:cstheme="minorBidi"/>
          <w:color w:val="auto"/>
          <w:sz w:val="24"/>
          <w:szCs w:val="24"/>
        </w:rPr>
        <w:t>aves 2 and 3.</w:t>
      </w:r>
      <w:r w:rsidR="00E21D02">
        <w:rPr>
          <w:rFonts w:asciiTheme="minorHAnsi" w:eastAsiaTheme="minorHAnsi" w:hAnsiTheme="minorHAnsi" w:cstheme="minorBidi"/>
          <w:color w:val="auto"/>
          <w:sz w:val="24"/>
          <w:szCs w:val="24"/>
        </w:rPr>
        <w:t xml:space="preserve"> </w:t>
      </w:r>
    </w:p>
    <w:p w14:paraId="3D579A2C" w14:textId="4CD5542C" w:rsidR="00CF3FE0" w:rsidRPr="00CF3FE0" w:rsidRDefault="00CF3FE0" w:rsidP="00CF3FE0">
      <w:r>
        <w:t xml:space="preserve">Other variables </w:t>
      </w:r>
      <w:r w:rsidR="00E21D02">
        <w:t xml:space="preserve">included in our </w:t>
      </w:r>
      <w:r w:rsidR="00264E97">
        <w:t xml:space="preserve">study were </w:t>
      </w:r>
      <w:r w:rsidR="00E21D02">
        <w:t xml:space="preserve">age (collected as continuous), gender (men, women, non-binary), education (grouped as “less than bachelor” and “bachelor or higher”), past use of </w:t>
      </w:r>
      <w:r w:rsidR="00264E97">
        <w:t>“</w:t>
      </w:r>
      <w:r w:rsidR="00E21D02" w:rsidRPr="00E21D02">
        <w:t xml:space="preserve">prescription medication </w:t>
      </w:r>
      <w:r w:rsidR="00E21D02">
        <w:t xml:space="preserve">for </w:t>
      </w:r>
      <w:r w:rsidR="00E21D02" w:rsidRPr="00E21D02">
        <w:t>emotional, psychological, or mental health concerns</w:t>
      </w:r>
      <w:r w:rsidR="00264E97">
        <w:t>”</w:t>
      </w:r>
      <w:r w:rsidR="00E21D02">
        <w:t xml:space="preserve"> (yes, no). </w:t>
      </w:r>
      <w:r w:rsidR="00C66C71">
        <w:t xml:space="preserve">Data on the number of doses </w:t>
      </w:r>
      <w:r w:rsidR="00E45466">
        <w:t xml:space="preserve">(range 0 to 50 or more) </w:t>
      </w:r>
      <w:r w:rsidR="00BF7FA6">
        <w:t xml:space="preserve">by approximate weight/size </w:t>
      </w:r>
      <w:r w:rsidR="00E45466">
        <w:t xml:space="preserve">(micro, light, medium, strong, hero) </w:t>
      </w:r>
      <w:r w:rsidR="00C66C71">
        <w:t>w</w:t>
      </w:r>
      <w:r w:rsidR="00CF07DC">
        <w:t>ere</w:t>
      </w:r>
      <w:r w:rsidR="00C66C71">
        <w:t xml:space="preserve"> collected </w:t>
      </w:r>
      <w:r w:rsidR="00BF7FA6">
        <w:t xml:space="preserve">from some participants </w:t>
      </w:r>
      <w:r w:rsidR="00C66C71">
        <w:t xml:space="preserve">but not included in the </w:t>
      </w:r>
      <w:r w:rsidR="00CF07DC">
        <w:t xml:space="preserve">main </w:t>
      </w:r>
      <w:r w:rsidR="00C66C71">
        <w:t>analysis.</w:t>
      </w:r>
      <w:r w:rsidR="00CF07DC">
        <w:t xml:space="preserve"> </w:t>
      </w:r>
    </w:p>
    <w:p w14:paraId="3668FD05" w14:textId="1080FA6C" w:rsidR="00BF6E1F" w:rsidRDefault="00BF6E1F" w:rsidP="00BF6E1F">
      <w:pPr>
        <w:pStyle w:val="Heading2"/>
      </w:pPr>
      <w:r w:rsidRPr="001E6654">
        <w:t>Bias</w:t>
      </w:r>
    </w:p>
    <w:p w14:paraId="3E5A29B0" w14:textId="77777777" w:rsidR="00CF07DC" w:rsidRDefault="00BF7FA6">
      <w:r w:rsidRPr="00BF7FA6">
        <w:t xml:space="preserve">Observational data are susceptible to confounding and other biases that can distort causal inference. To clarify these relationships and inform analytic decisions, we developed a directed acyclic graph (DAG) </w:t>
      </w:r>
      <w:r>
        <w:t xml:space="preserve">to represent </w:t>
      </w:r>
      <w:r w:rsidR="006600D6" w:rsidRPr="006600D6">
        <w:t>the relationships between sociodemographic characteristics, mental health treatment, psilocybin use, and psychological distress over time</w:t>
      </w:r>
      <w:r w:rsidR="00CF07DC">
        <w:t>, including some unobserved variables</w:t>
      </w:r>
      <w:r w:rsidR="006600D6">
        <w:t xml:space="preserve"> (Figure 1)</w:t>
      </w:r>
      <w:r w:rsidR="006600D6" w:rsidRPr="006600D6">
        <w:t xml:space="preserve">. </w:t>
      </w:r>
    </w:p>
    <w:p w14:paraId="181ED536" w14:textId="5DD49CB9" w:rsidR="003B7976" w:rsidRPr="0023435C" w:rsidRDefault="006600D6">
      <w:pPr>
        <w:rPr>
          <w:lang w:val="fr-FR"/>
        </w:rPr>
      </w:pPr>
      <w:r w:rsidRPr="006600D6">
        <w:t xml:space="preserve">Gender, age, </w:t>
      </w:r>
      <w:r>
        <w:t xml:space="preserve">income, </w:t>
      </w:r>
      <w:r w:rsidRPr="006600D6">
        <w:t>and education are upstream determinants: they influence health-seeking behavior, as evidence suggests that men, younger individuals, and those with lower education are less likely to seek professional mental health care</w:t>
      </w:r>
      <w:r w:rsidR="00973642">
        <w:t xml:space="preserve"> </w:t>
      </w:r>
      <w:r w:rsidR="00973642">
        <w:fldChar w:fldCharType="begin"/>
      </w:r>
      <w:r w:rsidR="00973642">
        <w:instrText xml:space="preserve"> ADDIN ZOTERO_ITEM CSL_CITATION {"citationID":"084zaLMr","properties":{"formattedCitation":"(Abuduxike et al., 2019; Doherty &amp; Kartalova\\uc0\\u8208{}O\\uc0\\u8217{}Doherty, 2010)","plainCitation":"(Abuduxike et al., 2019; Doherty &amp; Kartalova</w:instrText>
      </w:r>
      <w:r w:rsidR="00973642">
        <w:rPr>
          <w:rFonts w:ascii="Cambria Math" w:hAnsi="Cambria Math" w:cs="Cambria Math"/>
        </w:rPr>
        <w:instrText>‐</w:instrText>
      </w:r>
      <w:r w:rsidR="00973642">
        <w:instrText>O</w:instrText>
      </w:r>
      <w:r w:rsidR="00973642">
        <w:rPr>
          <w:rFonts w:ascii="Aptos" w:hAnsi="Aptos" w:cs="Aptos"/>
        </w:rPr>
        <w:instrText>’</w:instrText>
      </w:r>
      <w:r w:rsidR="00973642">
        <w:instrText>Doherty, 2010)","noteIndex":0},"citationItems":[{"id":1057,"uris":["http://zotero.org/users/1546863/items/F69FNQ68"],"itemData":{"id":1057,"type":"article-journal","abstract":"Background:\n              Understanding health-seeking behaviors and determining factors help governments to adequately allocate and manage existing health resources. The aim of the study was to examine the health-seeking behaviors of people in using public and private health facilities and to assess the factors that influence healthcare utilization in Northern Cyprus.\n              Methods:\n              A cross-sectional study was conducted in 2 polyclinics among 507 people using a structured intervieweradministered questionnaire. Health-seeking behaviors were measured using four indicators including routine medical check-ups, preferences of healthcare facilities, admission while having health problems, and refusal of health services while ill. Descriptive statistics and multivariable logistic regression analyses were done to explore factors influencing the use of health services.\n              Results:\n              About 77.3% of the participants reported to have visited health centers while they had any health problems. More than half (51.7%) of them had a routine medical check-up during the previous year, while 12.2% of them had refused to seek healthcare when they felt ill during the last five years. Of all, 39.1% of them reported preferring private health services. Current smokers (adjusted odds ratio [AOR]=1.92, 95% CI: 1.17-3.14), having chronic diseases (AOR=2.05, 95% CI: 1.95-2.16), having poor perceptions on health (AOR=2.33; 95% CI: 1.563.48), and spending less on health during the last three months (AOR=2.08, 95% CI: 1.43- 3.01) had about twice the odds of having routine checkups. Higher education (AOR=1.87, 95% CI: 1.38-2.55) was shown to be a positive predictor for the health-seeking behaviors, whereas having self-care problems (AOR=0.18, 95% CI: 0.08-0.40) and having a moderate-income (AOR=0.68, 95% CI: 0.57-0.81) were inversely associated with seeking healthcare.\n              Conclusion:\n              The utilization of public and private health sectors revealed evident disparities in the socio-economic characteristics of participants. The health-seeking behaviors were determined by need factors including chronic disease status and having poor health perception and also by enabling factors such as education, income, insurance status and ability to pay by oneself. These findings highlight the need for further nationwide studies and provide evidence for specific strategies to reduce the socioeconomic inequalities in the use of healthcare services.","container-title":"International Journal of Health Policy and Management","DOI":"10.15171/ijhpm.2019.106","ISSN":"2322-5939","journalAbbreviation":"Int J Health Policy Manag","language":"en","page":"1","source":"DOI.org (Crossref)","title":"Health-Seeking Behaviors and its Determinants: A Facility-Based Cross-Sectional Study in the Turkish Republic of Northern Cyprus","title-short":"Health-Seeking Behaviors and its Determinants","author":[{"family":"Abuduxike","given":"Gulifeiya"},{"family":"Aşut","given":"Özen"},{"family":"Vaizoğlu","given":"Songül Acar"},{"family":"Cali","given":"Sanda"}],"issued":{"date-parts":[["2019",11,23]]}}},{"id":1056,"uris":["http://zotero.org/users/1546863/items/QHFX2GZM"],"itemData":{"id":1056,"type":"article-journal","abstract":"Objectives\n              Findings have shown that many people do not seek help when experiencing psychological distress. The main aim of this paper is to examine the socio</w:instrText>
      </w:r>
      <w:r w:rsidR="00973642">
        <w:rPr>
          <w:rFonts w:ascii="Cambria Math" w:hAnsi="Cambria Math" w:cs="Cambria Math"/>
        </w:rPr>
        <w:instrText>‐</w:instrText>
      </w:r>
      <w:r w:rsidR="00973642">
        <w:instrText>demographic and health status factors that predict help seeking for self</w:instrText>
      </w:r>
      <w:r w:rsidR="00973642">
        <w:rPr>
          <w:rFonts w:ascii="Cambria Math" w:hAnsi="Cambria Math" w:cs="Cambria Math"/>
        </w:rPr>
        <w:instrText>‐</w:instrText>
      </w:r>
      <w:r w:rsidR="00973642">
        <w:instrText>reported mental health problems for males and females from a general practitioner (GP).\n            \n            \n              Design\n              The analysis used data from the HRB National Psychological Wellbeing and Distress Survey – a telephone survey of the population aged 18 years and over.\n            \n            \n              Methods\n              Telephone numbers were selected on a random probability basis. An initial set of random clusters was selected from the Geodirectory. Using these sampling areas, random digit dialling was used to generate a random telephone sample. Data were weighted on key variables. Respondents who reported mental health problems in the previous year were included in the current study (382/2,674).\n            \n            \n              Results\n              The findings showed gender differences in the models of predictors between males and females with more factors influencing attendance at the GP for males than for females. While only social limitations and access to free health care predicted female attendance, a range of socio</w:instrText>
      </w:r>
      <w:r w:rsidR="00973642">
        <w:rPr>
          <w:rFonts w:ascii="Cambria Math" w:hAnsi="Cambria Math" w:cs="Cambria Math"/>
        </w:rPr>
        <w:instrText>‐</w:instrText>
      </w:r>
      <w:r w:rsidR="00973642">
        <w:instrText>demographic and psychological factors influenced male attendance.\n            \n            \n              Conclusions\n              Findings suggest that a ‘gender sensitive approach’ should be applied to mental health policies and mental health promotion and prevention programmes. Acknowledgement and awareness of the factors that influence help seeking will aid the design of gender specific promotion, prevention, and treatment programmes at primary care level.","container-title":"British Journal of Health Psychology","DOI":"10.1348/135910709X457423","ISSN":"1359-107X, 2044-8287","issue":"1","journalAbbreviation":"British J Health Psychol","language":"en","license":"http://onlinelibrary.wiley.com/termsAndConditions#vor","page":"213-228","source":"DOI.org (Crossref)","title":"Gender and self</w:instrText>
      </w:r>
      <w:r w:rsidR="00973642">
        <w:rPr>
          <w:rFonts w:ascii="Cambria Math" w:hAnsi="Cambria Math" w:cs="Cambria Math"/>
        </w:rPr>
        <w:instrText>‐</w:instrText>
      </w:r>
      <w:r w:rsidR="00973642">
        <w:instrText>reported mental health problems: Predictors of help seeking from a general practitioner","title-short":"Gender and self</w:instrText>
      </w:r>
      <w:r w:rsidR="00973642">
        <w:rPr>
          <w:rFonts w:ascii="Cambria Math" w:hAnsi="Cambria Math" w:cs="Cambria Math"/>
        </w:rPr>
        <w:instrText>‐</w:instrText>
      </w:r>
      <w:r w:rsidR="00973642">
        <w:instrText>reported mental health problems","volume":"15","author":[{"family":"Doherty","given":"D. Tedstone"},{"family":"Kartalova</w:instrText>
      </w:r>
      <w:r w:rsidR="00973642">
        <w:rPr>
          <w:rFonts w:ascii="Cambria Math" w:hAnsi="Cambria Math" w:cs="Cambria Math"/>
        </w:rPr>
        <w:instrText>‐</w:instrText>
      </w:r>
      <w:r w:rsidR="00973642">
        <w:instrText xml:space="preserve">O'Doherty","given":"Y."}],"issued":{"date-parts":[["2010",2]]}}}],"schema":"https://github.com/citation-style-language/schema/raw/master/csl-citation.json"} </w:instrText>
      </w:r>
      <w:r w:rsidR="00973642">
        <w:fldChar w:fldCharType="separate"/>
      </w:r>
      <w:r w:rsidR="00973642" w:rsidRPr="00973642">
        <w:rPr>
          <w:rFonts w:ascii="Aptos" w:hAnsi="Aptos" w:cs="Times New Roman"/>
          <w:kern w:val="0"/>
        </w:rPr>
        <w:t>(Abuduxike et al., 2019; Doherty &amp; Kartalova</w:t>
      </w:r>
      <w:r w:rsidR="00973642" w:rsidRPr="00973642">
        <w:rPr>
          <w:rFonts w:ascii="Cambria Math" w:hAnsi="Cambria Math" w:cs="Cambria Math"/>
          <w:kern w:val="0"/>
        </w:rPr>
        <w:t>‐</w:t>
      </w:r>
      <w:r w:rsidR="00973642" w:rsidRPr="00973642">
        <w:rPr>
          <w:rFonts w:ascii="Aptos" w:hAnsi="Aptos" w:cs="Times New Roman"/>
          <w:kern w:val="0"/>
        </w:rPr>
        <w:t>O</w:t>
      </w:r>
      <w:r w:rsidR="00973642" w:rsidRPr="00973642">
        <w:rPr>
          <w:rFonts w:ascii="Aptos" w:hAnsi="Aptos" w:cs="Aptos"/>
          <w:kern w:val="0"/>
        </w:rPr>
        <w:t>’</w:t>
      </w:r>
      <w:r w:rsidR="00973642" w:rsidRPr="00973642">
        <w:rPr>
          <w:rFonts w:ascii="Aptos" w:hAnsi="Aptos" w:cs="Times New Roman"/>
          <w:kern w:val="0"/>
        </w:rPr>
        <w:t>Doherty, 2010)</w:t>
      </w:r>
      <w:r w:rsidR="00973642">
        <w:fldChar w:fldCharType="end"/>
      </w:r>
      <w:r w:rsidRPr="006600D6">
        <w:t>. These sociodemographic factors also affect baseline psychological distress</w:t>
      </w:r>
      <w:r w:rsidR="00B352D7">
        <w:t xml:space="preserve"> </w:t>
      </w:r>
      <w:r w:rsidR="00B352D7">
        <w:fldChar w:fldCharType="begin"/>
      </w:r>
      <w:r w:rsidR="00B352D7">
        <w:instrText xml:space="preserve"> ADDIN ZOTERO_ITEM CSL_CITATION {"citationID":"Z5a3ha7j","properties":{"formattedCitation":"(Cheon et al., 2020)","plainCitation":"(Cheon et al., 2020)","noteIndex":0},"citationItems":[{"id":1054,"uris":["http://zotero.org/users/1546863/items/J2IK8A58"],"itemData":{"id":1054,"type":"article-journal","abstract":"Abstract\n            The prevalence of stress and distress has been increasing and being important public health issues; nevertheless, few studies have assessed the factors associated at the population level. This study identified factors associated and how they differentially influence stress and distress. A total of 35,105 individuals aged 19 years and older using nationally representative data from the Korea National Health and Nutrition Examination Survey (2007–2012) were included in the study. Subjects were differentiated by gender and psychological state (no symptoms, stress, distress). The associations of socio-demographics, psychosocial factors, health behaviours, and chronic illness with psychological states were analysed by gender. Socio-demographics and psychosocial factors such as lower household income, lower education level, living alone or negative outcome of marriage, and unemployment were associated with distress in both genders. Male and female educated higher and with short sleep duration, male living alone and with higher household income, and female married and with a lower household income was associated with stress. A perceived body image of slim or fat was associated with distress and stress in both genders. Behavioural factors, such as smoking, higher alcohol consumption, and abnormal calorie intake, were associated with stress and distress in both genders, with the exception of alcohol consumption in distress and abnormal calorie intake in stress of male. Socio-economic deprivation and negative psychosocial and behavioural factors were differently associated with psychological distress or stress by gender. Intervention strategies for distress and stress should be specifically tailored regarding these differences.","container-title":"Scientific Reports","DOI":"10.1038/s41598-020-71789-y","ISSN":"2045-2322","issue":"1","journalAbbreviation":"Sci Rep","language":"en","page":"15134","source":"DOI.org (Crossref)","title":"Factors associated with psychological stress and distress among Korean adults: the results from Korea National Health and Nutrition Examination Survey","title-short":"Factors associated with psychological stress and distress among Korean adults","volume":"10","author":[{"family":"Cheon","given":"Yejin"},{"family":"Park","given":"Jinju"},{"family":"Jeong","given":"Bo Yoon"},{"family":"Park","given":"Eun Young"},{"family":"Oh","given":"Jin-Kyoung"},{"family":"Yun","given":"E Hwa"},{"family":"Lim","given":"Min Kyung"}],"issued":{"date-parts":[["2020",9,15]]}}}],"schema":"https://github.com/citation-style-language/schema/raw/master/csl-citation.json"} </w:instrText>
      </w:r>
      <w:r w:rsidR="00B352D7">
        <w:fldChar w:fldCharType="separate"/>
      </w:r>
      <w:r w:rsidR="00B352D7" w:rsidRPr="00B352D7">
        <w:rPr>
          <w:rFonts w:ascii="Aptos" w:hAnsi="Aptos"/>
        </w:rPr>
        <w:t>(Cheon et al., 2020)</w:t>
      </w:r>
      <w:r w:rsidR="00B352D7">
        <w:fldChar w:fldCharType="end"/>
      </w:r>
      <w:r w:rsidR="00BE2481">
        <w:t>.</w:t>
      </w:r>
      <w:r w:rsidRPr="006600D6">
        <w:t xml:space="preserve"> </w:t>
      </w:r>
      <w:r w:rsidR="00BE2481">
        <w:t xml:space="preserve">They also </w:t>
      </w:r>
      <w:r w:rsidRPr="006600D6">
        <w:t>shape psilocybin use through both risk aversion (e.g., women and older adults are generally more cautious) and differences in access linked to socioeconomic status</w:t>
      </w:r>
      <w:r w:rsidR="00BE2481">
        <w:t xml:space="preserve"> </w:t>
      </w:r>
      <w:r w:rsidR="00BE2481">
        <w:fldChar w:fldCharType="begin"/>
      </w:r>
      <w:r w:rsidR="00BE2481">
        <w:instrText xml:space="preserve"> ADDIN ZOTERO_ITEM CSL_CITATION {"citationID":"xnMlj8oe","properties":{"formattedCitation":"(Bujalski et al., 2021)","plainCitation":"(Bujalski et al., 2021)","noteIndex":0},"citationItems":[{"id":1061,"uris":["http://zotero.org/users/1546863/items/MYF6GHCG"],"itemData":{"id":1061,"type":"article-journal","container-title":"International Journal of Drug Policy","DOI":"10.1016/j.drugpo.2021.103326","ISSN":"09553959","journalAbbreviation":"International Journal of Drug Policy","language":"en","page":"103326","source":"DOI.org (Crossref)","title":"Risk perception and risk aversion among people who use New Psychoactive Substances","volume":"97","author":[{"family":"Bujalski","given":"Michał"},{"family":"Wieczorek","given":"Łukasz"},{"family":"Sierosławski","given":"Janusz"}],"issued":{"date-parts":[["2021",11]]}}}],"schema":"https://github.com/citation-style-language/schema/raw/master/csl-citation.json"} </w:instrText>
      </w:r>
      <w:r w:rsidR="00BE2481">
        <w:fldChar w:fldCharType="separate"/>
      </w:r>
      <w:r w:rsidR="00BE2481" w:rsidRPr="00BE2481">
        <w:rPr>
          <w:rFonts w:ascii="Aptos" w:hAnsi="Aptos"/>
        </w:rPr>
        <w:t>(Bujalski et al., 2021)</w:t>
      </w:r>
      <w:r w:rsidR="00BE2481">
        <w:fldChar w:fldCharType="end"/>
      </w:r>
      <w:r w:rsidRPr="006600D6">
        <w:t xml:space="preserve">. Health-seeking behavior </w:t>
      </w:r>
      <w:r w:rsidR="00CF07DC">
        <w:t xml:space="preserve">was assumed as </w:t>
      </w:r>
      <w:r w:rsidRPr="006600D6">
        <w:t xml:space="preserve">a parent of ever having been prescribed medication for emotional, psychological, or mental health concerns, since prescriptions require prior professional contact. Past prescription use, in turn, </w:t>
      </w:r>
      <w:r w:rsidR="00CF07DC">
        <w:t xml:space="preserve">was assumed to lead to </w:t>
      </w:r>
      <w:r w:rsidRPr="006600D6">
        <w:t>psilocybin use, reflecting the Canadian Special Access Program’s requirement for a diagnosis of treatment-resistant depressive disorder and evidence of prior treatment</w:t>
      </w:r>
      <w:r w:rsidR="00B352D7">
        <w:t xml:space="preserve"> </w:t>
      </w:r>
      <w:r w:rsidR="00B352D7">
        <w:fldChar w:fldCharType="begin"/>
      </w:r>
      <w:r w:rsidR="00BF6E1F">
        <w:instrText xml:space="preserve"> ADDIN ZOTERO_ITEM CSL_CITATION {"citationID":"8s1HWLe0","properties":{"formattedCitation":"(Richard et al., 2025)","plainCitation":"(Richard et al., 2025)","noteIndex":0},"citationItems":[{"id":1053,"uris":["http://zotero.org/users/1546863/items/DW9PAJWC"],"itemData":{"id":1053,"type":"article-journal","container-title":"General Psychiatry","DOI":"10.1136/gpsych-2024-101894","ISSN":"2517-729X","issue":"1","journalAbbreviation":"Gen Psych","language":"en","page":"e101894","source":"DOI.org (Crossref)","title":"Expanded access to psychedelic treatments: comparing American and Canadian policies","title-short":"Expanded access to psychedelic treatments","volume":"38","author":[{"family":"Richard","given":"Jérémie"},{"family":"Garcia-Romeu","given":"Albert"},{"family":"Henningfield","given":"Jack E"}],"issued":{"date-parts":[["2025",2]]}}}],"schema":"https://github.com/citation-style-language/schema/raw/master/csl-citation.json"} </w:instrText>
      </w:r>
      <w:r w:rsidR="00B352D7">
        <w:fldChar w:fldCharType="separate"/>
      </w:r>
      <w:r w:rsidR="00B352D7" w:rsidRPr="00F56660">
        <w:rPr>
          <w:rFonts w:ascii="Aptos" w:hAnsi="Aptos"/>
        </w:rPr>
        <w:t>(Richard et al., 2025)</w:t>
      </w:r>
      <w:r w:rsidR="00B352D7">
        <w:fldChar w:fldCharType="end"/>
      </w:r>
      <w:r w:rsidRPr="006600D6">
        <w:t>. Finally, both baseline psychological distress and psilocybin use are assumed to influence psychological distress at follow-up</w:t>
      </w:r>
      <w:r w:rsidR="00BE2481">
        <w:t xml:space="preserve">, </w:t>
      </w:r>
      <w:r w:rsidR="00973642">
        <w:t xml:space="preserve">consistent with previous research on other </w:t>
      </w:r>
      <w:r w:rsidR="00973642">
        <w:lastRenderedPageBreak/>
        <w:t xml:space="preserve">mental health outcomes </w:t>
      </w:r>
      <w:r w:rsidR="00973642">
        <w:fldChar w:fldCharType="begin"/>
      </w:r>
      <w:r w:rsidR="001E1C6B">
        <w:instrText xml:space="preserve"> ADDIN ZOTERO_ITEM CSL_CITATION {"citationID":"qCtpHY3I","properties":{"formattedCitation":"(Card et al., 2024; Erritzoe et al., 2024; IsHak et al., 2023; Ross et al., 2025; Wong et al., 2025)","plainCitation":"(Card et al., 2024; Erritzoe et al., 2024; IsHak et al., 2023; Ross et al., 2025; Wong et al., 2025)","noteIndex":0},"citationItems":[{"id":1052,"uris":["http://zotero.org/users/1546863/items/GI3RVW7I"],"itemData":{"id":1052,"type":"article-journal","container-title":"Journal of Psychoactive Drugs","DOI":"10.1080/02791072.2023.2268640","ISSN":"0279-1072, 2159-9777","issue":"5","journalAbbreviation":"Journal of Psychoactive Drugs","language":"en","page":"616-626","source":"DOI.org (Crossref)","title":"Therapeutic Potential of Psilocybin for Treating Psychological Distress among Survivors of Adverse Childhood Experiences: Evidence on Acceptability and Potential Efficacy of Psilocybin Use","title-short":"Therapeutic Potential of Psilocybin for Treating Psychological Distress among Survivors of Adverse Childhood Experiences","volume":"56","author":[{"family":"Card","given":"Kiffer G."},{"family":"Grewal","given":"Ashmita"},{"family":"Closson","given":"Kalysha"},{"family":"Martin","given":"Gina"},{"family":"Baracaldo","given":"Laura"},{"family":"Allison","given":"Sandra"},{"family":"Kruger","given":"Daniel J."},{"family":"Walsh","given":"Zach"}],"issued":{"date-parts":[["2024",10,19]]}}},{"id":1059,"uris":["http://zotero.org/users/1546863/items/RVJQM5S5"],"itemData":{"id":1059,"type":"article-journal","container-title":"eClinicalMedicine","DOI":"10.1016/j.eclinm.2024.102799","ISSN":"25895370","journalAbbreviation":"eClinicalMedicine","language":"en","page":"102799","source":"DOI.org (Crossref)","title":"Effect of psilocybin versus escitalopram on depression symptom severity in patients with moderate-to-severe major depressive disorder: observational 6-month follow-up of a phase 2, double-blind, randomised, controlled trial","title-short":"Effect of psilocybin versus escitalopram on depression symptom severity in patients with moderate-to-severe major depressive disorder","volume":"76","author":[{"family":"Erritzoe","given":"David"},{"family":"Barba","given":"Tommaso"},{"family":"Greenway","given":"Kyle T."},{"family":"Murphy","given":"Roberta"},{"family":"Martell","given":"Jonny"},{"family":"Giribaldi","given":"Bruna"},{"family":"Timmermann","given":"Christopher"},{"family":"Murphy-Beiner","given":"Ashleigh"},{"family":"Jones","given":"Michelle Baker"},{"family":"Nutt","given":"David"},{"family":"Weiss","given":"Brandon"},{"family":"Carhart-Harris","given":"Robin"}],"issued":{"date-parts":[["2024",10]]}}},{"id":1066,"uris":["http://zotero.org/users/1546863/items/RZ85YBTN"],"itemData":{"id":1066,"type":"article-journal","abstract":"OBJECTIVE: This systematic review aims to evaluate the impact of psilocybin on patients experiencing psychiatric symptoms, with a focus on health-related quality of life (HRQoL) and safety.\nMETHOD OF RESEARCH: Following the Preferred Reporting Items for Systematic Reviews and Meta-Analyses (PRISMA) guidelines, we searched the PubMed database and identified studies published from January 2011 to December 2021 pertaining to the impact of psilocybin on psychiatric symptoms. Two authors independently conducted a focused analysis and reached a final consensus on five studies meeting the specific selection criteria. Study bias was addressed using the Cochrane risk of bias tool.\nRESULTS: The impact of psilocybin on psychiatric symptoms was examined in five randomized controlled trials (RCTs). Four studies administered 1 to 2 doses of psilocybin, with doses ranging from 14mg/70kg to 30mg/70kg, and one study administered a fixed dose of 25mg to all participants. Administration of psilocybin resulted in significant and sustained reduction in symptoms of anxiety and depression, enhanced sense of wellbeing, life satisfaction, and positive mood immediately after psilocybin administration and up to six months after conclusion of treatment. All studies included some form of psychotherapy, and none reported serious adverse effects.\nCONCLUSION: RCTs show the efficacy of psilocybin in the treatment of anxiety and depression symptoms, as well as improvement in HRQoL, and no serious side effects. However, additional research is necessary to characterize predictors of treatment response, patient screening requirements, effectiveness in broader clinical populations, and guidelines for psilocybin-assisted psychotherapy.","container-title":"Innovations in Clinical Neuroscience","ISSN":"2158-8333","issue":"4-6","journalAbbreviation":"Innov Clin Neurosci","language":"eng","note":"PMID: 37387703\nPMCID: PMC10306375","page":"39-48","source":"PubMed","title":"The Impact of Psilocybin on Patients Experiencing Psychiatric Symptoms: A Systematic Review of Randomized Clinical Trials","title-short":"The Impact of Psilocybin on Patients Experiencing Psychiatric Symptoms","volume":"20","author":[{"family":"IsHak","given":"Waguih William"},{"family":"Garcia","given":"Paloma"},{"family":"Pearl","given":"Rachel"},{"family":"Dang","given":"Jonathan"},{"family":"William","given":"Catherine"},{"family":"Totlani","given":"Jayant"},{"family":"Danovitch","given":"Itai"}],"issued":{"date-parts":[["2023"]]}}},{"id":1065,"uris":["http://zotero.org/users/1546863/items/8WT3HMSY"],"itemData":{"id":1065,"type":"article-journal","container-title":"General Hospital Psychiatry","DOI":"10.1016/j.genhosppsych.2025.08.001","ISSN":"01638343","journalAbbreviation":"General Hospital Psychiatry","language":"en","page":"322-331","source":"DOI.org (Crossref)","title":"Psilocybin-assisted psychotherapy for depression and anxiety associated with life threatening illness: A phase 2b randomized controlled trial","title-short":"Psilocybin-assisted psychotherapy for depression and anxiety associated with life threatening illness","volume":"96","author":[{"family":"Ross","given":"Margaret L."},{"family":"Iyer","given":"Ravi"},{"family":"Williams","given":"Martin L."},{"family":"Boughey","given":"Mark"},{"family":"O'Callaghan","given":"Clare"},{"family":"Hiscock","given":"Richard"},{"family":"Dwyer","given":"Justin"}],"issued":{"date-parts":[["2025",9]]}}},{"id":1062,"uris":["http://zotero.org/users/1546863/items/MXCYEUG9"],"itemData":{"id":1062,"type":"article-journal","abstract":"Background:\n              Suicidal ideation, attempts, and deaths present a major and tragic public health concern. Recent trials of psilocybin therapy (PT) have shown promise in treating treatment-resistant depression and have found a reduction in suicidal ideation. Given the growth of PT research, there is a need to further understand its effect on suicidal ideation, attempts, and deaths.\n            \n            \n              Objective:\n              To assess and synthesize evidence on the effects of PT on suicidal ideation, attempts, and deaths in psychiatric patients.\n            \n            \n              Design:\n              PRISMA-compliant systematic review and meta-analysis.\n            \n            \n              Data source:\n              MEDLINE, EMBASE, Cochrane, and PsychINFO.\n            \n            \n              Method:\n              Databases were searched for randomized controlled trials of PT in adults with psychiatric diagnoses that reported suicide outcomes (ideation, attempts, and deaths). Abstract and full-text screening were conducted, and suicide outcomes were extracted. Meta-analysis was performed with a random effects model to assess changes in suicide outcomes compared to control through the standardized mean difference (SMD). Assessment of heterogeneity, risk of bias, and subgroup analysis was completed.\n            \n            \n              Results:\n              \n                Nine studies were included (\n                N\n                </w:instrText>
      </w:r>
      <w:r w:rsidR="001E1C6B">
        <w:rPr>
          <w:rFonts w:ascii="Arial" w:hAnsi="Arial" w:cs="Arial"/>
        </w:rPr>
        <w:instrText> </w:instrText>
      </w:r>
      <w:r w:rsidR="001E1C6B">
        <w:instrText>=</w:instrText>
      </w:r>
      <w:r w:rsidR="001E1C6B">
        <w:rPr>
          <w:rFonts w:ascii="Arial" w:hAnsi="Arial" w:cs="Arial"/>
        </w:rPr>
        <w:instrText> </w:instrText>
      </w:r>
      <w:r w:rsidR="001E1C6B">
        <w:instrText xml:space="preserve">593; 335 psilocybin &amp; 258 control). Two studies were excluded from meta-analysis because suicide-related outcomes data were not available. Participants with PT experienced a small and significant decrease in suicidal ideation compared to control (\n                k\n                </w:instrText>
      </w:r>
      <w:r w:rsidR="001E1C6B">
        <w:rPr>
          <w:rFonts w:ascii="Arial" w:hAnsi="Arial" w:cs="Arial"/>
        </w:rPr>
        <w:instrText> </w:instrText>
      </w:r>
      <w:r w:rsidR="001E1C6B">
        <w:instrText>=</w:instrText>
      </w:r>
      <w:r w:rsidR="001E1C6B">
        <w:rPr>
          <w:rFonts w:ascii="Arial" w:hAnsi="Arial" w:cs="Arial"/>
        </w:rPr>
        <w:instrText> </w:instrText>
      </w:r>
      <w:r w:rsidR="001E1C6B">
        <w:instrText>7, SMD</w:instrText>
      </w:r>
      <w:r w:rsidR="001E1C6B">
        <w:rPr>
          <w:rFonts w:ascii="Arial" w:hAnsi="Arial" w:cs="Arial"/>
        </w:rPr>
        <w:instrText> </w:instrText>
      </w:r>
      <w:r w:rsidR="001E1C6B">
        <w:instrText>=</w:instrText>
      </w:r>
      <w:r w:rsidR="001E1C6B">
        <w:rPr>
          <w:rFonts w:ascii="Arial" w:hAnsi="Arial" w:cs="Arial"/>
        </w:rPr>
        <w:instrText> </w:instrText>
      </w:r>
      <w:r w:rsidR="001E1C6B">
        <w:rPr>
          <w:rFonts w:ascii="Aptos" w:hAnsi="Aptos" w:cs="Aptos"/>
        </w:rPr>
        <w:instrText>−</w:instrText>
      </w:r>
      <w:r w:rsidR="001E1C6B">
        <w:instrText xml:space="preserve">0.24, 95% CI −0.42 to −0.06,\n                p\n                </w:instrText>
      </w:r>
      <w:r w:rsidR="001E1C6B">
        <w:rPr>
          <w:rFonts w:ascii="Arial" w:hAnsi="Arial" w:cs="Arial"/>
        </w:rPr>
        <w:instrText> </w:instrText>
      </w:r>
      <w:r w:rsidR="001E1C6B">
        <w:instrText>=</w:instrText>
      </w:r>
      <w:r w:rsidR="001E1C6B">
        <w:rPr>
          <w:rFonts w:ascii="Arial" w:hAnsi="Arial" w:cs="Arial"/>
        </w:rPr>
        <w:instrText> </w:instrText>
      </w:r>
      <w:r w:rsidR="001E1C6B">
        <w:instrText xml:space="preserve">0.008,\n                I\n                2\n                </w:instrText>
      </w:r>
      <w:r w:rsidR="001E1C6B">
        <w:rPr>
          <w:rFonts w:ascii="Arial" w:hAnsi="Arial" w:cs="Arial"/>
        </w:rPr>
        <w:instrText> </w:instrText>
      </w:r>
      <w:r w:rsidR="001E1C6B">
        <w:instrText>=</w:instrText>
      </w:r>
      <w:r w:rsidR="001E1C6B">
        <w:rPr>
          <w:rFonts w:ascii="Arial" w:hAnsi="Arial" w:cs="Arial"/>
        </w:rPr>
        <w:instrText> </w:instrText>
      </w:r>
      <w:r w:rsidR="001E1C6B">
        <w:instrText>0%). There was no publication bias found. Subgroup analysis found no significant differences between groups. No study reported suicide attempts or suicide deaths. Two studies had a high risk of bias.\n              \n            \n            \n              Conclusion:\n              Psilocybin therapy may reduce suicidal ideation in adults with psychiatric diagnoses. Current studies are limited by small sample size, lack of follow-up data, and assessment of blinding.\n            \n            \n              Trial registration:\n              CRD42023445706.\n            \n          , \n            Plain language summary\n            \n              The effects of psilocybin on suicidal ideation, attempts, and deaths\n            \n            1. This systematic review and meta-analysis evaluated the effects of psilocybin therapy (PT) suicidal ideations, attempts, and deaths in people living with a psychiatric disorder.\n            2. Nine studies involved 593 adults, comparing those who received PT (335 people) to those who did not and were in a control group (258 people).\n            3. PT led to a small but significant reduction in suicidal ideation. There were no instances of suicide attempts or completed suicides reported. However, most studies did not report on suicide attempts or completed suicides.\n            4. Current studies had limitations, such as low number of participants, lack of lo</w:instrText>
      </w:r>
      <w:r w:rsidR="001E1C6B" w:rsidRPr="001E1C6B">
        <w:rPr>
          <w:lang w:val="fr-FR"/>
        </w:rPr>
        <w:instrText xml:space="preserve">ng-term follow-up, and issues with how the participants were blinded in a study.\n            5. PT may help reduce suicidal ideation in people with a psychiatric disorder, but more higher quality research is needed to confirm these findings.","container-title":"Therapeutic Advances in Psychopharmacology","DOI":"10.1177/20451253251372449","ISSN":"2045-1253, 2045-1261","journalAbbreviation":"Therapeutic Advances in Psychopharmacology","language":"en","page":"20451253251372449","source":"DOI.org (Crossref)","title":"Effect of psilocybin therapy on suicidal ideation, attempts, and deaths in people with psychiatric diagnoses: a systematic review and meta-analysis","title-short":"Effect of psilocybin therapy on suicidal ideation, attempts, and deaths in people with psychiatric diagnoses","volume":"15","author":[{"family":"Wong","given":"Stanley"},{"family":"Meckling","given":"Gray"},{"family":"Fabiano","given":"Nicholas"},{"family":"Lee","given":"Sanghun"},{"family":"Jones","given":"Brett D. M."},{"family":"Shorr","given":"Risa"},{"family":"Dargel","given":"Aroldo"},{"family":"Davis","given":"Alan K."},{"family":"Fiedorowicz","given":"Jess G."},{"family":"Solmi","given":"Marco"},{"family":"Rosenblat","given":"Joshua D."},{"family":"Mulsant","given":"Benoit H."},{"family":"Blumberger","given":"Daniel M."},{"family":"Husain","given":"Muhammad Ishrat"}],"issued":{"date-parts":[["2025",9]]}}}],"schema":"https://github.com/citation-style-language/schema/raw/master/csl-citation.json"} </w:instrText>
      </w:r>
      <w:r w:rsidR="00973642">
        <w:fldChar w:fldCharType="separate"/>
      </w:r>
      <w:r w:rsidR="001E1C6B" w:rsidRPr="001E1C6B">
        <w:rPr>
          <w:rFonts w:ascii="Aptos" w:hAnsi="Aptos"/>
          <w:lang w:val="fr-FR"/>
        </w:rPr>
        <w:t>(Card et al., 2024; Erritzoe et al., 2024; IsHak et al., 2023; Ross et al., 2025; Wong et al., 2025)</w:t>
      </w:r>
      <w:r w:rsidR="00973642">
        <w:fldChar w:fldCharType="end"/>
      </w:r>
      <w:r w:rsidRPr="0023435C">
        <w:rPr>
          <w:lang w:val="fr-FR"/>
        </w:rPr>
        <w:t>.</w:t>
      </w:r>
    </w:p>
    <w:p w14:paraId="5189F983" w14:textId="77777777" w:rsidR="00E45466" w:rsidRDefault="003B7976" w:rsidP="00E45466">
      <w:pPr>
        <w:keepNext/>
        <w:jc w:val="center"/>
      </w:pPr>
      <w:r>
        <w:rPr>
          <w:noProof/>
        </w:rPr>
        <w:drawing>
          <wp:inline distT="0" distB="0" distL="0" distR="0" wp14:anchorId="18C5E7E2" wp14:editId="046FC376">
            <wp:extent cx="4264230" cy="2647950"/>
            <wp:effectExtent l="0" t="0" r="3175" b="0"/>
            <wp:docPr id="93445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54649"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44" t="-1065" r="15069" b="21937"/>
                    <a:stretch>
                      <a:fillRect/>
                    </a:stretch>
                  </pic:blipFill>
                  <pic:spPr bwMode="auto">
                    <a:xfrm>
                      <a:off x="0" y="0"/>
                      <a:ext cx="4277907" cy="2656443"/>
                    </a:xfrm>
                    <a:prstGeom prst="rect">
                      <a:avLst/>
                    </a:prstGeom>
                    <a:noFill/>
                    <a:ln>
                      <a:noFill/>
                    </a:ln>
                    <a:extLst>
                      <a:ext uri="{53640926-AAD7-44D8-BBD7-CCE9431645EC}">
                        <a14:shadowObscured xmlns:a14="http://schemas.microsoft.com/office/drawing/2010/main"/>
                      </a:ext>
                    </a:extLst>
                  </pic:spPr>
                </pic:pic>
              </a:graphicData>
            </a:graphic>
          </wp:inline>
        </w:drawing>
      </w:r>
    </w:p>
    <w:p w14:paraId="220C4E90" w14:textId="5DB89269" w:rsidR="00E45466" w:rsidRDefault="00E45466" w:rsidP="00E45466">
      <w:pPr>
        <w:pStyle w:val="Caption"/>
        <w:jc w:val="center"/>
      </w:pPr>
      <w:r>
        <w:t xml:space="preserve">Figure </w:t>
      </w:r>
      <w:fldSimple w:instr=" SEQ Figure \* ARABIC ">
        <w:r>
          <w:rPr>
            <w:noProof/>
          </w:rPr>
          <w:t>1</w:t>
        </w:r>
      </w:fldSimple>
      <w:r>
        <w:t>. Directed Acyclic Graph showing the assumed relationship between variables in the cohort study.</w:t>
      </w:r>
    </w:p>
    <w:p w14:paraId="518D5D91" w14:textId="112AEB2B" w:rsidR="003B7976" w:rsidRDefault="00E45466">
      <w:r>
        <w:t>The temporal relationship between variables also risks confounding. For example, a few respondents selected their last consumption was “in the past week” while the outcome asks about the past 30 days. However, we worked under the assumption that the exposure preceded the outcome because an early exposure may have occurred for these participants</w:t>
      </w:r>
      <w:r w:rsidR="00CF07DC">
        <w:t xml:space="preserve"> because they reported multiple doses during the last year in all cases</w:t>
      </w:r>
      <w:r>
        <w:t>. Finally, it is also possible for some participants to first have tried psilocybin before other prescribed psychiatric drug (as this question was asked concurrently). However, we worked under the assumption that past psychiatric use led to psilocybin use based on the structure of the special access program and the broader language used to ask about prescription medication</w:t>
      </w:r>
      <w:r w:rsidR="00CF07DC">
        <w:t xml:space="preserve"> (“ever used”)</w:t>
      </w:r>
      <w:r>
        <w:t>.</w:t>
      </w:r>
    </w:p>
    <w:p w14:paraId="31C77683" w14:textId="68A62357" w:rsidR="00BF6E1F" w:rsidRDefault="00BF6E1F" w:rsidP="00BF6E1F">
      <w:pPr>
        <w:pStyle w:val="Heading2"/>
      </w:pPr>
      <w:r>
        <w:t>Statistical methods</w:t>
      </w:r>
    </w:p>
    <w:p w14:paraId="21A3F7FB" w14:textId="40E1E1D9" w:rsidR="008B607C" w:rsidRDefault="008B607C" w:rsidP="00BF6E1F">
      <w:r>
        <w:t xml:space="preserve">All statistical analyses were performed using R version 4.5.1 </w:t>
      </w:r>
      <w:r>
        <w:fldChar w:fldCharType="begin"/>
      </w:r>
      <w:r>
        <w:instrText xml:space="preserve"> ADDIN ZOTERO_ITEM CSL_CITATION {"citationID":"c68WvCUt","properties":{"formattedCitation":"(R Core Team, 2025)","plainCitation":"(R Core Team, 2025)","noteIndex":0},"citationItems":[{"id":383,"uris":["http://zotero.org/users/1546863/items/C874ZF4T"],"itemData":{"id":383,"type":"book","event-place":"Vienna, Austria","publisher":"R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fldChar w:fldCharType="separate"/>
      </w:r>
      <w:r w:rsidRPr="008B607C">
        <w:rPr>
          <w:rFonts w:ascii="Aptos" w:hAnsi="Aptos"/>
        </w:rPr>
        <w:t>(R Core Team, 2025)</w:t>
      </w:r>
      <w:r>
        <w:fldChar w:fldCharType="end"/>
      </w:r>
      <w:r>
        <w:t xml:space="preserve">. Data about psilocybin use was described using counts and proportions. </w:t>
      </w:r>
      <w:r w:rsidR="00963F7E">
        <w:t xml:space="preserve">Differences between exposed and unexposed groups were inspected using chi-square and t-tests. </w:t>
      </w:r>
      <w:r>
        <w:t>Given o</w:t>
      </w:r>
      <w:r w:rsidR="00CB6CF2">
        <w:t>nly one</w:t>
      </w:r>
      <w:r w:rsidR="00963F7E">
        <w:t xml:space="preserve"> </w:t>
      </w:r>
      <w:r w:rsidR="00CB6CF2">
        <w:t xml:space="preserve">participant tried psilocybin during </w:t>
      </w:r>
      <w:r w:rsidR="009650E6">
        <w:t>W</w:t>
      </w:r>
      <w:r w:rsidR="00CB6CF2">
        <w:t>ave 3</w:t>
      </w:r>
      <w:r w:rsidR="00963F7E">
        <w:t xml:space="preserve"> for the first time</w:t>
      </w:r>
      <w:r w:rsidR="00CB6CF2">
        <w:t xml:space="preserve">, we chose to use data from </w:t>
      </w:r>
      <w:r w:rsidR="009650E6">
        <w:t>W</w:t>
      </w:r>
      <w:r w:rsidR="00CB6CF2">
        <w:t xml:space="preserve">aves 1 and 2 to estimate the effect of </w:t>
      </w:r>
      <w:r w:rsidR="00CB6CF2" w:rsidRPr="00CB6CF2">
        <w:t xml:space="preserve">psilocybin use </w:t>
      </w:r>
      <w:r w:rsidR="00CB6CF2">
        <w:t xml:space="preserve">on psychological distress. </w:t>
      </w:r>
    </w:p>
    <w:p w14:paraId="4CD27EFC" w14:textId="77777777" w:rsidR="0035086C" w:rsidRDefault="001535CC" w:rsidP="0035086C">
      <w:r w:rsidRPr="001535CC">
        <w:t>Several analytical approaches were tested to ensure robustness and account for both observed and unobserved confounding.</w:t>
      </w:r>
      <w:r>
        <w:t xml:space="preserve"> First, w</w:t>
      </w:r>
      <w:r w:rsidR="00CB6CF2" w:rsidRPr="00CB6CF2">
        <w:t>e fitted a lagged dependent variable (LDV) model</w:t>
      </w:r>
      <w:r>
        <w:t xml:space="preserve"> in a wide format dataset</w:t>
      </w:r>
      <w:r w:rsidR="00CB6CF2" w:rsidRPr="00CB6CF2">
        <w:t xml:space="preserve">, adjusting for </w:t>
      </w:r>
      <w:r w:rsidR="00CF07DC">
        <w:t xml:space="preserve">the K6 score at baseline </w:t>
      </w:r>
      <w:r w:rsidR="00CB6CF2" w:rsidRPr="00CB6CF2">
        <w:t xml:space="preserve">and time-invariant covariates </w:t>
      </w:r>
      <w:r w:rsidR="00CB6CF2">
        <w:t xml:space="preserve">(i.e., </w:t>
      </w:r>
      <w:r w:rsidR="00CB6CF2" w:rsidRPr="00CB6CF2">
        <w:t>age, gender, and education</w:t>
      </w:r>
      <w:r w:rsidR="00CB6CF2">
        <w:t>)</w:t>
      </w:r>
      <w:r w:rsidR="00CF07DC">
        <w:t xml:space="preserve">. These set of covariates provided sufficient </w:t>
      </w:r>
      <w:r w:rsidR="00CF07DC">
        <w:lastRenderedPageBreak/>
        <w:t xml:space="preserve">adjustment to prevent bias based on observables covariates according to our </w:t>
      </w:r>
      <w:r w:rsidR="00CB6CF2">
        <w:t>DAG</w:t>
      </w:r>
      <w:r w:rsidR="00CB6CF2" w:rsidRPr="00CB6CF2">
        <w:t xml:space="preserve">. </w:t>
      </w:r>
      <w:r w:rsidR="00A33B3D">
        <w:t xml:space="preserve"> </w:t>
      </w:r>
      <w:r w:rsidR="0035086C">
        <w:t xml:space="preserve">LDV </w:t>
      </w:r>
      <w:r w:rsidR="0035086C" w:rsidRPr="00CB6CF2">
        <w:t xml:space="preserve">is useful when </w:t>
      </w:r>
      <w:r w:rsidR="0035086C">
        <w:t xml:space="preserve">allocation is based on real-world effect rather than </w:t>
      </w:r>
      <w:r w:rsidR="0035086C" w:rsidRPr="00CB6CF2">
        <w:t>randomization</w:t>
      </w:r>
      <w:r w:rsidR="0035086C">
        <w:t xml:space="preserve"> and the method of choice above alternatives like change in scores when the outcome at baseline is a competing exposure </w:t>
      </w:r>
      <w:r w:rsidR="0035086C">
        <w:fldChar w:fldCharType="begin"/>
      </w:r>
      <w:r w:rsidR="0035086C">
        <w:instrText xml:space="preserve"> ADDIN ZOTERO_ITEM CSL_CITATION {"citationID":"CLqipV9Y","properties":{"formattedCitation":"(Keele &amp; Kelly, 2006; Tennant et al., 2022)","plainCitation":"(Keele &amp; Kelly, 2006; Tennant et al., 2022)","noteIndex":0},"citationItems":[{"id":1073,"uris":["http://zotero.org/users/1546863/items/X8Y4JU79"],"itemData":{"id":1073,"type":"article-journal","abstract":"A lagged dependent variable in an OLS regression is often used as a means of capturing dynamic effects in political processes and as a method for ridding the model of autocorrelation. But recent work contends that the lagged dependent variable specification is too problematic for use in most situations. More specifically, if residual autocorrelation is present, the lagged dependent variable causes the coefficients for explanatory variables to be biased downward. We use a Monte Carlo analysis to assess empirically how much bias is present when a lagged dependent variable is used under a wide variety of circumstances. In our analysis, we compare the performance of the lagged dependent variable model to several other time series models. We show that while the lagged dependent variable is inappropriate in some circumstances, it remains an appropriate model for the dynamic theories often tested by applied analysts. From the analysis, we develop several practical suggestions on when and how to use lagged dependent variables on the right-hand side of a model.","container-title":"Political Analysis","ISSN":"10471987, 14764989","issue":"2","note":"publisher: [Oxford University Press, Society for Political Methodology]","page":"186–205","title":"Dynamic Models for Dynamic Theories: The Ins and Outs of Lagged Dependent Variables","volume":"14","author":[{"family":"Keele","given":"Luke"},{"family":"Kelly","given":"Nathan J."}],"issued":{"date-parts":[["2006"]]}}},{"id":1071,"uris":["http://zotero.org/users/1546863/items/7IVFAU4W"],"itemData":{"id":1071,"type":"article-journal","abstract":"Abstract\n            \n              Background\n              In longitudinal data, it is common to create ‘change scores’ by subtracting measurements taken at baseline from those taken at follow-up, and then to analyse the resulting ‘change’ as the outcome variable. In observational data, this approach can produce misleading causal-effect estimates. The present article uses directed acyclic graphs (DAGs) and simple simulations to provide an accessible explanation for why change scores do not estimate causal effects in observational data.\n            \n            \n              Methods\n              Data were simulated to match three general scenarios in which the outcome variable at baseline was a (i) ‘competing exposure’ (i.e. a cause of the outcome that is neither caused by nor causes the exposure), (ii) confounder or (iii) mediator for the total causal effect of the exposure variable at baseline on the outcome variable at follow-up. Regression coefficients were compared between change-score analyses and the appropriate estimator(s) for the total and/or direct causal effect(s).\n            \n            \n              Results\n              Change-score analyses do not provide meaningful causal-effect estimates unless the baseline outcome variable is a ‘competing exposure’ for the effect of the exposure on the outcome at follow-up. Where the baseline outcome is a confounder or mediator, change-score analyses evaluate obscure estimands, which may diverge substantially in magnitude and direction from the total and direct causal effects.\n            \n            \n              Conclusion\n              Future observational studies that seek causal-effect estimates should avoid analysing change scores and adopt alternative analytical strategies.","container-title":"International Journal of Epidemiology","DOI":"10.1093/ije/dyab050","ISSN":"0300-5771, 1464-3685","issue":"5","language":"en","license":"https://creativecommons.org/licenses/by/4.0/","page":"1604-1615","source":"DOI.org (Crossref)","title":"Analyses of ‘change scores’ do not estimate causal effects in observational data","volume":"51","author":[{"family":"Tennant","given":"Peter W G"},{"family":"Arnold","given":"Kellyn F"},{"family":"Ellison","given":"George T H"},{"family":"Gilthorpe","given":"Mark S"}],"issued":{"date-parts":[["2022",10,13]]}}}],"schema":"https://github.com/citation-style-language/schema/raw/master/csl-citation.json"} </w:instrText>
      </w:r>
      <w:r w:rsidR="0035086C">
        <w:fldChar w:fldCharType="separate"/>
      </w:r>
      <w:r w:rsidR="0035086C" w:rsidRPr="00A33B3D">
        <w:rPr>
          <w:rFonts w:ascii="Aptos" w:hAnsi="Aptos"/>
        </w:rPr>
        <w:t>(Keele &amp; Kelly, 2006; Tennant et al., 2022)</w:t>
      </w:r>
      <w:r w:rsidR="0035086C">
        <w:fldChar w:fldCharType="end"/>
      </w:r>
      <w:r w:rsidR="0035086C" w:rsidRPr="00CB6CF2">
        <w:t>.</w:t>
      </w:r>
    </w:p>
    <w:p w14:paraId="49528E6C" w14:textId="425E6017" w:rsidR="001535CC" w:rsidRDefault="001535CC" w:rsidP="00963F7E">
      <w:r>
        <w:t xml:space="preserve">Second, we used </w:t>
      </w:r>
      <w:r w:rsidR="00963F7E">
        <w:t xml:space="preserve">an </w:t>
      </w:r>
      <w:r w:rsidR="00963F7E" w:rsidRPr="00963F7E">
        <w:t xml:space="preserve">inverse probability of treatment weighting </w:t>
      </w:r>
      <w:r w:rsidR="00963F7E">
        <w:t xml:space="preserve">approach, </w:t>
      </w:r>
      <w:r>
        <w:t>predict</w:t>
      </w:r>
      <w:r w:rsidR="00963F7E">
        <w:t>ing</w:t>
      </w:r>
      <w:r>
        <w:t xml:space="preserve"> the exposure </w:t>
      </w:r>
      <w:r w:rsidR="00CF07DC">
        <w:t>based on the same set of covariates</w:t>
      </w:r>
      <w:r w:rsidR="00CF07DC" w:rsidRPr="001535CC">
        <w:t xml:space="preserve">, essentially creating a pseudo-population in which the exposure is independent of </w:t>
      </w:r>
      <w:r w:rsidR="00963F7E">
        <w:t>them</w:t>
      </w:r>
      <w:r w:rsidR="00CF07DC">
        <w:t>. Extreme weights (</w:t>
      </w:r>
      <w:r w:rsidR="00963F7E">
        <w:t>&gt;</w:t>
      </w:r>
      <w:r w:rsidR="00CF07DC">
        <w:t>99</w:t>
      </w:r>
      <w:r w:rsidR="00CF07DC" w:rsidRPr="00CF07DC">
        <w:rPr>
          <w:vertAlign w:val="superscript"/>
        </w:rPr>
        <w:t>th</w:t>
      </w:r>
      <w:r w:rsidR="00CF07DC">
        <w:t xml:space="preserve"> percentile) were trimmed to prevent instability</w:t>
      </w:r>
      <w:r w:rsidR="00963F7E">
        <w:t xml:space="preserve"> </w:t>
      </w:r>
      <w:r w:rsidR="00963F7E">
        <w:fldChar w:fldCharType="begin"/>
      </w:r>
      <w:r w:rsidR="00963F7E">
        <w:instrText xml:space="preserve"> ADDIN ZOTERO_ITEM CSL_CITATION {"citationID":"8vTPuHTj","properties":{"formattedCitation":"(Austin &amp; Stuart, 2015)","plainCitation":"(Austin &amp; Stuart, 2015)","noteIndex":0},"citationItems":[{"id":1076,"uris":["http://zotero.org/users/1546863/items/TVFBG3V3"],"itemData":{"id":1076,"type":"article-journal","abstract":"The propensity score is defined as a subject's probability of treatment selection, conditional on observed baseline covariates. Weighting subjects by the inverse probability of treatment received creates a synthetic sample in which treatment assignment is independent of measured baseline covariates. Inverse probability of treatment weighting (IPTW) using the propensity score allows one to obtain unbiased estimates of average treatment effects. However, these estimates are only valid if there are no residual systematic differences in observed baseline characteristics between treated and control subjects in the sample weighted by the estimated inverse probability of treatment. We report on a systematic literature review, in which we found that the use of IPTW has increased rapidly in recent years, but that in the most recent year, a majority of studies did not formally examine whether weighting balanced measured covariates between treatment groups. We then proceed to describe a suite of quantitative and qualitative methods that allow one to assess whether measured baseline covariates are balanced between treatment groups in the weighted sample. The quantitative methods use the weighted standardized difference to compare means, prevalences, higher</w:instrText>
      </w:r>
      <w:r w:rsidR="00963F7E">
        <w:rPr>
          <w:rFonts w:ascii="Cambria Math" w:hAnsi="Cambria Math" w:cs="Cambria Math"/>
        </w:rPr>
        <w:instrText>‐</w:instrText>
      </w:r>
      <w:r w:rsidR="00963F7E">
        <w:instrText xml:space="preserve">order moments, and interactions. The qualitative methods employ graphical methods to compare the distribution of continuous baseline covariates between treated and control subjects in the weighted sample. Finally, we illustrate the application of these methods in an empirical case study. We propose a formal set of balance diagnostics that contribute towards an evolving concept of </w:instrText>
      </w:r>
      <w:r w:rsidR="00963F7E">
        <w:rPr>
          <w:rFonts w:ascii="Aptos" w:hAnsi="Aptos" w:cs="Aptos"/>
        </w:rPr>
        <w:instrText>‘</w:instrText>
      </w:r>
      <w:r w:rsidR="00963F7E">
        <w:instrText>best practice</w:instrText>
      </w:r>
      <w:r w:rsidR="00963F7E">
        <w:rPr>
          <w:rFonts w:ascii="Aptos" w:hAnsi="Aptos" w:cs="Aptos"/>
        </w:rPr>
        <w:instrText>’</w:instrText>
      </w:r>
      <w:r w:rsidR="00963F7E">
        <w:instrText xml:space="preserve"> when using IPTW to estimate causal treatment effects using observational data. © 2015 The Authors. Statistics in Medicine Published by John Wiley &amp; Sons Ltd.","container-title":"Statistics in Medicine","DOI":"10.1002/sim.6607","ISSN":"0277-6715, 1097-0258","issue":"28","journalAbbreviation":"Statistics in Medicine","language":"en","license":"http://creativecommons.org/licenses/by-nc-nd/4.0/","page":"3661-3679","source":"DOI.org (Crossref)","title":"Moving towards best practice when using inverse probability of treatment weighting (IPTW) using the propensity score to estimate causal treatment effects in observational studies","volume":"34","author":[{"family":"Austin","given":"Peter C."},{"family":"Stuart","given":"Elizabeth A."}],"issued":{"date-parts":[["2015",12,10]]}}}],"schema":"https://github.com/citation-style-language/schema/raw/master/csl-citation.json"} </w:instrText>
      </w:r>
      <w:r w:rsidR="00963F7E">
        <w:fldChar w:fldCharType="separate"/>
      </w:r>
      <w:r w:rsidR="00963F7E" w:rsidRPr="00963F7E">
        <w:rPr>
          <w:rFonts w:ascii="Aptos" w:hAnsi="Aptos"/>
        </w:rPr>
        <w:t>(Austin &amp; Stuart, 2015)</w:t>
      </w:r>
      <w:r w:rsidR="00963F7E">
        <w:fldChar w:fldCharType="end"/>
      </w:r>
      <w:r w:rsidR="00963F7E">
        <w:t>.</w:t>
      </w:r>
      <w:r>
        <w:t xml:space="preserve"> Finally,</w:t>
      </w:r>
      <w:r w:rsidR="00794B3D">
        <w:t xml:space="preserve"> we</w:t>
      </w:r>
      <w:r>
        <w:t xml:space="preserve"> fit a </w:t>
      </w:r>
      <w:r w:rsidRPr="001535CC">
        <w:t xml:space="preserve">fixed-effects models </w:t>
      </w:r>
      <w:r w:rsidR="00963F7E">
        <w:t>in long-form data, therefore adjusting</w:t>
      </w:r>
      <w:r w:rsidRPr="001535CC">
        <w:t xml:space="preserve"> for all time-invariant unobserved confounders</w:t>
      </w:r>
      <w:r>
        <w:t xml:space="preserve"> through w</w:t>
      </w:r>
      <w:r w:rsidRPr="001535CC">
        <w:t>ithin-</w:t>
      </w:r>
      <w:r>
        <w:t>person estimates.</w:t>
      </w:r>
      <w:r w:rsidR="00963F7E">
        <w:t xml:space="preserve"> </w:t>
      </w:r>
    </w:p>
    <w:p w14:paraId="2719468F" w14:textId="6C1C3128" w:rsidR="001535CC" w:rsidRDefault="00794B3D" w:rsidP="00BF6E1F">
      <w:r>
        <w:t xml:space="preserve">For our secondary objective, we </w:t>
      </w:r>
      <w:r w:rsidRPr="00794B3D">
        <w:t xml:space="preserve">analyzed the distribution of K6 psychological distress scores over time by intervention status using </w:t>
      </w:r>
      <w:r>
        <w:t xml:space="preserve">the Friedman </w:t>
      </w:r>
      <w:r w:rsidRPr="00794B3D">
        <w:t>non-parametric</w:t>
      </w:r>
      <w:r>
        <w:t xml:space="preserve"> test</w:t>
      </w:r>
      <w:r w:rsidRPr="00794B3D">
        <w:t xml:space="preserve">, </w:t>
      </w:r>
      <w:r>
        <w:t xml:space="preserve">followed by a </w:t>
      </w:r>
      <w:r w:rsidRPr="00794B3D">
        <w:t>Durbin–Conover test</w:t>
      </w:r>
      <w:r>
        <w:t xml:space="preserve"> for </w:t>
      </w:r>
      <w:r w:rsidRPr="00794B3D">
        <w:t>group-wise comparison</w:t>
      </w:r>
      <w:r w:rsidR="004C4899">
        <w:t xml:space="preserve"> </w:t>
      </w:r>
      <w:r w:rsidR="004C4899">
        <w:fldChar w:fldCharType="begin"/>
      </w:r>
      <w:r w:rsidR="004C4899">
        <w:instrText xml:space="preserve"> ADDIN ZOTERO_ITEM CSL_CITATION {"citationID":"V9Ar0lub","properties":{"formattedCitation":"(Conover &amp; Iman, 1979)","plainCitation":"(Conover &amp; Iman, 1979)","noteIndex":0},"citationItems":[{"id":1078,"uris":["http://zotero.org/users/1546863/items/2D4U8DMH"],"itemData":{"id":1078,"type":"report","note":"DOI: 10.2172/6057803","number":"LA-7677-MS, 6057803","page":"LA-7677-MS, 6057803","source":"DOI.org (Crossref)","title":"Multiple-comparisons procedures. Informal report","URL":"https://www.osti.gov/servlets/purl/6057803/","author":[{"family":"Conover","given":"W"},{"family":"Iman","given":"R"}],"accessed":{"date-parts":[["2025",10,23]]},"issued":{"date-parts":[["1979",2,1]]}}}],"schema":"https://github.com/citation-style-language/schema/raw/master/csl-citation.json"} </w:instrText>
      </w:r>
      <w:r w:rsidR="004C4899">
        <w:fldChar w:fldCharType="separate"/>
      </w:r>
      <w:r w:rsidR="004C4899" w:rsidRPr="004C4899">
        <w:rPr>
          <w:rFonts w:ascii="Aptos" w:hAnsi="Aptos"/>
        </w:rPr>
        <w:t>(Conover &amp; Iman, 1979)</w:t>
      </w:r>
      <w:r w:rsidR="004C4899">
        <w:fldChar w:fldCharType="end"/>
      </w:r>
      <w:r>
        <w:t xml:space="preserve">. Compared periods, therefore, accounted </w:t>
      </w:r>
      <w:r w:rsidRPr="00794B3D">
        <w:t>for repeated measurements within participants.</w:t>
      </w:r>
      <w:r>
        <w:t xml:space="preserve"> The non-parametric alternative was chosen given the small number of participants who had been treated and reported data for all three waves.</w:t>
      </w:r>
    </w:p>
    <w:p w14:paraId="4A0D6905" w14:textId="1B3B64EB" w:rsidR="0000343F" w:rsidRPr="0008750F" w:rsidRDefault="00EA309F" w:rsidP="00EA309F">
      <w:pPr>
        <w:pStyle w:val="Heading1"/>
      </w:pPr>
      <w:r w:rsidRPr="0008750F">
        <w:t>Results</w:t>
      </w:r>
    </w:p>
    <w:p w14:paraId="33E92ADD" w14:textId="28C5DB1A" w:rsidR="00BF6E1F" w:rsidRDefault="00BF6E1F" w:rsidP="00BF6E1F">
      <w:pPr>
        <w:pStyle w:val="Heading2"/>
      </w:pPr>
      <w:r w:rsidRPr="0008750F">
        <w:t>Participants</w:t>
      </w:r>
    </w:p>
    <w:p w14:paraId="0532618D" w14:textId="3349840F" w:rsidR="006D23F3" w:rsidRPr="006D23F3" w:rsidRDefault="006D23F3" w:rsidP="006D23F3">
      <w:r>
        <w:t xml:space="preserve">Among </w:t>
      </w:r>
      <w:r w:rsidRPr="00AF4872">
        <w:t>1,249</w:t>
      </w:r>
      <w:r>
        <w:t xml:space="preserve"> participants in the </w:t>
      </w:r>
      <w:r w:rsidRPr="00AF4872">
        <w:t>Tips and Recommendations for the Ingestion of Psilocybin study</w:t>
      </w:r>
      <w:r>
        <w:t xml:space="preserve">, 540 consented to follow-up and provided valid responses for </w:t>
      </w:r>
      <w:r w:rsidR="009650E6">
        <w:t>W</w:t>
      </w:r>
      <w:r>
        <w:t>ave 2, therefore constituting the original cohort</w:t>
      </w:r>
      <w:r w:rsidR="004C4899">
        <w:t xml:space="preserve"> for the broader study</w:t>
      </w:r>
      <w:r>
        <w:t>.</w:t>
      </w:r>
      <w:r w:rsidR="00BF7FA6">
        <w:t xml:space="preserve"> </w:t>
      </w:r>
      <w:r>
        <w:t>We sampled a subset of 110 respondents who, based on their responses through all waves of the survey, had never used psilocybin</w:t>
      </w:r>
      <w:r w:rsidR="004C4899">
        <w:t>, after excluding f</w:t>
      </w:r>
      <w:r w:rsidR="004C4899" w:rsidRPr="004C4899">
        <w:t xml:space="preserve">our participants </w:t>
      </w:r>
      <w:r w:rsidR="004C4899">
        <w:t xml:space="preserve">with </w:t>
      </w:r>
      <w:r w:rsidR="004C4899" w:rsidRPr="004C4899">
        <w:t>inconsistent responses (e.g., selecting “never” use at baseline and “in the past five years” at follow-up) and one participant lacked outcome data.</w:t>
      </w:r>
      <w:r>
        <w:t xml:space="preserve"> Among our final analytic sample respondents</w:t>
      </w:r>
      <w:r w:rsidR="004C4899">
        <w:t xml:space="preserve"> for </w:t>
      </w:r>
      <w:r w:rsidR="009650E6">
        <w:t>W</w:t>
      </w:r>
      <w:r w:rsidR="004C4899">
        <w:t>aves 1 and 2 (n=110)</w:t>
      </w:r>
      <w:r>
        <w:t>,</w:t>
      </w:r>
      <w:r w:rsidR="004C4899">
        <w:t xml:space="preserve"> 47.3% (n=52) provided information for </w:t>
      </w:r>
      <w:r w:rsidR="009650E6">
        <w:t>W</w:t>
      </w:r>
      <w:r w:rsidR="004C4899">
        <w:t xml:space="preserve">ave </w:t>
      </w:r>
      <w:r w:rsidR="009650E6">
        <w:t>3</w:t>
      </w:r>
      <w:r w:rsidR="004C4899">
        <w:t xml:space="preserve"> whereas</w:t>
      </w:r>
      <w:r>
        <w:t xml:space="preserve"> </w:t>
      </w:r>
      <w:r w:rsidR="004C4899">
        <w:t xml:space="preserve">the remaining </w:t>
      </w:r>
      <w:r>
        <w:t>52.7%</w:t>
      </w:r>
      <w:r w:rsidR="004C4899">
        <w:t xml:space="preserve"> (n=</w:t>
      </w:r>
      <w:r w:rsidR="004C4899" w:rsidRPr="00EC4F42">
        <w:t>58</w:t>
      </w:r>
      <w:r>
        <w:t xml:space="preserve">) were lost to follow-up. </w:t>
      </w:r>
    </w:p>
    <w:p w14:paraId="64A9798E" w14:textId="25A94EF9" w:rsidR="00BF6E1F" w:rsidRDefault="00BF6E1F" w:rsidP="00BF6E1F">
      <w:pPr>
        <w:pStyle w:val="Heading2"/>
      </w:pPr>
      <w:r>
        <w:t>Descriptive data</w:t>
      </w:r>
    </w:p>
    <w:p w14:paraId="38DFA56D" w14:textId="43BFA49C" w:rsidR="006D23F3" w:rsidRDefault="00483072" w:rsidP="006D23F3">
      <w:r w:rsidRPr="00483072">
        <w:t>Among the analytic sample of 110 participants, 82 participants did not try psilocybin in the first year, 40 continued not to use it during follow-up, 1 tried it in the second year, and 41 were lost to follow-up</w:t>
      </w:r>
      <w:r w:rsidR="002E6347">
        <w:t xml:space="preserve"> (50.0%)</w:t>
      </w:r>
      <w:r w:rsidRPr="00483072">
        <w:t>.</w:t>
      </w:r>
      <w:r w:rsidR="00DC0868">
        <w:t xml:space="preserve"> No significant differences across age, K6 scores, or strata of education, gender, and past use of prescription drugs were found between groups that finished the study and those lose to follow-up.</w:t>
      </w:r>
    </w:p>
    <w:p w14:paraId="7E110335" w14:textId="3482210A" w:rsidR="00A07C7D" w:rsidRDefault="00DC0868" w:rsidP="006D23F3">
      <w:r w:rsidRPr="00483072">
        <w:lastRenderedPageBreak/>
        <w:t xml:space="preserve">Among the 28 </w:t>
      </w:r>
      <w:r>
        <w:t xml:space="preserve">participants who </w:t>
      </w:r>
      <w:r w:rsidRPr="00483072">
        <w:t>reported trying psilocybin at any dose during the first year, 11 tried it again in subsequent follow-up, while 17 were lost to follow-up</w:t>
      </w:r>
      <w:r>
        <w:t xml:space="preserve"> (60.7%)</w:t>
      </w:r>
      <w:r w:rsidRPr="00483072">
        <w:t xml:space="preserve">. </w:t>
      </w:r>
      <w:r>
        <w:t>Participants from the treatment group who were lost to follow-up had lower K6 mean scores at baseline (</w:t>
      </w:r>
      <w:r w:rsidRPr="00DC0868">
        <w:t>14.18</w:t>
      </w:r>
      <w:r>
        <w:t xml:space="preserve"> vs. </w:t>
      </w:r>
      <w:r w:rsidRPr="00DC0868">
        <w:t>9.29</w:t>
      </w:r>
      <w:r>
        <w:t xml:space="preserve">; </w:t>
      </w:r>
      <w:r>
        <w:rPr>
          <w:i/>
          <w:iCs/>
        </w:rPr>
        <w:t>p=</w:t>
      </w:r>
      <w:r w:rsidRPr="00DC0868">
        <w:rPr>
          <w:i/>
          <w:iCs/>
        </w:rPr>
        <w:t xml:space="preserve"> </w:t>
      </w:r>
      <w:r w:rsidRPr="00DC0868">
        <w:t>0.015</w:t>
      </w:r>
      <w:r>
        <w:t xml:space="preserve">) and </w:t>
      </w:r>
      <w:r w:rsidR="009650E6">
        <w:t>W</w:t>
      </w:r>
      <w:r>
        <w:t>ave 2 (</w:t>
      </w:r>
      <w:r w:rsidR="00A07C7D">
        <w:t xml:space="preserve">9.45 vs. 6.06; </w:t>
      </w:r>
      <w:r w:rsidR="00A07C7D">
        <w:rPr>
          <w:i/>
          <w:iCs/>
        </w:rPr>
        <w:t xml:space="preserve">p= </w:t>
      </w:r>
      <w:r w:rsidR="00A07C7D">
        <w:t>0.136</w:t>
      </w:r>
      <w:r>
        <w:t>) and were more likely to identify as women (82.4% vs 27.3%</w:t>
      </w:r>
      <w:r w:rsidR="00A07C7D">
        <w:t xml:space="preserve">; </w:t>
      </w:r>
      <w:r w:rsidR="00A07C7D">
        <w:rPr>
          <w:i/>
          <w:iCs/>
        </w:rPr>
        <w:t xml:space="preserve">p-adj= </w:t>
      </w:r>
      <w:r w:rsidR="00A07C7D">
        <w:t>0.048</w:t>
      </w:r>
      <w:r>
        <w:t xml:space="preserve">) </w:t>
      </w:r>
      <w:r w:rsidR="00A07C7D">
        <w:t xml:space="preserve">than men </w:t>
      </w:r>
      <w:r>
        <w:t xml:space="preserve">compared to those who finished the study. </w:t>
      </w:r>
    </w:p>
    <w:p w14:paraId="5F96FE99" w14:textId="5E79D9D1" w:rsidR="00A07C7D" w:rsidRDefault="00A07C7D" w:rsidP="006D23F3">
      <w:r>
        <w:t>Participants in the intervention and control groups did not significantly differ from each other. All participants characteristics are presented in Table 1.</w:t>
      </w:r>
    </w:p>
    <w:p w14:paraId="03A60F28" w14:textId="77777777" w:rsidR="00A07C7D" w:rsidRDefault="00A07C7D">
      <w:r>
        <w:br w:type="page"/>
      </w:r>
    </w:p>
    <w:p w14:paraId="01561540" w14:textId="3BC15D64" w:rsidR="00A07C7D" w:rsidRDefault="00A07C7D" w:rsidP="006D23F3">
      <w:r>
        <w:lastRenderedPageBreak/>
        <w:t>Table 1. Sociodemographic characteristics and outcome data across waves 1 and 2 for cohort participants.</w:t>
      </w:r>
    </w:p>
    <w:tbl>
      <w:tblPr>
        <w:tblW w:w="5000" w:type="pct"/>
        <w:tblLook w:val="04A0" w:firstRow="1" w:lastRow="0" w:firstColumn="1" w:lastColumn="0" w:noHBand="0" w:noVBand="1"/>
      </w:tblPr>
      <w:tblGrid>
        <w:gridCol w:w="4580"/>
        <w:gridCol w:w="1698"/>
        <w:gridCol w:w="1788"/>
        <w:gridCol w:w="1294"/>
      </w:tblGrid>
      <w:tr w:rsidR="00A07C7D" w:rsidRPr="00A07C7D" w14:paraId="256E5F6D" w14:textId="77777777" w:rsidTr="00A07C7D">
        <w:trPr>
          <w:trHeight w:val="636"/>
        </w:trPr>
        <w:tc>
          <w:tcPr>
            <w:tcW w:w="2447" w:type="pct"/>
            <w:tcBorders>
              <w:top w:val="single" w:sz="4" w:space="0" w:color="auto"/>
              <w:left w:val="nil"/>
              <w:bottom w:val="single" w:sz="4" w:space="0" w:color="auto"/>
              <w:right w:val="nil"/>
            </w:tcBorders>
            <w:noWrap/>
            <w:vAlign w:val="bottom"/>
            <w:hideMark/>
          </w:tcPr>
          <w:p w14:paraId="319550D0" w14:textId="455BD662" w:rsidR="00A07C7D" w:rsidRPr="00A07C7D" w:rsidRDefault="00A07C7D" w:rsidP="00A07C7D">
            <w:pPr>
              <w:spacing w:after="0" w:line="240" w:lineRule="auto"/>
              <w:rPr>
                <w:rFonts w:ascii="Aptos Narrow" w:eastAsia="Times New Roman" w:hAnsi="Aptos Narrow" w:cs="Times New Roman"/>
                <w:b/>
                <w:bCs/>
                <w:color w:val="000000"/>
                <w:kern w:val="0"/>
                <w:sz w:val="22"/>
                <w:szCs w:val="22"/>
                <w:lang w:eastAsia="en-CA"/>
                <w14:ligatures w14:val="none"/>
              </w:rPr>
            </w:pPr>
            <w:r w:rsidRPr="00A07C7D">
              <w:rPr>
                <w:rFonts w:ascii="Aptos Narrow" w:eastAsia="Times New Roman" w:hAnsi="Aptos Narrow" w:cs="Times New Roman"/>
                <w:b/>
                <w:bCs/>
                <w:color w:val="000000"/>
                <w:kern w:val="0"/>
                <w:sz w:val="22"/>
                <w:szCs w:val="22"/>
                <w:lang w:eastAsia="en-CA"/>
                <w14:ligatures w14:val="none"/>
              </w:rPr>
              <w:t> </w:t>
            </w:r>
            <w:r>
              <w:rPr>
                <w:rFonts w:ascii="Aptos Narrow" w:eastAsia="Times New Roman" w:hAnsi="Aptos Narrow" w:cs="Times New Roman"/>
                <w:b/>
                <w:bCs/>
                <w:color w:val="000000"/>
                <w:kern w:val="0"/>
                <w:sz w:val="22"/>
                <w:szCs w:val="22"/>
                <w:lang w:eastAsia="en-CA"/>
                <w14:ligatures w14:val="none"/>
              </w:rPr>
              <w:t>Variable</w:t>
            </w:r>
          </w:p>
        </w:tc>
        <w:tc>
          <w:tcPr>
            <w:tcW w:w="907" w:type="pct"/>
            <w:tcBorders>
              <w:top w:val="single" w:sz="4" w:space="0" w:color="auto"/>
              <w:left w:val="nil"/>
              <w:bottom w:val="single" w:sz="4" w:space="0" w:color="auto"/>
              <w:right w:val="nil"/>
            </w:tcBorders>
            <w:vAlign w:val="bottom"/>
            <w:hideMark/>
          </w:tcPr>
          <w:p w14:paraId="484A15B3" w14:textId="77777777" w:rsidR="00A07C7D" w:rsidRPr="00A07C7D" w:rsidRDefault="00A07C7D" w:rsidP="00A07C7D">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A07C7D">
              <w:rPr>
                <w:rFonts w:ascii="Aptos Narrow" w:eastAsia="Times New Roman" w:hAnsi="Aptos Narrow" w:cs="Times New Roman"/>
                <w:b/>
                <w:bCs/>
                <w:color w:val="000000"/>
                <w:kern w:val="0"/>
                <w:sz w:val="22"/>
                <w:szCs w:val="22"/>
                <w:lang w:eastAsia="en-CA"/>
                <w14:ligatures w14:val="none"/>
              </w:rPr>
              <w:t>Control</w:t>
            </w:r>
            <w:r w:rsidRPr="00A07C7D">
              <w:rPr>
                <w:rFonts w:ascii="Aptos Narrow" w:eastAsia="Times New Roman" w:hAnsi="Aptos Narrow" w:cs="Times New Roman"/>
                <w:b/>
                <w:bCs/>
                <w:color w:val="000000"/>
                <w:kern w:val="0"/>
                <w:sz w:val="22"/>
                <w:szCs w:val="22"/>
                <w:lang w:eastAsia="en-CA"/>
                <w14:ligatures w14:val="none"/>
              </w:rPr>
              <w:br/>
              <w:t>(n=82)</w:t>
            </w:r>
          </w:p>
        </w:tc>
        <w:tc>
          <w:tcPr>
            <w:tcW w:w="955" w:type="pct"/>
            <w:tcBorders>
              <w:top w:val="single" w:sz="4" w:space="0" w:color="auto"/>
              <w:left w:val="nil"/>
              <w:bottom w:val="single" w:sz="4" w:space="0" w:color="auto"/>
              <w:right w:val="nil"/>
            </w:tcBorders>
            <w:vAlign w:val="bottom"/>
            <w:hideMark/>
          </w:tcPr>
          <w:p w14:paraId="5D2F6192" w14:textId="77777777" w:rsidR="00A07C7D" w:rsidRPr="00A07C7D" w:rsidRDefault="00A07C7D" w:rsidP="00A07C7D">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A07C7D">
              <w:rPr>
                <w:rFonts w:ascii="Aptos Narrow" w:eastAsia="Times New Roman" w:hAnsi="Aptos Narrow" w:cs="Times New Roman"/>
                <w:b/>
                <w:bCs/>
                <w:color w:val="000000"/>
                <w:kern w:val="0"/>
                <w:sz w:val="22"/>
                <w:szCs w:val="22"/>
                <w:lang w:eastAsia="en-CA"/>
                <w14:ligatures w14:val="none"/>
              </w:rPr>
              <w:t>Intervention</w:t>
            </w:r>
            <w:r w:rsidRPr="00A07C7D">
              <w:rPr>
                <w:rFonts w:ascii="Aptos Narrow" w:eastAsia="Times New Roman" w:hAnsi="Aptos Narrow" w:cs="Times New Roman"/>
                <w:b/>
                <w:bCs/>
                <w:color w:val="000000"/>
                <w:kern w:val="0"/>
                <w:sz w:val="22"/>
                <w:szCs w:val="22"/>
                <w:lang w:eastAsia="en-CA"/>
                <w14:ligatures w14:val="none"/>
              </w:rPr>
              <w:br/>
              <w:t>(n=28)</w:t>
            </w:r>
          </w:p>
        </w:tc>
        <w:tc>
          <w:tcPr>
            <w:tcW w:w="691" w:type="pct"/>
            <w:tcBorders>
              <w:top w:val="single" w:sz="4" w:space="0" w:color="auto"/>
              <w:left w:val="nil"/>
              <w:bottom w:val="single" w:sz="4" w:space="0" w:color="auto"/>
              <w:right w:val="nil"/>
            </w:tcBorders>
            <w:noWrap/>
            <w:vAlign w:val="bottom"/>
            <w:hideMark/>
          </w:tcPr>
          <w:p w14:paraId="7DBF0D4E" w14:textId="77777777" w:rsidR="00A07C7D" w:rsidRPr="00A07C7D" w:rsidRDefault="00A07C7D" w:rsidP="00A07C7D">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A07C7D">
              <w:rPr>
                <w:rFonts w:ascii="Aptos Narrow" w:eastAsia="Times New Roman" w:hAnsi="Aptos Narrow" w:cs="Times New Roman"/>
                <w:b/>
                <w:bCs/>
                <w:i/>
                <w:iCs/>
                <w:color w:val="000000"/>
                <w:kern w:val="0"/>
                <w:sz w:val="22"/>
                <w:szCs w:val="22"/>
                <w:lang w:eastAsia="en-CA"/>
                <w14:ligatures w14:val="none"/>
              </w:rPr>
              <w:t xml:space="preserve">p </w:t>
            </w:r>
            <w:r w:rsidRPr="00A07C7D">
              <w:rPr>
                <w:rFonts w:ascii="Aptos Narrow" w:eastAsia="Times New Roman" w:hAnsi="Aptos Narrow" w:cs="Times New Roman"/>
                <w:b/>
                <w:bCs/>
                <w:color w:val="000000"/>
                <w:kern w:val="0"/>
                <w:sz w:val="22"/>
                <w:szCs w:val="22"/>
                <w:lang w:eastAsia="en-CA"/>
                <w14:ligatures w14:val="none"/>
              </w:rPr>
              <w:t>value</w:t>
            </w:r>
          </w:p>
        </w:tc>
      </w:tr>
      <w:tr w:rsidR="00A07C7D" w:rsidRPr="00A07C7D" w14:paraId="31F3B965" w14:textId="77777777" w:rsidTr="00A07C7D">
        <w:trPr>
          <w:trHeight w:val="300"/>
        </w:trPr>
        <w:tc>
          <w:tcPr>
            <w:tcW w:w="2447" w:type="pct"/>
            <w:tcBorders>
              <w:top w:val="nil"/>
              <w:left w:val="nil"/>
              <w:bottom w:val="nil"/>
              <w:right w:val="nil"/>
            </w:tcBorders>
            <w:noWrap/>
            <w:vAlign w:val="bottom"/>
            <w:hideMark/>
          </w:tcPr>
          <w:p w14:paraId="164F9644" w14:textId="6C43C2D7"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A</w:t>
            </w:r>
            <w:r w:rsidRPr="00A07C7D">
              <w:rPr>
                <w:rFonts w:ascii="Aptos Narrow" w:eastAsia="Times New Roman" w:hAnsi="Aptos Narrow" w:cs="Times New Roman"/>
                <w:color w:val="000000"/>
                <w:kern w:val="0"/>
                <w:sz w:val="22"/>
                <w:szCs w:val="22"/>
                <w:lang w:eastAsia="en-CA"/>
                <w14:ligatures w14:val="none"/>
              </w:rPr>
              <w:t>ge (mean (SD))</w:t>
            </w:r>
          </w:p>
        </w:tc>
        <w:tc>
          <w:tcPr>
            <w:tcW w:w="907" w:type="pct"/>
            <w:tcBorders>
              <w:top w:val="nil"/>
              <w:left w:val="nil"/>
              <w:bottom w:val="nil"/>
              <w:right w:val="nil"/>
            </w:tcBorders>
            <w:noWrap/>
            <w:vAlign w:val="bottom"/>
            <w:hideMark/>
          </w:tcPr>
          <w:p w14:paraId="064474FD"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36.26 (16.03)</w:t>
            </w:r>
          </w:p>
        </w:tc>
        <w:tc>
          <w:tcPr>
            <w:tcW w:w="955" w:type="pct"/>
            <w:tcBorders>
              <w:top w:val="nil"/>
              <w:left w:val="nil"/>
              <w:bottom w:val="nil"/>
              <w:right w:val="nil"/>
            </w:tcBorders>
            <w:noWrap/>
            <w:vAlign w:val="bottom"/>
            <w:hideMark/>
          </w:tcPr>
          <w:p w14:paraId="0B48CFED"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29.86 (14.71)</w:t>
            </w:r>
          </w:p>
        </w:tc>
        <w:tc>
          <w:tcPr>
            <w:tcW w:w="691" w:type="pct"/>
            <w:tcBorders>
              <w:top w:val="nil"/>
              <w:left w:val="nil"/>
              <w:bottom w:val="nil"/>
              <w:right w:val="nil"/>
            </w:tcBorders>
            <w:noWrap/>
            <w:vAlign w:val="bottom"/>
            <w:hideMark/>
          </w:tcPr>
          <w:p w14:paraId="035D6B8D"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0.065</w:t>
            </w:r>
          </w:p>
        </w:tc>
      </w:tr>
      <w:tr w:rsidR="00A07C7D" w:rsidRPr="00A07C7D" w14:paraId="173D0C81" w14:textId="77777777" w:rsidTr="00A07C7D">
        <w:trPr>
          <w:trHeight w:val="300"/>
        </w:trPr>
        <w:tc>
          <w:tcPr>
            <w:tcW w:w="2447" w:type="pct"/>
            <w:tcBorders>
              <w:top w:val="nil"/>
              <w:left w:val="nil"/>
              <w:bottom w:val="nil"/>
              <w:right w:val="nil"/>
            </w:tcBorders>
            <w:noWrap/>
            <w:vAlign w:val="bottom"/>
            <w:hideMark/>
          </w:tcPr>
          <w:p w14:paraId="6E1C21DE" w14:textId="72FBF835"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E</w:t>
            </w:r>
            <w:r w:rsidRPr="00A07C7D">
              <w:rPr>
                <w:rFonts w:ascii="Aptos Narrow" w:eastAsia="Times New Roman" w:hAnsi="Aptos Narrow" w:cs="Times New Roman"/>
                <w:color w:val="000000"/>
                <w:kern w:val="0"/>
                <w:sz w:val="22"/>
                <w:szCs w:val="22"/>
                <w:lang w:eastAsia="en-CA"/>
                <w14:ligatures w14:val="none"/>
              </w:rPr>
              <w:t>ducation = Less than bachelor (%)</w:t>
            </w:r>
          </w:p>
        </w:tc>
        <w:tc>
          <w:tcPr>
            <w:tcW w:w="907" w:type="pct"/>
            <w:tcBorders>
              <w:top w:val="nil"/>
              <w:left w:val="nil"/>
              <w:bottom w:val="nil"/>
              <w:right w:val="nil"/>
            </w:tcBorders>
            <w:noWrap/>
            <w:vAlign w:val="bottom"/>
            <w:hideMark/>
          </w:tcPr>
          <w:p w14:paraId="484C3B1B"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14 (17.1) </w:t>
            </w:r>
          </w:p>
        </w:tc>
        <w:tc>
          <w:tcPr>
            <w:tcW w:w="955" w:type="pct"/>
            <w:tcBorders>
              <w:top w:val="nil"/>
              <w:left w:val="nil"/>
              <w:bottom w:val="nil"/>
              <w:right w:val="nil"/>
            </w:tcBorders>
            <w:noWrap/>
            <w:vAlign w:val="bottom"/>
            <w:hideMark/>
          </w:tcPr>
          <w:p w14:paraId="2F846595"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6 (21.4) </w:t>
            </w:r>
          </w:p>
        </w:tc>
        <w:tc>
          <w:tcPr>
            <w:tcW w:w="691" w:type="pct"/>
            <w:tcBorders>
              <w:top w:val="nil"/>
              <w:left w:val="nil"/>
              <w:bottom w:val="nil"/>
              <w:right w:val="nil"/>
            </w:tcBorders>
            <w:noWrap/>
            <w:vAlign w:val="bottom"/>
            <w:hideMark/>
          </w:tcPr>
          <w:p w14:paraId="0539D8C1"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0.816</w:t>
            </w:r>
          </w:p>
        </w:tc>
      </w:tr>
      <w:tr w:rsidR="00A07C7D" w:rsidRPr="00A07C7D" w14:paraId="42C101A5" w14:textId="77777777" w:rsidTr="00A07C7D">
        <w:trPr>
          <w:trHeight w:val="300"/>
        </w:trPr>
        <w:tc>
          <w:tcPr>
            <w:tcW w:w="2447" w:type="pct"/>
            <w:tcBorders>
              <w:top w:val="nil"/>
              <w:left w:val="nil"/>
              <w:bottom w:val="nil"/>
              <w:right w:val="nil"/>
            </w:tcBorders>
            <w:noWrap/>
            <w:vAlign w:val="bottom"/>
            <w:hideMark/>
          </w:tcPr>
          <w:p w14:paraId="1C1560AC" w14:textId="77777777"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Past use of prescription drugs (%)</w:t>
            </w:r>
          </w:p>
        </w:tc>
        <w:tc>
          <w:tcPr>
            <w:tcW w:w="907" w:type="pct"/>
            <w:tcBorders>
              <w:top w:val="nil"/>
              <w:left w:val="nil"/>
              <w:bottom w:val="nil"/>
              <w:right w:val="nil"/>
            </w:tcBorders>
            <w:noWrap/>
            <w:vAlign w:val="bottom"/>
            <w:hideMark/>
          </w:tcPr>
          <w:p w14:paraId="7B2A559C"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49 (59.8) </w:t>
            </w:r>
          </w:p>
        </w:tc>
        <w:tc>
          <w:tcPr>
            <w:tcW w:w="955" w:type="pct"/>
            <w:tcBorders>
              <w:top w:val="nil"/>
              <w:left w:val="nil"/>
              <w:bottom w:val="nil"/>
              <w:right w:val="nil"/>
            </w:tcBorders>
            <w:noWrap/>
            <w:vAlign w:val="bottom"/>
            <w:hideMark/>
          </w:tcPr>
          <w:p w14:paraId="22234B8B"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15 (60.0) </w:t>
            </w:r>
          </w:p>
        </w:tc>
        <w:tc>
          <w:tcPr>
            <w:tcW w:w="691" w:type="pct"/>
            <w:tcBorders>
              <w:top w:val="nil"/>
              <w:left w:val="nil"/>
              <w:bottom w:val="nil"/>
              <w:right w:val="nil"/>
            </w:tcBorders>
            <w:noWrap/>
            <w:vAlign w:val="bottom"/>
            <w:hideMark/>
          </w:tcPr>
          <w:p w14:paraId="3F15CF5D"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1</w:t>
            </w:r>
          </w:p>
        </w:tc>
      </w:tr>
      <w:tr w:rsidR="00A07C7D" w:rsidRPr="00A07C7D" w14:paraId="2CC8140C" w14:textId="77777777" w:rsidTr="00A07C7D">
        <w:trPr>
          <w:trHeight w:val="300"/>
        </w:trPr>
        <w:tc>
          <w:tcPr>
            <w:tcW w:w="2447" w:type="pct"/>
            <w:tcBorders>
              <w:top w:val="nil"/>
              <w:left w:val="nil"/>
              <w:bottom w:val="nil"/>
              <w:right w:val="nil"/>
            </w:tcBorders>
            <w:noWrap/>
            <w:vAlign w:val="bottom"/>
            <w:hideMark/>
          </w:tcPr>
          <w:p w14:paraId="0168EF23" w14:textId="60C73DC5"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G</w:t>
            </w:r>
            <w:r w:rsidRPr="00A07C7D">
              <w:rPr>
                <w:rFonts w:ascii="Aptos Narrow" w:eastAsia="Times New Roman" w:hAnsi="Aptos Narrow" w:cs="Times New Roman"/>
                <w:color w:val="000000"/>
                <w:kern w:val="0"/>
                <w:sz w:val="22"/>
                <w:szCs w:val="22"/>
                <w:lang w:eastAsia="en-CA"/>
                <w14:ligatures w14:val="none"/>
              </w:rPr>
              <w:t>ender (%)</w:t>
            </w:r>
          </w:p>
        </w:tc>
        <w:tc>
          <w:tcPr>
            <w:tcW w:w="907" w:type="pct"/>
            <w:tcBorders>
              <w:top w:val="nil"/>
              <w:left w:val="nil"/>
              <w:bottom w:val="nil"/>
              <w:right w:val="nil"/>
            </w:tcBorders>
            <w:noWrap/>
            <w:vAlign w:val="bottom"/>
            <w:hideMark/>
          </w:tcPr>
          <w:p w14:paraId="31AABD2D"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w:t>
            </w:r>
          </w:p>
        </w:tc>
        <w:tc>
          <w:tcPr>
            <w:tcW w:w="955" w:type="pct"/>
            <w:tcBorders>
              <w:top w:val="nil"/>
              <w:left w:val="nil"/>
              <w:bottom w:val="nil"/>
              <w:right w:val="nil"/>
            </w:tcBorders>
            <w:noWrap/>
            <w:vAlign w:val="bottom"/>
            <w:hideMark/>
          </w:tcPr>
          <w:p w14:paraId="7E28284F"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w:t>
            </w:r>
          </w:p>
        </w:tc>
        <w:tc>
          <w:tcPr>
            <w:tcW w:w="691" w:type="pct"/>
            <w:tcBorders>
              <w:top w:val="nil"/>
              <w:left w:val="nil"/>
              <w:bottom w:val="nil"/>
              <w:right w:val="nil"/>
            </w:tcBorders>
            <w:noWrap/>
            <w:vAlign w:val="bottom"/>
            <w:hideMark/>
          </w:tcPr>
          <w:p w14:paraId="659F568C"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0.92</w:t>
            </w:r>
          </w:p>
        </w:tc>
      </w:tr>
      <w:tr w:rsidR="00A07C7D" w:rsidRPr="00A07C7D" w14:paraId="002B6D0A" w14:textId="77777777" w:rsidTr="00A07C7D">
        <w:trPr>
          <w:trHeight w:val="300"/>
        </w:trPr>
        <w:tc>
          <w:tcPr>
            <w:tcW w:w="2447" w:type="pct"/>
            <w:tcBorders>
              <w:top w:val="nil"/>
              <w:left w:val="nil"/>
              <w:bottom w:val="nil"/>
              <w:right w:val="nil"/>
            </w:tcBorders>
            <w:noWrap/>
            <w:vAlign w:val="bottom"/>
            <w:hideMark/>
          </w:tcPr>
          <w:p w14:paraId="12B5EC60" w14:textId="77777777"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Man</w:t>
            </w:r>
          </w:p>
        </w:tc>
        <w:tc>
          <w:tcPr>
            <w:tcW w:w="907" w:type="pct"/>
            <w:tcBorders>
              <w:top w:val="nil"/>
              <w:left w:val="nil"/>
              <w:bottom w:val="nil"/>
              <w:right w:val="nil"/>
            </w:tcBorders>
            <w:noWrap/>
            <w:vAlign w:val="bottom"/>
            <w:hideMark/>
          </w:tcPr>
          <w:p w14:paraId="6839D472"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18 (22.0) </w:t>
            </w:r>
          </w:p>
        </w:tc>
        <w:tc>
          <w:tcPr>
            <w:tcW w:w="955" w:type="pct"/>
            <w:tcBorders>
              <w:top w:val="nil"/>
              <w:left w:val="nil"/>
              <w:bottom w:val="nil"/>
              <w:right w:val="nil"/>
            </w:tcBorders>
            <w:noWrap/>
            <w:vAlign w:val="bottom"/>
            <w:hideMark/>
          </w:tcPr>
          <w:p w14:paraId="0D9814C0"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6 (21.4) </w:t>
            </w:r>
          </w:p>
        </w:tc>
        <w:tc>
          <w:tcPr>
            <w:tcW w:w="691" w:type="pct"/>
            <w:tcBorders>
              <w:top w:val="nil"/>
              <w:left w:val="nil"/>
              <w:bottom w:val="nil"/>
              <w:right w:val="nil"/>
            </w:tcBorders>
            <w:noWrap/>
            <w:vAlign w:val="bottom"/>
            <w:hideMark/>
          </w:tcPr>
          <w:p w14:paraId="1E60BC7B"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p>
        </w:tc>
      </w:tr>
      <w:tr w:rsidR="00A07C7D" w:rsidRPr="00A07C7D" w14:paraId="2A268C60" w14:textId="77777777" w:rsidTr="00A07C7D">
        <w:trPr>
          <w:trHeight w:val="300"/>
        </w:trPr>
        <w:tc>
          <w:tcPr>
            <w:tcW w:w="2447" w:type="pct"/>
            <w:tcBorders>
              <w:top w:val="nil"/>
              <w:left w:val="nil"/>
              <w:bottom w:val="nil"/>
              <w:right w:val="nil"/>
            </w:tcBorders>
            <w:noWrap/>
            <w:vAlign w:val="bottom"/>
            <w:hideMark/>
          </w:tcPr>
          <w:p w14:paraId="1D02CE82" w14:textId="77777777"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Other</w:t>
            </w:r>
          </w:p>
        </w:tc>
        <w:tc>
          <w:tcPr>
            <w:tcW w:w="907" w:type="pct"/>
            <w:tcBorders>
              <w:top w:val="nil"/>
              <w:left w:val="nil"/>
              <w:bottom w:val="nil"/>
              <w:right w:val="nil"/>
            </w:tcBorders>
            <w:noWrap/>
            <w:vAlign w:val="bottom"/>
            <w:hideMark/>
          </w:tcPr>
          <w:p w14:paraId="0FB91BB6"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12 (14.6) </w:t>
            </w:r>
          </w:p>
        </w:tc>
        <w:tc>
          <w:tcPr>
            <w:tcW w:w="955" w:type="pct"/>
            <w:tcBorders>
              <w:top w:val="nil"/>
              <w:left w:val="nil"/>
              <w:bottom w:val="nil"/>
              <w:right w:val="nil"/>
            </w:tcBorders>
            <w:noWrap/>
            <w:vAlign w:val="bottom"/>
            <w:hideMark/>
          </w:tcPr>
          <w:p w14:paraId="4B68C5BF"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5 (17.9) </w:t>
            </w:r>
          </w:p>
        </w:tc>
        <w:tc>
          <w:tcPr>
            <w:tcW w:w="691" w:type="pct"/>
            <w:tcBorders>
              <w:top w:val="nil"/>
              <w:left w:val="nil"/>
              <w:bottom w:val="nil"/>
              <w:right w:val="nil"/>
            </w:tcBorders>
            <w:noWrap/>
            <w:vAlign w:val="bottom"/>
            <w:hideMark/>
          </w:tcPr>
          <w:p w14:paraId="0D7705CF"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p>
        </w:tc>
      </w:tr>
      <w:tr w:rsidR="00A07C7D" w:rsidRPr="00A07C7D" w14:paraId="5F1BDECC" w14:textId="77777777" w:rsidTr="00A07C7D">
        <w:trPr>
          <w:trHeight w:val="300"/>
        </w:trPr>
        <w:tc>
          <w:tcPr>
            <w:tcW w:w="2447" w:type="pct"/>
            <w:tcBorders>
              <w:top w:val="nil"/>
              <w:left w:val="nil"/>
              <w:bottom w:val="nil"/>
              <w:right w:val="nil"/>
            </w:tcBorders>
            <w:noWrap/>
            <w:vAlign w:val="bottom"/>
            <w:hideMark/>
          </w:tcPr>
          <w:p w14:paraId="23E3FEDE" w14:textId="77777777"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Woman</w:t>
            </w:r>
          </w:p>
        </w:tc>
        <w:tc>
          <w:tcPr>
            <w:tcW w:w="907" w:type="pct"/>
            <w:tcBorders>
              <w:top w:val="nil"/>
              <w:left w:val="nil"/>
              <w:bottom w:val="nil"/>
              <w:right w:val="nil"/>
            </w:tcBorders>
            <w:noWrap/>
            <w:vAlign w:val="bottom"/>
            <w:hideMark/>
          </w:tcPr>
          <w:p w14:paraId="7CB542C4"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52 (63.4) </w:t>
            </w:r>
          </w:p>
        </w:tc>
        <w:tc>
          <w:tcPr>
            <w:tcW w:w="955" w:type="pct"/>
            <w:tcBorders>
              <w:top w:val="nil"/>
              <w:left w:val="nil"/>
              <w:bottom w:val="nil"/>
              <w:right w:val="nil"/>
            </w:tcBorders>
            <w:noWrap/>
            <w:vAlign w:val="bottom"/>
            <w:hideMark/>
          </w:tcPr>
          <w:p w14:paraId="50CF5B47"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17 (60.7) </w:t>
            </w:r>
          </w:p>
        </w:tc>
        <w:tc>
          <w:tcPr>
            <w:tcW w:w="691" w:type="pct"/>
            <w:tcBorders>
              <w:top w:val="nil"/>
              <w:left w:val="nil"/>
              <w:bottom w:val="nil"/>
              <w:right w:val="nil"/>
            </w:tcBorders>
            <w:noWrap/>
            <w:vAlign w:val="bottom"/>
            <w:hideMark/>
          </w:tcPr>
          <w:p w14:paraId="3DED9938"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p>
        </w:tc>
      </w:tr>
      <w:tr w:rsidR="00A07C7D" w:rsidRPr="00A07C7D" w14:paraId="28117E04" w14:textId="77777777" w:rsidTr="00A07C7D">
        <w:trPr>
          <w:trHeight w:val="300"/>
        </w:trPr>
        <w:tc>
          <w:tcPr>
            <w:tcW w:w="2447" w:type="pct"/>
            <w:tcBorders>
              <w:top w:val="nil"/>
              <w:left w:val="nil"/>
              <w:bottom w:val="nil"/>
              <w:right w:val="nil"/>
            </w:tcBorders>
            <w:noWrap/>
            <w:vAlign w:val="bottom"/>
            <w:hideMark/>
          </w:tcPr>
          <w:p w14:paraId="4B3F0FB3" w14:textId="77777777"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K6 score at baseline (mean (SD))</w:t>
            </w:r>
          </w:p>
        </w:tc>
        <w:tc>
          <w:tcPr>
            <w:tcW w:w="907" w:type="pct"/>
            <w:tcBorders>
              <w:top w:val="nil"/>
              <w:left w:val="nil"/>
              <w:bottom w:val="nil"/>
              <w:right w:val="nil"/>
            </w:tcBorders>
            <w:noWrap/>
            <w:vAlign w:val="bottom"/>
            <w:hideMark/>
          </w:tcPr>
          <w:p w14:paraId="4D4A2CD4"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10.21 (6.69)</w:t>
            </w:r>
          </w:p>
        </w:tc>
        <w:tc>
          <w:tcPr>
            <w:tcW w:w="955" w:type="pct"/>
            <w:tcBorders>
              <w:top w:val="nil"/>
              <w:left w:val="nil"/>
              <w:bottom w:val="nil"/>
              <w:right w:val="nil"/>
            </w:tcBorders>
            <w:noWrap/>
            <w:vAlign w:val="bottom"/>
            <w:hideMark/>
          </w:tcPr>
          <w:p w14:paraId="31A6A2F3"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11.21 (5.33)</w:t>
            </w:r>
          </w:p>
        </w:tc>
        <w:tc>
          <w:tcPr>
            <w:tcW w:w="691" w:type="pct"/>
            <w:tcBorders>
              <w:top w:val="nil"/>
              <w:left w:val="nil"/>
              <w:bottom w:val="nil"/>
              <w:right w:val="nil"/>
            </w:tcBorders>
            <w:noWrap/>
            <w:vAlign w:val="bottom"/>
            <w:hideMark/>
          </w:tcPr>
          <w:p w14:paraId="60C60743"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0.472</w:t>
            </w:r>
          </w:p>
        </w:tc>
      </w:tr>
      <w:tr w:rsidR="00A07C7D" w:rsidRPr="00A07C7D" w14:paraId="01816A12" w14:textId="77777777" w:rsidTr="00A07C7D">
        <w:trPr>
          <w:trHeight w:val="300"/>
        </w:trPr>
        <w:tc>
          <w:tcPr>
            <w:tcW w:w="2447" w:type="pct"/>
            <w:tcBorders>
              <w:top w:val="nil"/>
              <w:left w:val="nil"/>
              <w:bottom w:val="single" w:sz="4" w:space="0" w:color="auto"/>
              <w:right w:val="nil"/>
            </w:tcBorders>
            <w:noWrap/>
            <w:vAlign w:val="bottom"/>
            <w:hideMark/>
          </w:tcPr>
          <w:p w14:paraId="421C2FC7" w14:textId="77777777" w:rsidR="00A07C7D" w:rsidRPr="00A07C7D" w:rsidRDefault="00A07C7D" w:rsidP="00A07C7D">
            <w:pPr>
              <w:spacing w:after="0" w:line="240" w:lineRule="auto"/>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K6 score at follow-up (mean (SD))</w:t>
            </w:r>
          </w:p>
        </w:tc>
        <w:tc>
          <w:tcPr>
            <w:tcW w:w="907" w:type="pct"/>
            <w:tcBorders>
              <w:top w:val="nil"/>
              <w:left w:val="nil"/>
              <w:bottom w:val="single" w:sz="4" w:space="0" w:color="auto"/>
              <w:right w:val="nil"/>
            </w:tcBorders>
            <w:noWrap/>
            <w:vAlign w:val="bottom"/>
            <w:hideMark/>
          </w:tcPr>
          <w:p w14:paraId="4E61B457"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9.38 (6.15)</w:t>
            </w:r>
          </w:p>
        </w:tc>
        <w:tc>
          <w:tcPr>
            <w:tcW w:w="955" w:type="pct"/>
            <w:tcBorders>
              <w:top w:val="nil"/>
              <w:left w:val="nil"/>
              <w:bottom w:val="single" w:sz="4" w:space="0" w:color="auto"/>
              <w:right w:val="nil"/>
            </w:tcBorders>
            <w:noWrap/>
            <w:vAlign w:val="bottom"/>
            <w:hideMark/>
          </w:tcPr>
          <w:p w14:paraId="15505FA6"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 xml:space="preserve"> 7.39 (5.84)</w:t>
            </w:r>
          </w:p>
        </w:tc>
        <w:tc>
          <w:tcPr>
            <w:tcW w:w="691" w:type="pct"/>
            <w:tcBorders>
              <w:top w:val="nil"/>
              <w:left w:val="nil"/>
              <w:bottom w:val="single" w:sz="4" w:space="0" w:color="auto"/>
              <w:right w:val="nil"/>
            </w:tcBorders>
            <w:noWrap/>
            <w:vAlign w:val="bottom"/>
            <w:hideMark/>
          </w:tcPr>
          <w:p w14:paraId="47722850" w14:textId="77777777" w:rsidR="00A07C7D" w:rsidRPr="00A07C7D" w:rsidRDefault="00A07C7D" w:rsidP="00A07C7D">
            <w:pPr>
              <w:spacing w:after="0" w:line="240" w:lineRule="auto"/>
              <w:jc w:val="center"/>
              <w:rPr>
                <w:rFonts w:ascii="Aptos Narrow" w:eastAsia="Times New Roman" w:hAnsi="Aptos Narrow" w:cs="Times New Roman"/>
                <w:color w:val="000000"/>
                <w:kern w:val="0"/>
                <w:sz w:val="22"/>
                <w:szCs w:val="22"/>
                <w:lang w:eastAsia="en-CA"/>
                <w14:ligatures w14:val="none"/>
              </w:rPr>
            </w:pPr>
            <w:r w:rsidRPr="00A07C7D">
              <w:rPr>
                <w:rFonts w:ascii="Aptos Narrow" w:eastAsia="Times New Roman" w:hAnsi="Aptos Narrow" w:cs="Times New Roman"/>
                <w:color w:val="000000"/>
                <w:kern w:val="0"/>
                <w:sz w:val="22"/>
                <w:szCs w:val="22"/>
                <w:lang w:eastAsia="en-CA"/>
                <w14:ligatures w14:val="none"/>
              </w:rPr>
              <w:t>0.138</w:t>
            </w:r>
          </w:p>
        </w:tc>
      </w:tr>
    </w:tbl>
    <w:p w14:paraId="57C79213" w14:textId="574BE0CD" w:rsidR="00A07C7D" w:rsidRDefault="00A07C7D" w:rsidP="00AC7781">
      <w:pPr>
        <w:spacing w:after="0" w:line="240" w:lineRule="auto"/>
        <w:rPr>
          <w:rFonts w:ascii="Aptos Narrow" w:eastAsia="Times New Roman" w:hAnsi="Aptos Narrow" w:cs="Times New Roman"/>
          <w:color w:val="000000"/>
          <w:kern w:val="0"/>
          <w:sz w:val="22"/>
          <w:szCs w:val="22"/>
          <w:lang w:eastAsia="en-CA"/>
          <w14:ligatures w14:val="none"/>
        </w:rPr>
      </w:pPr>
      <w:r w:rsidRPr="00AC7781">
        <w:rPr>
          <w:rFonts w:ascii="Aptos Narrow" w:eastAsia="Times New Roman" w:hAnsi="Aptos Narrow" w:cs="Times New Roman"/>
          <w:color w:val="000000"/>
          <w:kern w:val="0"/>
          <w:sz w:val="22"/>
          <w:szCs w:val="22"/>
          <w:lang w:eastAsia="en-CA"/>
          <w14:ligatures w14:val="none"/>
        </w:rPr>
        <w:t>SD=Standard deviation</w:t>
      </w:r>
      <w:r w:rsidR="00AC7781" w:rsidRPr="00AC7781">
        <w:rPr>
          <w:rFonts w:ascii="Aptos Narrow" w:eastAsia="Times New Roman" w:hAnsi="Aptos Narrow" w:cs="Times New Roman"/>
          <w:color w:val="000000"/>
          <w:kern w:val="0"/>
          <w:sz w:val="22"/>
          <w:szCs w:val="22"/>
          <w:lang w:eastAsia="en-CA"/>
          <w14:ligatures w14:val="none"/>
        </w:rPr>
        <w:t>;</w:t>
      </w:r>
      <w:r w:rsidRPr="00AC7781">
        <w:rPr>
          <w:rFonts w:ascii="Aptos Narrow" w:eastAsia="Times New Roman" w:hAnsi="Aptos Narrow" w:cs="Times New Roman"/>
          <w:color w:val="000000"/>
          <w:kern w:val="0"/>
          <w:sz w:val="22"/>
          <w:szCs w:val="22"/>
          <w:lang w:eastAsia="en-CA"/>
          <w14:ligatures w14:val="none"/>
        </w:rPr>
        <w:t xml:space="preserve"> </w:t>
      </w:r>
      <w:r w:rsidR="00AC7781" w:rsidRPr="00AC7781">
        <w:rPr>
          <w:rFonts w:ascii="Aptos Narrow" w:eastAsia="Times New Roman" w:hAnsi="Aptos Narrow" w:cs="Times New Roman"/>
          <w:color w:val="000000"/>
          <w:kern w:val="0"/>
          <w:sz w:val="22"/>
          <w:szCs w:val="22"/>
          <w:lang w:eastAsia="en-CA"/>
          <w14:ligatures w14:val="none"/>
        </w:rPr>
        <w:t xml:space="preserve">p </w:t>
      </w:r>
      <w:r w:rsidRPr="00AC7781">
        <w:rPr>
          <w:rFonts w:ascii="Aptos Narrow" w:eastAsia="Times New Roman" w:hAnsi="Aptos Narrow" w:cs="Times New Roman"/>
          <w:color w:val="000000"/>
          <w:kern w:val="0"/>
          <w:sz w:val="22"/>
          <w:szCs w:val="22"/>
          <w:lang w:eastAsia="en-CA"/>
          <w14:ligatures w14:val="none"/>
        </w:rPr>
        <w:t xml:space="preserve">values derive from chi-square test for categorical variables and t-tests for numeric </w:t>
      </w:r>
      <w:r w:rsidR="00AC7781" w:rsidRPr="00AC7781">
        <w:rPr>
          <w:rFonts w:ascii="Aptos Narrow" w:eastAsia="Times New Roman" w:hAnsi="Aptos Narrow" w:cs="Times New Roman"/>
          <w:color w:val="000000"/>
          <w:kern w:val="0"/>
          <w:sz w:val="22"/>
          <w:szCs w:val="22"/>
          <w:lang w:eastAsia="en-CA"/>
          <w14:ligatures w14:val="none"/>
        </w:rPr>
        <w:t>variables</w:t>
      </w:r>
      <w:r w:rsidRPr="00AC7781">
        <w:rPr>
          <w:rFonts w:ascii="Aptos Narrow" w:eastAsia="Times New Roman" w:hAnsi="Aptos Narrow" w:cs="Times New Roman"/>
          <w:color w:val="000000"/>
          <w:kern w:val="0"/>
          <w:sz w:val="22"/>
          <w:szCs w:val="22"/>
          <w:lang w:eastAsia="en-CA"/>
          <w14:ligatures w14:val="none"/>
        </w:rPr>
        <w:t>.</w:t>
      </w:r>
    </w:p>
    <w:p w14:paraId="6A77851E" w14:textId="77777777" w:rsidR="00AC7781" w:rsidRDefault="00AC7781" w:rsidP="00AC7781">
      <w:pPr>
        <w:spacing w:after="0" w:line="240" w:lineRule="auto"/>
        <w:rPr>
          <w:rFonts w:ascii="Aptos Narrow" w:eastAsia="Times New Roman" w:hAnsi="Aptos Narrow" w:cs="Times New Roman"/>
          <w:color w:val="000000"/>
          <w:kern w:val="0"/>
          <w:sz w:val="22"/>
          <w:szCs w:val="22"/>
          <w:lang w:eastAsia="en-CA"/>
          <w14:ligatures w14:val="none"/>
        </w:rPr>
      </w:pPr>
    </w:p>
    <w:p w14:paraId="1B7747FE" w14:textId="6E3BA636" w:rsidR="00076819" w:rsidRPr="00574F20" w:rsidRDefault="00AC7781" w:rsidP="00076819">
      <w:pPr>
        <w:spacing w:after="0" w:line="240" w:lineRule="auto"/>
        <w:rPr>
          <w:rFonts w:ascii="Aptos Narrow" w:eastAsia="Times New Roman" w:hAnsi="Aptos Narrow" w:cs="Times New Roman"/>
          <w:color w:val="000000"/>
          <w:kern w:val="0"/>
          <w:sz w:val="22"/>
          <w:szCs w:val="22"/>
          <w:lang w:eastAsia="en-CA"/>
          <w14:ligatures w14:val="none"/>
        </w:rPr>
      </w:pPr>
      <w:r>
        <w:t>T</w:t>
      </w:r>
      <w:r w:rsidRPr="00AC7781">
        <w:t xml:space="preserve">he number of doses </w:t>
      </w:r>
      <w:r>
        <w:t xml:space="preserve">for year one </w:t>
      </w:r>
      <w:r w:rsidRPr="00AC7781">
        <w:t>ranged from 1 to 30, with a median of 4 doses and a mean of 6.2 doses. The distribution was positively skewed</w:t>
      </w:r>
      <w:r>
        <w:t xml:space="preserve"> (4.8)</w:t>
      </w:r>
      <w:r w:rsidRPr="00AC7781">
        <w:t>, indicating that a few participants used psilocybin much more frequently than most.</w:t>
      </w:r>
      <w:r>
        <w:t xml:space="preserve"> These patterns persisted during </w:t>
      </w:r>
      <w:r w:rsidR="009650E6">
        <w:t>W</w:t>
      </w:r>
      <w:r>
        <w:t xml:space="preserve">ave </w:t>
      </w:r>
      <w:r w:rsidR="009650E6">
        <w:t>3</w:t>
      </w:r>
      <w:r>
        <w:t>, with a median of 4 doses, a mean of 6.7 doses, and a positively skewed (2.6) distribution.</w:t>
      </w:r>
    </w:p>
    <w:p w14:paraId="66840240" w14:textId="3EC76ED4" w:rsidR="00BF6E1F" w:rsidRDefault="00BF6E1F" w:rsidP="00BF6E1F">
      <w:pPr>
        <w:pStyle w:val="Heading2"/>
      </w:pPr>
      <w:r>
        <w:t xml:space="preserve">Main </w:t>
      </w:r>
      <w:r w:rsidR="00483072">
        <w:t>effect</w:t>
      </w:r>
    </w:p>
    <w:p w14:paraId="3EBB3A8F" w14:textId="4C3872F4" w:rsidR="00376CEF" w:rsidRDefault="00BC19F0" w:rsidP="00692AFA">
      <w:r>
        <w:t xml:space="preserve">According to the LDV model, the follow-up K6 score increased by </w:t>
      </w:r>
      <w:r w:rsidRPr="00BC19F0">
        <w:t>0.61</w:t>
      </w:r>
      <w:r>
        <w:t xml:space="preserve"> points (95% CI: </w:t>
      </w:r>
      <w:r w:rsidRPr="00BC19F0">
        <w:t xml:space="preserve">0.47 </w:t>
      </w:r>
      <w:r>
        <w:t>to</w:t>
      </w:r>
      <w:r w:rsidRPr="00BC19F0">
        <w:t xml:space="preserve"> 0.75</w:t>
      </w:r>
      <w:r>
        <w:t>) by each unit of increase in the baseline K6 score</w:t>
      </w:r>
      <w:r w:rsidR="00692AFA">
        <w:t>, before adjusting for sociodemographic variables</w:t>
      </w:r>
      <w:r>
        <w:t xml:space="preserve">. </w:t>
      </w:r>
      <w:r w:rsidR="00692AFA">
        <w:t>T</w:t>
      </w:r>
      <w:r w:rsidR="008E29F5">
        <w:t xml:space="preserve">he use of psilocybin reduce the K6 score by </w:t>
      </w:r>
      <w:r w:rsidR="008E29F5" w:rsidRPr="008E29F5">
        <w:t>-2.60</w:t>
      </w:r>
      <w:r w:rsidR="008E29F5">
        <w:t xml:space="preserve"> (95% CI: </w:t>
      </w:r>
      <w:r w:rsidR="008E29F5" w:rsidRPr="008E29F5">
        <w:t xml:space="preserve">-4.63 </w:t>
      </w:r>
      <w:r w:rsidR="008E29F5">
        <w:t>to</w:t>
      </w:r>
      <w:r w:rsidR="008E29F5" w:rsidRPr="008E29F5">
        <w:t xml:space="preserve"> -0.57</w:t>
      </w:r>
      <w:r w:rsidR="008E29F5">
        <w:t xml:space="preserve">; </w:t>
      </w:r>
      <w:r w:rsidR="008E29F5" w:rsidRPr="008E29F5">
        <w:t>R</w:t>
      </w:r>
      <w:r w:rsidR="008E29F5" w:rsidRPr="008E29F5">
        <w:rPr>
          <w:vertAlign w:val="superscript"/>
        </w:rPr>
        <w:t>2</w:t>
      </w:r>
      <w:r w:rsidR="008E29F5">
        <w:t xml:space="preserve"> = </w:t>
      </w:r>
      <w:r w:rsidR="008E29F5" w:rsidRPr="008E29F5">
        <w:t>0.427</w:t>
      </w:r>
      <w:r w:rsidR="008E29F5">
        <w:t xml:space="preserve">; </w:t>
      </w:r>
      <w:r w:rsidR="008E29F5" w:rsidRPr="008E29F5">
        <w:t>R</w:t>
      </w:r>
      <w:r w:rsidR="008E29F5" w:rsidRPr="008E29F5">
        <w:rPr>
          <w:vertAlign w:val="superscript"/>
        </w:rPr>
        <w:t>2</w:t>
      </w:r>
      <w:r w:rsidR="008E29F5" w:rsidRPr="008E29F5">
        <w:t xml:space="preserve"> adjusted</w:t>
      </w:r>
      <w:r w:rsidR="008E29F5">
        <w:t xml:space="preserve"> = </w:t>
      </w:r>
      <w:r w:rsidR="008E29F5" w:rsidRPr="008E29F5">
        <w:t>0.416</w:t>
      </w:r>
      <w:r w:rsidR="008E29F5">
        <w:t>)</w:t>
      </w:r>
      <w:r w:rsidR="00692AFA">
        <w:t xml:space="preserve"> in the same model</w:t>
      </w:r>
      <w:r w:rsidR="008E29F5">
        <w:t>. The</w:t>
      </w:r>
      <w:r w:rsidR="00692AFA">
        <w:t xml:space="preserve"> LDV</w:t>
      </w:r>
      <w:r w:rsidR="008E29F5">
        <w:t xml:space="preserve"> estimate did not significantly change after adjust</w:t>
      </w:r>
      <w:r w:rsidR="00692AFA">
        <w:t>ing for sociodemographic variables</w:t>
      </w:r>
      <w:r w:rsidR="008E29F5">
        <w:t xml:space="preserve"> (Table 2). </w:t>
      </w:r>
      <w:r w:rsidR="000036C8" w:rsidRPr="000036C8">
        <w:t>Inspection of residuals versus fitted values indicated no obvious deviations from homoscedasticity or nonlinearity, suggesting that model assumptions were reasonably met</w:t>
      </w:r>
      <w:r w:rsidR="000036C8">
        <w:t xml:space="preserve"> (Supplementary Figure S1)</w:t>
      </w:r>
      <w:r w:rsidR="000036C8" w:rsidRPr="000036C8">
        <w:t>.</w:t>
      </w:r>
    </w:p>
    <w:p w14:paraId="011C3837" w14:textId="77777777" w:rsidR="009650E6" w:rsidRDefault="00376CEF">
      <w:r>
        <w:t>Only 2 participants had extreme weights before trimming. The IPTW produced balanced groups in terms of age, gender, education, and baseline K6 score (SMD=0.03 in all cases).</w:t>
      </w:r>
      <w:r w:rsidR="007D5289">
        <w:t xml:space="preserve"> </w:t>
      </w:r>
      <w:r w:rsidR="007D5289" w:rsidRPr="007D5289">
        <w:t>Propensity score distributions for the treatment and control groups showed adequate overlap, indicating sufficient common support for estimating treatment effects (</w:t>
      </w:r>
      <w:r w:rsidR="007D5289">
        <w:t xml:space="preserve">Supplementary </w:t>
      </w:r>
      <w:r w:rsidR="007D5289" w:rsidRPr="007D5289">
        <w:t xml:space="preserve">Figure </w:t>
      </w:r>
      <w:r w:rsidR="007D5289">
        <w:t>S</w:t>
      </w:r>
      <w:r w:rsidR="000036C8">
        <w:t>2</w:t>
      </w:r>
      <w:r w:rsidR="007D5289" w:rsidRPr="007D5289">
        <w:t>)</w:t>
      </w:r>
      <w:r w:rsidR="007D5289">
        <w:t>.</w:t>
      </w:r>
      <w:r>
        <w:t xml:space="preserve"> </w:t>
      </w:r>
      <w:r w:rsidR="008E29F5">
        <w:t xml:space="preserve">The IPTW model estimated a score reduction of </w:t>
      </w:r>
      <w:r w:rsidR="008E29F5" w:rsidRPr="008E29F5">
        <w:t>-2.58</w:t>
      </w:r>
      <w:r w:rsidR="008E29F5">
        <w:t xml:space="preserve"> (95% CI: </w:t>
      </w:r>
      <w:r w:rsidR="008E29F5" w:rsidRPr="008E29F5">
        <w:t xml:space="preserve">-5.07 </w:t>
      </w:r>
      <w:r w:rsidR="008E29F5">
        <w:t>to</w:t>
      </w:r>
      <w:r w:rsidR="008E29F5" w:rsidRPr="008E29F5">
        <w:t xml:space="preserve"> -0.08</w:t>
      </w:r>
      <w:r w:rsidR="008E29F5">
        <w:t xml:space="preserve">; </w:t>
      </w:r>
      <w:r w:rsidR="008E29F5" w:rsidRPr="008E29F5">
        <w:t>R</w:t>
      </w:r>
      <w:r w:rsidR="008E29F5" w:rsidRPr="008E29F5">
        <w:rPr>
          <w:vertAlign w:val="superscript"/>
        </w:rPr>
        <w:t>2</w:t>
      </w:r>
      <w:r w:rsidR="008E29F5" w:rsidRPr="008E29F5">
        <w:t xml:space="preserve"> </w:t>
      </w:r>
      <w:r w:rsidR="008E29F5">
        <w:t xml:space="preserve">= 0.05; </w:t>
      </w:r>
      <w:r w:rsidR="008E29F5" w:rsidRPr="008E29F5">
        <w:t>R</w:t>
      </w:r>
      <w:r w:rsidR="008E29F5" w:rsidRPr="008E29F5">
        <w:rPr>
          <w:vertAlign w:val="superscript"/>
        </w:rPr>
        <w:t>2</w:t>
      </w:r>
      <w:r w:rsidR="008E29F5" w:rsidRPr="008E29F5">
        <w:t xml:space="preserve"> adjusted</w:t>
      </w:r>
      <w:r w:rsidR="008E29F5">
        <w:t xml:space="preserve"> = </w:t>
      </w:r>
      <w:r w:rsidR="008E29F5" w:rsidRPr="008E29F5">
        <w:t>0.</w:t>
      </w:r>
      <w:r w:rsidR="008E29F5">
        <w:t xml:space="preserve">04) before adjusting for sociodemographic variables and baseline score.  </w:t>
      </w:r>
      <w:r w:rsidR="00692AFA">
        <w:t>Once more</w:t>
      </w:r>
      <w:r w:rsidR="008E29F5">
        <w:t>, the model did not significantly change after adjustment for sociodemographic variables (Table 2).</w:t>
      </w:r>
      <w:r>
        <w:t xml:space="preserve"> </w:t>
      </w:r>
    </w:p>
    <w:p w14:paraId="733F2090" w14:textId="4BDB58FE" w:rsidR="008E29F5" w:rsidRDefault="009650E6">
      <w:r>
        <w:lastRenderedPageBreak/>
        <w:t>Finally, t</w:t>
      </w:r>
      <w:r w:rsidR="00692AFA">
        <w:t xml:space="preserve">he within-subject score change attributable to treatment between waves was estimated at </w:t>
      </w:r>
      <w:r w:rsidR="00692AFA" w:rsidRPr="00692AFA">
        <w:t>-3.82</w:t>
      </w:r>
      <w:r w:rsidR="00692AFA">
        <w:t xml:space="preserve"> (95%</w:t>
      </w:r>
      <w:r w:rsidR="002F1A27">
        <w:t xml:space="preserve"> CI: </w:t>
      </w:r>
      <w:r w:rsidR="00692AFA" w:rsidRPr="00692AFA">
        <w:t xml:space="preserve">-5.80 </w:t>
      </w:r>
      <w:r w:rsidR="002F1A27">
        <w:t>to</w:t>
      </w:r>
      <w:r w:rsidR="00692AFA" w:rsidRPr="00692AFA">
        <w:t xml:space="preserve"> -1.84</w:t>
      </w:r>
      <w:r w:rsidR="002F1A27">
        <w:t xml:space="preserve">) by the fixed-effects model (within </w:t>
      </w:r>
      <w:r w:rsidR="002F1A27" w:rsidRPr="008E29F5">
        <w:t>R</w:t>
      </w:r>
      <w:r w:rsidR="002F1A27" w:rsidRPr="008E29F5">
        <w:rPr>
          <w:vertAlign w:val="superscript"/>
        </w:rPr>
        <w:t>2</w:t>
      </w:r>
      <w:r w:rsidR="002F1A27" w:rsidRPr="008E29F5">
        <w:t xml:space="preserve"> </w:t>
      </w:r>
      <w:r w:rsidR="002F1A27">
        <w:t>= 0.12).</w:t>
      </w:r>
      <w:r>
        <w:t xml:space="preserve"> </w:t>
      </w:r>
    </w:p>
    <w:p w14:paraId="029DD0C9" w14:textId="357540CF" w:rsidR="008E29F5" w:rsidRDefault="00076819" w:rsidP="002F1A27">
      <w:r>
        <w:t>Table 2</w:t>
      </w:r>
      <w:r w:rsidR="008E29F5">
        <w:t>. Coefficients for</w:t>
      </w:r>
      <w:r w:rsidR="002F1A27">
        <w:t xml:space="preserve"> the Lagged Dependent Variable (LDV) and Inverse Probability of Treatment Weighted (IPTW) </w:t>
      </w:r>
      <w:r w:rsidR="008E29F5">
        <w:t>models</w:t>
      </w:r>
      <w:r>
        <w:t>.</w:t>
      </w:r>
    </w:p>
    <w:tbl>
      <w:tblPr>
        <w:tblW w:w="4694" w:type="pct"/>
        <w:tblCellMar>
          <w:top w:w="15" w:type="dxa"/>
          <w:left w:w="15" w:type="dxa"/>
          <w:bottom w:w="15" w:type="dxa"/>
          <w:right w:w="15" w:type="dxa"/>
        </w:tblCellMar>
        <w:tblLook w:val="04A0" w:firstRow="1" w:lastRow="0" w:firstColumn="1" w:lastColumn="0" w:noHBand="0" w:noVBand="1"/>
      </w:tblPr>
      <w:tblGrid>
        <w:gridCol w:w="2409"/>
        <w:gridCol w:w="1274"/>
        <w:gridCol w:w="1914"/>
        <w:gridCol w:w="1206"/>
        <w:gridCol w:w="1984"/>
      </w:tblGrid>
      <w:tr w:rsidR="00FC29CB" w14:paraId="6CF90004" w14:textId="77777777" w:rsidTr="007D5289">
        <w:tc>
          <w:tcPr>
            <w:tcW w:w="1371" w:type="pct"/>
            <w:tcBorders>
              <w:top w:val="single" w:sz="4" w:space="0" w:color="auto"/>
              <w:bottom w:val="single" w:sz="6" w:space="0" w:color="auto"/>
            </w:tcBorders>
            <w:vAlign w:val="center"/>
            <w:hideMark/>
          </w:tcPr>
          <w:p w14:paraId="572BBD82" w14:textId="1F40CB87" w:rsidR="00FC29CB" w:rsidRPr="007D5289" w:rsidRDefault="007D5289" w:rsidP="007D5289">
            <w:pPr>
              <w:spacing w:after="0" w:line="240" w:lineRule="auto"/>
              <w:rPr>
                <w:rFonts w:ascii="Aptos Narrow" w:eastAsia="Times New Roman" w:hAnsi="Aptos Narrow" w:cs="Times New Roman"/>
                <w:b/>
                <w:bCs/>
                <w:color w:val="000000"/>
                <w:kern w:val="0"/>
                <w:sz w:val="22"/>
                <w:szCs w:val="22"/>
                <w:lang w:eastAsia="en-CA"/>
                <w14:ligatures w14:val="none"/>
              </w:rPr>
            </w:pPr>
            <w:r>
              <w:rPr>
                <w:rFonts w:ascii="Aptos Narrow" w:eastAsia="Times New Roman" w:hAnsi="Aptos Narrow" w:cs="Times New Roman"/>
                <w:b/>
                <w:bCs/>
                <w:color w:val="000000"/>
                <w:kern w:val="0"/>
                <w:sz w:val="22"/>
                <w:szCs w:val="22"/>
                <w:lang w:eastAsia="en-CA"/>
                <w14:ligatures w14:val="none"/>
              </w:rPr>
              <w:t>Variable</w:t>
            </w:r>
          </w:p>
        </w:tc>
        <w:tc>
          <w:tcPr>
            <w:tcW w:w="725" w:type="pct"/>
            <w:tcBorders>
              <w:top w:val="single" w:sz="4" w:space="0" w:color="auto"/>
              <w:bottom w:val="single" w:sz="6" w:space="0" w:color="auto"/>
            </w:tcBorders>
            <w:vAlign w:val="center"/>
            <w:hideMark/>
          </w:tcPr>
          <w:p w14:paraId="441206C2" w14:textId="378D45DA" w:rsidR="00FC29CB" w:rsidRPr="007D5289" w:rsidRDefault="007D5289" w:rsidP="007D5289">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7D5289">
              <w:rPr>
                <w:rFonts w:ascii="Aptos Narrow" w:eastAsia="Times New Roman" w:hAnsi="Aptos Narrow" w:cs="Times New Roman"/>
                <w:b/>
                <w:bCs/>
                <w:color w:val="000000"/>
                <w:kern w:val="0"/>
                <w:sz w:val="22"/>
                <w:szCs w:val="22"/>
                <w:lang w:eastAsia="en-CA"/>
                <w14:ligatures w14:val="none"/>
              </w:rPr>
              <w:t>LVD model e</w:t>
            </w:r>
            <w:r w:rsidR="00FC29CB" w:rsidRPr="007D5289">
              <w:rPr>
                <w:rFonts w:ascii="Aptos Narrow" w:eastAsia="Times New Roman" w:hAnsi="Aptos Narrow" w:cs="Times New Roman"/>
                <w:b/>
                <w:bCs/>
                <w:color w:val="000000"/>
                <w:kern w:val="0"/>
                <w:sz w:val="22"/>
                <w:szCs w:val="22"/>
                <w:lang w:eastAsia="en-CA"/>
                <w14:ligatures w14:val="none"/>
              </w:rPr>
              <w:t>stimates</w:t>
            </w:r>
          </w:p>
        </w:tc>
        <w:tc>
          <w:tcPr>
            <w:tcW w:w="1089" w:type="pct"/>
            <w:tcBorders>
              <w:top w:val="single" w:sz="4" w:space="0" w:color="auto"/>
              <w:bottom w:val="single" w:sz="6" w:space="0" w:color="auto"/>
            </w:tcBorders>
            <w:vAlign w:val="center"/>
            <w:hideMark/>
          </w:tcPr>
          <w:p w14:paraId="029A14DA" w14:textId="70853EC4" w:rsidR="00FC29CB" w:rsidRPr="007D5289" w:rsidRDefault="00FC29CB" w:rsidP="007D5289">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7D5289">
              <w:rPr>
                <w:rFonts w:ascii="Aptos Narrow" w:eastAsia="Times New Roman" w:hAnsi="Aptos Narrow" w:cs="Times New Roman"/>
                <w:b/>
                <w:bCs/>
                <w:color w:val="000000"/>
                <w:kern w:val="0"/>
                <w:sz w:val="22"/>
                <w:szCs w:val="22"/>
                <w:lang w:eastAsia="en-CA"/>
                <w14:ligatures w14:val="none"/>
              </w:rPr>
              <w:t xml:space="preserve">95% Conf. </w:t>
            </w:r>
            <w:r w:rsidR="00C4027C">
              <w:rPr>
                <w:rFonts w:ascii="Aptos Narrow" w:eastAsia="Times New Roman" w:hAnsi="Aptos Narrow" w:cs="Times New Roman"/>
                <w:b/>
                <w:bCs/>
                <w:color w:val="000000"/>
                <w:kern w:val="0"/>
                <w:sz w:val="22"/>
                <w:szCs w:val="22"/>
                <w:lang w:eastAsia="en-CA"/>
                <w14:ligatures w14:val="none"/>
              </w:rPr>
              <w:br/>
            </w:r>
            <w:r w:rsidRPr="007D5289">
              <w:rPr>
                <w:rFonts w:ascii="Aptos Narrow" w:eastAsia="Times New Roman" w:hAnsi="Aptos Narrow" w:cs="Times New Roman"/>
                <w:b/>
                <w:bCs/>
                <w:color w:val="000000"/>
                <w:kern w:val="0"/>
                <w:sz w:val="22"/>
                <w:szCs w:val="22"/>
                <w:lang w:eastAsia="en-CA"/>
                <w14:ligatures w14:val="none"/>
              </w:rPr>
              <w:t>Intervals</w:t>
            </w:r>
          </w:p>
        </w:tc>
        <w:tc>
          <w:tcPr>
            <w:tcW w:w="686" w:type="pct"/>
            <w:tcBorders>
              <w:top w:val="single" w:sz="4" w:space="0" w:color="auto"/>
              <w:bottom w:val="single" w:sz="6" w:space="0" w:color="auto"/>
            </w:tcBorders>
            <w:vAlign w:val="center"/>
            <w:hideMark/>
          </w:tcPr>
          <w:p w14:paraId="6B9BD174" w14:textId="3DAE32B0" w:rsidR="00FC29CB" w:rsidRPr="007D5289" w:rsidRDefault="007D5289" w:rsidP="007D5289">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7D5289">
              <w:rPr>
                <w:rFonts w:ascii="Aptos Narrow" w:eastAsia="Times New Roman" w:hAnsi="Aptos Narrow" w:cs="Times New Roman"/>
                <w:b/>
                <w:bCs/>
                <w:color w:val="000000"/>
                <w:kern w:val="0"/>
                <w:sz w:val="22"/>
                <w:szCs w:val="22"/>
                <w:lang w:eastAsia="en-CA"/>
                <w14:ligatures w14:val="none"/>
              </w:rPr>
              <w:t xml:space="preserve">IPTW model </w:t>
            </w:r>
            <w:r w:rsidR="00FC29CB" w:rsidRPr="007D5289">
              <w:rPr>
                <w:rFonts w:ascii="Aptos Narrow" w:eastAsia="Times New Roman" w:hAnsi="Aptos Narrow" w:cs="Times New Roman"/>
                <w:b/>
                <w:bCs/>
                <w:color w:val="000000"/>
                <w:kern w:val="0"/>
                <w:sz w:val="22"/>
                <w:szCs w:val="22"/>
                <w:lang w:eastAsia="en-CA"/>
                <w14:ligatures w14:val="none"/>
              </w:rPr>
              <w:t>Estimates</w:t>
            </w:r>
          </w:p>
        </w:tc>
        <w:tc>
          <w:tcPr>
            <w:tcW w:w="1129" w:type="pct"/>
            <w:tcBorders>
              <w:top w:val="single" w:sz="4" w:space="0" w:color="auto"/>
              <w:bottom w:val="single" w:sz="6" w:space="0" w:color="auto"/>
            </w:tcBorders>
            <w:vAlign w:val="center"/>
            <w:hideMark/>
          </w:tcPr>
          <w:p w14:paraId="53BF3F75" w14:textId="42C5E748" w:rsidR="00FC29CB" w:rsidRPr="007D5289" w:rsidRDefault="00FC29CB" w:rsidP="007D5289">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7D5289">
              <w:rPr>
                <w:rFonts w:ascii="Aptos Narrow" w:eastAsia="Times New Roman" w:hAnsi="Aptos Narrow" w:cs="Times New Roman"/>
                <w:b/>
                <w:bCs/>
                <w:color w:val="000000"/>
                <w:kern w:val="0"/>
                <w:sz w:val="22"/>
                <w:szCs w:val="22"/>
                <w:lang w:eastAsia="en-CA"/>
                <w14:ligatures w14:val="none"/>
              </w:rPr>
              <w:t xml:space="preserve">95% Conf. </w:t>
            </w:r>
            <w:r w:rsidR="00C4027C">
              <w:rPr>
                <w:rFonts w:ascii="Aptos Narrow" w:eastAsia="Times New Roman" w:hAnsi="Aptos Narrow" w:cs="Times New Roman"/>
                <w:b/>
                <w:bCs/>
                <w:color w:val="000000"/>
                <w:kern w:val="0"/>
                <w:sz w:val="22"/>
                <w:szCs w:val="22"/>
                <w:lang w:eastAsia="en-CA"/>
                <w14:ligatures w14:val="none"/>
              </w:rPr>
              <w:br/>
            </w:r>
            <w:r w:rsidRPr="007D5289">
              <w:rPr>
                <w:rFonts w:ascii="Aptos Narrow" w:eastAsia="Times New Roman" w:hAnsi="Aptos Narrow" w:cs="Times New Roman"/>
                <w:b/>
                <w:bCs/>
                <w:color w:val="000000"/>
                <w:kern w:val="0"/>
                <w:sz w:val="22"/>
                <w:szCs w:val="22"/>
                <w:lang w:eastAsia="en-CA"/>
                <w14:ligatures w14:val="none"/>
              </w:rPr>
              <w:t>Intervals</w:t>
            </w:r>
          </w:p>
        </w:tc>
      </w:tr>
      <w:tr w:rsidR="00FC29CB" w14:paraId="11358F42" w14:textId="77777777" w:rsidTr="00376CEF">
        <w:tc>
          <w:tcPr>
            <w:tcW w:w="1371" w:type="pct"/>
            <w:tcMar>
              <w:top w:w="113" w:type="dxa"/>
              <w:left w:w="113" w:type="dxa"/>
              <w:bottom w:w="113" w:type="dxa"/>
              <w:right w:w="113" w:type="dxa"/>
            </w:tcMar>
            <w:hideMark/>
          </w:tcPr>
          <w:p w14:paraId="27828760" w14:textId="77777777" w:rsidR="00FC29CB" w:rsidRPr="00FC29CB" w:rsidRDefault="00FC29CB" w:rsidP="00FC29CB">
            <w:pPr>
              <w:spacing w:after="0" w:line="240" w:lineRule="auto"/>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(Intercept)</w:t>
            </w:r>
          </w:p>
        </w:tc>
        <w:tc>
          <w:tcPr>
            <w:tcW w:w="725" w:type="pct"/>
            <w:tcMar>
              <w:top w:w="113" w:type="dxa"/>
              <w:left w:w="113" w:type="dxa"/>
              <w:bottom w:w="113" w:type="dxa"/>
              <w:right w:w="113" w:type="dxa"/>
            </w:tcMar>
            <w:hideMark/>
          </w:tcPr>
          <w:p w14:paraId="55903355"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3.69</w:t>
            </w:r>
          </w:p>
        </w:tc>
        <w:tc>
          <w:tcPr>
            <w:tcW w:w="1089" w:type="pct"/>
            <w:tcMar>
              <w:top w:w="113" w:type="dxa"/>
              <w:left w:w="113" w:type="dxa"/>
              <w:bottom w:w="113" w:type="dxa"/>
              <w:right w:w="113" w:type="dxa"/>
            </w:tcMar>
            <w:hideMark/>
          </w:tcPr>
          <w:p w14:paraId="180E2C55" w14:textId="01B6F749"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0.16 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7.23</w:t>
            </w:r>
          </w:p>
        </w:tc>
        <w:tc>
          <w:tcPr>
            <w:tcW w:w="686" w:type="pct"/>
            <w:tcMar>
              <w:top w:w="113" w:type="dxa"/>
              <w:left w:w="113" w:type="dxa"/>
              <w:bottom w:w="113" w:type="dxa"/>
              <w:right w:w="113" w:type="dxa"/>
            </w:tcMar>
            <w:hideMark/>
          </w:tcPr>
          <w:p w14:paraId="68C56305"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2.77</w:t>
            </w:r>
          </w:p>
        </w:tc>
        <w:tc>
          <w:tcPr>
            <w:tcW w:w="1129" w:type="pct"/>
            <w:tcMar>
              <w:top w:w="113" w:type="dxa"/>
              <w:left w:w="113" w:type="dxa"/>
              <w:bottom w:w="113" w:type="dxa"/>
              <w:right w:w="113" w:type="dxa"/>
            </w:tcMar>
            <w:hideMark/>
          </w:tcPr>
          <w:p w14:paraId="7774A7BB" w14:textId="2AA23273"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-1.73 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7.27</w:t>
            </w:r>
          </w:p>
        </w:tc>
      </w:tr>
      <w:tr w:rsidR="00FC29CB" w14:paraId="5702F93B" w14:textId="77777777" w:rsidTr="00376CEF">
        <w:tc>
          <w:tcPr>
            <w:tcW w:w="1371" w:type="pct"/>
            <w:tcMar>
              <w:top w:w="113" w:type="dxa"/>
              <w:left w:w="113" w:type="dxa"/>
              <w:bottom w:w="113" w:type="dxa"/>
              <w:right w:w="113" w:type="dxa"/>
            </w:tcMar>
            <w:hideMark/>
          </w:tcPr>
          <w:p w14:paraId="4EC58D13" w14:textId="77777777" w:rsidR="00FC29CB" w:rsidRPr="00FC29CB" w:rsidRDefault="00FC29CB" w:rsidP="00FC29CB">
            <w:pPr>
              <w:spacing w:after="0" w:line="240" w:lineRule="auto"/>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Treatment</w:t>
            </w:r>
          </w:p>
        </w:tc>
        <w:tc>
          <w:tcPr>
            <w:tcW w:w="725" w:type="pct"/>
            <w:tcMar>
              <w:top w:w="113" w:type="dxa"/>
              <w:left w:w="113" w:type="dxa"/>
              <w:bottom w:w="113" w:type="dxa"/>
              <w:right w:w="113" w:type="dxa"/>
            </w:tcMar>
            <w:hideMark/>
          </w:tcPr>
          <w:p w14:paraId="0BC1F14A"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-2.63</w:t>
            </w:r>
          </w:p>
        </w:tc>
        <w:tc>
          <w:tcPr>
            <w:tcW w:w="1089" w:type="pct"/>
            <w:tcMar>
              <w:top w:w="113" w:type="dxa"/>
              <w:left w:w="113" w:type="dxa"/>
              <w:bottom w:w="113" w:type="dxa"/>
              <w:right w:w="113" w:type="dxa"/>
            </w:tcMar>
            <w:hideMark/>
          </w:tcPr>
          <w:p w14:paraId="2A526020" w14:textId="7298C063"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-4.70 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-0.56</w:t>
            </w:r>
          </w:p>
        </w:tc>
        <w:tc>
          <w:tcPr>
            <w:tcW w:w="686" w:type="pct"/>
            <w:tcMar>
              <w:top w:w="113" w:type="dxa"/>
              <w:left w:w="113" w:type="dxa"/>
              <w:bottom w:w="113" w:type="dxa"/>
              <w:right w:w="113" w:type="dxa"/>
            </w:tcMar>
            <w:hideMark/>
          </w:tcPr>
          <w:p w14:paraId="3ACC7551"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-2.49</w:t>
            </w:r>
          </w:p>
        </w:tc>
        <w:tc>
          <w:tcPr>
            <w:tcW w:w="1129" w:type="pct"/>
            <w:tcMar>
              <w:top w:w="113" w:type="dxa"/>
              <w:left w:w="113" w:type="dxa"/>
              <w:bottom w:w="113" w:type="dxa"/>
              <w:right w:w="113" w:type="dxa"/>
            </w:tcMar>
            <w:hideMark/>
          </w:tcPr>
          <w:p w14:paraId="50BD781F" w14:textId="1349FC7A"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-4.53 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-0.46</w:t>
            </w:r>
          </w:p>
        </w:tc>
      </w:tr>
      <w:tr w:rsidR="00FC29CB" w14:paraId="5F26FE2B" w14:textId="77777777" w:rsidTr="00376CEF">
        <w:tc>
          <w:tcPr>
            <w:tcW w:w="1371" w:type="pct"/>
            <w:tcMar>
              <w:top w:w="113" w:type="dxa"/>
              <w:left w:w="113" w:type="dxa"/>
              <w:bottom w:w="113" w:type="dxa"/>
              <w:right w:w="113" w:type="dxa"/>
            </w:tcMar>
            <w:hideMark/>
          </w:tcPr>
          <w:p w14:paraId="2820224E" w14:textId="77777777" w:rsidR="00FC29CB" w:rsidRPr="00FC29CB" w:rsidRDefault="00FC29CB" w:rsidP="00FC29CB">
            <w:pPr>
              <w:spacing w:after="0" w:line="240" w:lineRule="auto"/>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Baseline K6 score</w:t>
            </w:r>
          </w:p>
        </w:tc>
        <w:tc>
          <w:tcPr>
            <w:tcW w:w="725" w:type="pct"/>
            <w:tcMar>
              <w:top w:w="113" w:type="dxa"/>
              <w:left w:w="113" w:type="dxa"/>
              <w:bottom w:w="113" w:type="dxa"/>
              <w:right w:w="113" w:type="dxa"/>
            </w:tcMar>
            <w:hideMark/>
          </w:tcPr>
          <w:p w14:paraId="73D0C3F4"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0.60</w:t>
            </w:r>
          </w:p>
        </w:tc>
        <w:tc>
          <w:tcPr>
            <w:tcW w:w="1089" w:type="pct"/>
            <w:tcMar>
              <w:top w:w="113" w:type="dxa"/>
              <w:left w:w="113" w:type="dxa"/>
              <w:bottom w:w="113" w:type="dxa"/>
              <w:right w:w="113" w:type="dxa"/>
            </w:tcMar>
            <w:hideMark/>
          </w:tcPr>
          <w:p w14:paraId="2AFA5BA2" w14:textId="55AF1BD8"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0.45 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0.76</w:t>
            </w:r>
          </w:p>
        </w:tc>
        <w:tc>
          <w:tcPr>
            <w:tcW w:w="686" w:type="pct"/>
            <w:tcMar>
              <w:top w:w="113" w:type="dxa"/>
              <w:left w:w="113" w:type="dxa"/>
              <w:bottom w:w="113" w:type="dxa"/>
              <w:right w:w="113" w:type="dxa"/>
            </w:tcMar>
            <w:hideMark/>
          </w:tcPr>
          <w:p w14:paraId="6E6D2149"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0.57</w:t>
            </w:r>
          </w:p>
        </w:tc>
        <w:tc>
          <w:tcPr>
            <w:tcW w:w="1129" w:type="pct"/>
            <w:tcMar>
              <w:top w:w="113" w:type="dxa"/>
              <w:left w:w="113" w:type="dxa"/>
              <w:bottom w:w="113" w:type="dxa"/>
              <w:right w:w="113" w:type="dxa"/>
            </w:tcMar>
            <w:hideMark/>
          </w:tcPr>
          <w:p w14:paraId="6BA2F1C4" w14:textId="62529E1A"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0.39 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0.76</w:t>
            </w:r>
          </w:p>
        </w:tc>
      </w:tr>
      <w:tr w:rsidR="00FC29CB" w14:paraId="5869223A" w14:textId="77777777" w:rsidTr="00376CEF">
        <w:tc>
          <w:tcPr>
            <w:tcW w:w="1371" w:type="pct"/>
            <w:tcMar>
              <w:top w:w="113" w:type="dxa"/>
              <w:left w:w="113" w:type="dxa"/>
              <w:bottom w:w="113" w:type="dxa"/>
              <w:right w:w="113" w:type="dxa"/>
            </w:tcMar>
            <w:hideMark/>
          </w:tcPr>
          <w:p w14:paraId="75F19CEC" w14:textId="77777777" w:rsidR="00FC29CB" w:rsidRPr="00FC29CB" w:rsidRDefault="00FC29CB" w:rsidP="00FC29CB">
            <w:pPr>
              <w:spacing w:after="0" w:line="240" w:lineRule="auto"/>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Age</w:t>
            </w:r>
          </w:p>
        </w:tc>
        <w:tc>
          <w:tcPr>
            <w:tcW w:w="725" w:type="pct"/>
            <w:tcMar>
              <w:top w:w="113" w:type="dxa"/>
              <w:left w:w="113" w:type="dxa"/>
              <w:bottom w:w="113" w:type="dxa"/>
              <w:right w:w="113" w:type="dxa"/>
            </w:tcMar>
            <w:hideMark/>
          </w:tcPr>
          <w:p w14:paraId="511DF9C0"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0.00</w:t>
            </w:r>
          </w:p>
        </w:tc>
        <w:tc>
          <w:tcPr>
            <w:tcW w:w="1089" w:type="pct"/>
            <w:tcMar>
              <w:top w:w="113" w:type="dxa"/>
              <w:left w:w="113" w:type="dxa"/>
              <w:bottom w:w="113" w:type="dxa"/>
              <w:right w:w="113" w:type="dxa"/>
            </w:tcMar>
            <w:hideMark/>
          </w:tcPr>
          <w:p w14:paraId="060329DF" w14:textId="053E1751"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-0.06 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0.07</w:t>
            </w:r>
          </w:p>
        </w:tc>
        <w:tc>
          <w:tcPr>
            <w:tcW w:w="686" w:type="pct"/>
            <w:tcMar>
              <w:top w:w="113" w:type="dxa"/>
              <w:left w:w="113" w:type="dxa"/>
              <w:bottom w:w="113" w:type="dxa"/>
              <w:right w:w="113" w:type="dxa"/>
            </w:tcMar>
            <w:hideMark/>
          </w:tcPr>
          <w:p w14:paraId="7A39AB61"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0.03</w:t>
            </w:r>
          </w:p>
        </w:tc>
        <w:tc>
          <w:tcPr>
            <w:tcW w:w="1129" w:type="pct"/>
            <w:tcMar>
              <w:top w:w="113" w:type="dxa"/>
              <w:left w:w="113" w:type="dxa"/>
              <w:bottom w:w="113" w:type="dxa"/>
              <w:right w:w="113" w:type="dxa"/>
            </w:tcMar>
            <w:hideMark/>
          </w:tcPr>
          <w:p w14:paraId="11709423" w14:textId="42270BE8"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-0.06 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0.12</w:t>
            </w:r>
          </w:p>
        </w:tc>
      </w:tr>
      <w:tr w:rsidR="00FC29CB" w14:paraId="3E786B85" w14:textId="77777777" w:rsidTr="00376CEF">
        <w:tc>
          <w:tcPr>
            <w:tcW w:w="1371" w:type="pct"/>
            <w:tcMar>
              <w:top w:w="113" w:type="dxa"/>
              <w:left w:w="113" w:type="dxa"/>
              <w:bottom w:w="113" w:type="dxa"/>
              <w:right w:w="113" w:type="dxa"/>
            </w:tcMar>
            <w:hideMark/>
          </w:tcPr>
          <w:p w14:paraId="5452E6DB" w14:textId="77777777" w:rsidR="00FC29CB" w:rsidRPr="00FC29CB" w:rsidRDefault="00FC29CB" w:rsidP="00FC29CB">
            <w:pPr>
              <w:spacing w:after="0" w:line="240" w:lineRule="auto"/>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Gender [Other]</w:t>
            </w:r>
          </w:p>
        </w:tc>
        <w:tc>
          <w:tcPr>
            <w:tcW w:w="725" w:type="pct"/>
            <w:tcMar>
              <w:top w:w="113" w:type="dxa"/>
              <w:left w:w="113" w:type="dxa"/>
              <w:bottom w:w="113" w:type="dxa"/>
              <w:right w:w="113" w:type="dxa"/>
            </w:tcMar>
            <w:hideMark/>
          </w:tcPr>
          <w:p w14:paraId="0B6F4CF5"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0.73</w:t>
            </w:r>
          </w:p>
        </w:tc>
        <w:tc>
          <w:tcPr>
            <w:tcW w:w="1089" w:type="pct"/>
            <w:tcMar>
              <w:top w:w="113" w:type="dxa"/>
              <w:left w:w="113" w:type="dxa"/>
              <w:bottom w:w="113" w:type="dxa"/>
              <w:right w:w="113" w:type="dxa"/>
            </w:tcMar>
            <w:hideMark/>
          </w:tcPr>
          <w:p w14:paraId="47E80DF9" w14:textId="06591746"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-2.35 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3.80</w:t>
            </w:r>
          </w:p>
        </w:tc>
        <w:tc>
          <w:tcPr>
            <w:tcW w:w="686" w:type="pct"/>
            <w:tcMar>
              <w:top w:w="113" w:type="dxa"/>
              <w:left w:w="113" w:type="dxa"/>
              <w:bottom w:w="113" w:type="dxa"/>
              <w:right w:w="113" w:type="dxa"/>
            </w:tcMar>
            <w:hideMark/>
          </w:tcPr>
          <w:p w14:paraId="6810CF83"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1.51</w:t>
            </w:r>
          </w:p>
        </w:tc>
        <w:tc>
          <w:tcPr>
            <w:tcW w:w="1129" w:type="pct"/>
            <w:tcMar>
              <w:top w:w="113" w:type="dxa"/>
              <w:left w:w="113" w:type="dxa"/>
              <w:bottom w:w="113" w:type="dxa"/>
              <w:right w:w="113" w:type="dxa"/>
            </w:tcMar>
            <w:hideMark/>
          </w:tcPr>
          <w:p w14:paraId="67F5C847" w14:textId="4D7962A9"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-2.05 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5.07</w:t>
            </w:r>
          </w:p>
        </w:tc>
      </w:tr>
      <w:tr w:rsidR="00FC29CB" w14:paraId="3C7D3313" w14:textId="77777777" w:rsidTr="00376CEF">
        <w:tc>
          <w:tcPr>
            <w:tcW w:w="1371" w:type="pct"/>
            <w:tcMar>
              <w:top w:w="113" w:type="dxa"/>
              <w:left w:w="113" w:type="dxa"/>
              <w:bottom w:w="113" w:type="dxa"/>
              <w:right w:w="113" w:type="dxa"/>
            </w:tcMar>
            <w:hideMark/>
          </w:tcPr>
          <w:p w14:paraId="2CC1A9B4" w14:textId="77777777" w:rsidR="00FC29CB" w:rsidRPr="00FC29CB" w:rsidRDefault="00FC29CB" w:rsidP="00FC29CB">
            <w:pPr>
              <w:spacing w:after="0" w:line="240" w:lineRule="auto"/>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Gender [Woman]</w:t>
            </w:r>
          </w:p>
        </w:tc>
        <w:tc>
          <w:tcPr>
            <w:tcW w:w="725" w:type="pct"/>
            <w:tcMar>
              <w:top w:w="113" w:type="dxa"/>
              <w:left w:w="113" w:type="dxa"/>
              <w:bottom w:w="113" w:type="dxa"/>
              <w:right w:w="113" w:type="dxa"/>
            </w:tcMar>
            <w:hideMark/>
          </w:tcPr>
          <w:p w14:paraId="1C9836CF"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-1.16</w:t>
            </w:r>
          </w:p>
        </w:tc>
        <w:tc>
          <w:tcPr>
            <w:tcW w:w="1089" w:type="pct"/>
            <w:tcMar>
              <w:top w:w="113" w:type="dxa"/>
              <w:left w:w="113" w:type="dxa"/>
              <w:bottom w:w="113" w:type="dxa"/>
              <w:right w:w="113" w:type="dxa"/>
            </w:tcMar>
            <w:hideMark/>
          </w:tcPr>
          <w:p w14:paraId="167B6391" w14:textId="347201A4"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-3.42 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1.10</w:t>
            </w:r>
          </w:p>
        </w:tc>
        <w:tc>
          <w:tcPr>
            <w:tcW w:w="686" w:type="pct"/>
            <w:tcMar>
              <w:top w:w="113" w:type="dxa"/>
              <w:left w:w="113" w:type="dxa"/>
              <w:bottom w:w="113" w:type="dxa"/>
              <w:right w:w="113" w:type="dxa"/>
            </w:tcMar>
            <w:hideMark/>
          </w:tcPr>
          <w:p w14:paraId="2F0B78E7"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-1.11</w:t>
            </w:r>
          </w:p>
        </w:tc>
        <w:tc>
          <w:tcPr>
            <w:tcW w:w="1129" w:type="pct"/>
            <w:tcMar>
              <w:top w:w="113" w:type="dxa"/>
              <w:left w:w="113" w:type="dxa"/>
              <w:bottom w:w="113" w:type="dxa"/>
              <w:right w:w="113" w:type="dxa"/>
            </w:tcMar>
            <w:hideMark/>
          </w:tcPr>
          <w:p w14:paraId="6629F7DA" w14:textId="197A26B5"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-4.06 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1.83</w:t>
            </w:r>
          </w:p>
        </w:tc>
      </w:tr>
      <w:tr w:rsidR="00FC29CB" w14:paraId="772C584A" w14:textId="77777777" w:rsidTr="00376CEF">
        <w:tc>
          <w:tcPr>
            <w:tcW w:w="1371" w:type="pct"/>
            <w:tcBorders>
              <w:bottom w:val="single" w:sz="4" w:space="0" w:color="auto"/>
            </w:tcBorders>
            <w:tcMar>
              <w:top w:w="113" w:type="dxa"/>
              <w:left w:w="113" w:type="dxa"/>
              <w:bottom w:w="113" w:type="dxa"/>
              <w:right w:w="113" w:type="dxa"/>
            </w:tcMar>
            <w:hideMark/>
          </w:tcPr>
          <w:p w14:paraId="2A1D29DC" w14:textId="78C59E5C" w:rsidR="00FC29CB" w:rsidRPr="00FC29CB" w:rsidRDefault="00FC29CB" w:rsidP="00FC29CB">
            <w:pPr>
              <w:spacing w:after="0" w:line="240" w:lineRule="auto"/>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Education [&lt; bachelor]</w:t>
            </w:r>
          </w:p>
        </w:tc>
        <w:tc>
          <w:tcPr>
            <w:tcW w:w="725" w:type="pct"/>
            <w:tcBorders>
              <w:bottom w:val="single" w:sz="4" w:space="0" w:color="auto"/>
            </w:tcBorders>
            <w:tcMar>
              <w:top w:w="113" w:type="dxa"/>
              <w:left w:w="113" w:type="dxa"/>
              <w:bottom w:w="113" w:type="dxa"/>
              <w:right w:w="113" w:type="dxa"/>
            </w:tcMar>
            <w:hideMark/>
          </w:tcPr>
          <w:p w14:paraId="3BDB9B1D"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0.25</w:t>
            </w:r>
          </w:p>
        </w:tc>
        <w:tc>
          <w:tcPr>
            <w:tcW w:w="1089" w:type="pct"/>
            <w:tcBorders>
              <w:bottom w:val="single" w:sz="4" w:space="0" w:color="auto"/>
            </w:tcBorders>
            <w:tcMar>
              <w:top w:w="113" w:type="dxa"/>
              <w:left w:w="113" w:type="dxa"/>
              <w:bottom w:w="113" w:type="dxa"/>
              <w:right w:w="113" w:type="dxa"/>
            </w:tcMar>
            <w:hideMark/>
          </w:tcPr>
          <w:p w14:paraId="72DA783B" w14:textId="6AE0A596"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-2.15 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2.64</w:t>
            </w:r>
          </w:p>
        </w:tc>
        <w:tc>
          <w:tcPr>
            <w:tcW w:w="686" w:type="pct"/>
            <w:tcBorders>
              <w:bottom w:val="single" w:sz="4" w:space="0" w:color="auto"/>
            </w:tcBorders>
            <w:tcMar>
              <w:top w:w="113" w:type="dxa"/>
              <w:left w:w="113" w:type="dxa"/>
              <w:bottom w:w="113" w:type="dxa"/>
              <w:right w:w="113" w:type="dxa"/>
            </w:tcMar>
            <w:hideMark/>
          </w:tcPr>
          <w:p w14:paraId="2DF98A97" w14:textId="77777777"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1.28</w:t>
            </w:r>
          </w:p>
        </w:tc>
        <w:tc>
          <w:tcPr>
            <w:tcW w:w="1129" w:type="pct"/>
            <w:tcBorders>
              <w:bottom w:val="single" w:sz="4" w:space="0" w:color="auto"/>
            </w:tcBorders>
            <w:tcMar>
              <w:top w:w="113" w:type="dxa"/>
              <w:left w:w="113" w:type="dxa"/>
              <w:bottom w:w="113" w:type="dxa"/>
              <w:right w:w="113" w:type="dxa"/>
            </w:tcMar>
            <w:hideMark/>
          </w:tcPr>
          <w:p w14:paraId="594689BD" w14:textId="17D57A62" w:rsidR="00FC29CB" w:rsidRPr="00FC29CB" w:rsidRDefault="00FC29CB"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-1.94 </w:t>
            </w:r>
            <w:r w:rsidR="00C4027C">
              <w:rPr>
                <w:rFonts w:ascii="Aptos Narrow" w:eastAsia="Times New Roman" w:hAnsi="Aptos Narrow" w:cs="Times New Roman"/>
                <w:color w:val="000000"/>
                <w:kern w:val="0"/>
                <w:sz w:val="22"/>
                <w:szCs w:val="22"/>
                <w:lang w:eastAsia="en-CA"/>
                <w14:ligatures w14:val="none"/>
              </w:rPr>
              <w:t>to</w:t>
            </w:r>
            <w:r w:rsidRPr="00FC29CB">
              <w:rPr>
                <w:rFonts w:ascii="Aptos Narrow" w:eastAsia="Times New Roman" w:hAnsi="Aptos Narrow" w:cs="Times New Roman"/>
                <w:color w:val="000000"/>
                <w:kern w:val="0"/>
                <w:sz w:val="22"/>
                <w:szCs w:val="22"/>
                <w:lang w:eastAsia="en-CA"/>
                <w14:ligatures w14:val="none"/>
              </w:rPr>
              <w:t> 4.50</w:t>
            </w:r>
          </w:p>
        </w:tc>
      </w:tr>
      <w:tr w:rsidR="00376CEF" w14:paraId="4126B89E" w14:textId="77777777" w:rsidTr="00376CEF">
        <w:tc>
          <w:tcPr>
            <w:tcW w:w="1371" w:type="pct"/>
            <w:tcBorders>
              <w:top w:val="single" w:sz="4" w:space="0" w:color="auto"/>
            </w:tcBorders>
            <w:tcMar>
              <w:top w:w="113" w:type="dxa"/>
              <w:left w:w="113" w:type="dxa"/>
              <w:bottom w:w="113" w:type="dxa"/>
              <w:right w:w="113" w:type="dxa"/>
            </w:tcMar>
          </w:tcPr>
          <w:p w14:paraId="7C537D3E" w14:textId="7485D7E5" w:rsidR="00376CEF" w:rsidRPr="00FC29CB" w:rsidRDefault="00376CEF" w:rsidP="00FC29CB">
            <w:pPr>
              <w:spacing w:after="0" w:line="240" w:lineRule="auto"/>
              <w:rPr>
                <w:rFonts w:ascii="Aptos Narrow" w:eastAsia="Times New Roman" w:hAnsi="Aptos Narrow" w:cs="Times New Roman"/>
                <w:color w:val="000000"/>
                <w:kern w:val="0"/>
                <w:sz w:val="22"/>
                <w:szCs w:val="22"/>
                <w:lang w:eastAsia="en-CA"/>
                <w14:ligatures w14:val="none"/>
              </w:rPr>
            </w:pPr>
            <w:r w:rsidRPr="00FC29CB">
              <w:rPr>
                <w:rFonts w:ascii="Aptos Narrow" w:eastAsia="Times New Roman" w:hAnsi="Aptos Narrow" w:cs="Times New Roman"/>
                <w:color w:val="000000"/>
                <w:kern w:val="0"/>
                <w:sz w:val="22"/>
                <w:szCs w:val="22"/>
                <w:lang w:eastAsia="en-CA"/>
                <w14:ligatures w14:val="none"/>
              </w:rPr>
              <w:t>R2 / R2 adjusted</w:t>
            </w:r>
          </w:p>
        </w:tc>
        <w:tc>
          <w:tcPr>
            <w:tcW w:w="725" w:type="pct"/>
            <w:tcBorders>
              <w:top w:val="single" w:sz="4" w:space="0" w:color="auto"/>
            </w:tcBorders>
            <w:tcMar>
              <w:top w:w="113" w:type="dxa"/>
              <w:left w:w="113" w:type="dxa"/>
              <w:bottom w:w="113" w:type="dxa"/>
              <w:right w:w="113" w:type="dxa"/>
            </w:tcMar>
          </w:tcPr>
          <w:p w14:paraId="29F8ADF5" w14:textId="77777777" w:rsidR="00376CEF" w:rsidRPr="00FC29CB" w:rsidRDefault="00376CEF"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p>
        </w:tc>
        <w:tc>
          <w:tcPr>
            <w:tcW w:w="1089" w:type="pct"/>
            <w:tcBorders>
              <w:top w:val="single" w:sz="4" w:space="0" w:color="auto"/>
            </w:tcBorders>
            <w:tcMar>
              <w:top w:w="113" w:type="dxa"/>
              <w:left w:w="113" w:type="dxa"/>
              <w:bottom w:w="113" w:type="dxa"/>
              <w:right w:w="113" w:type="dxa"/>
            </w:tcMar>
          </w:tcPr>
          <w:p w14:paraId="4436625A" w14:textId="67E51281" w:rsidR="00376CEF" w:rsidRPr="00FC29CB" w:rsidRDefault="00376CEF"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376CEF">
              <w:rPr>
                <w:rFonts w:ascii="Aptos Narrow" w:eastAsia="Times New Roman" w:hAnsi="Aptos Narrow" w:cs="Times New Roman"/>
                <w:color w:val="000000"/>
                <w:kern w:val="0"/>
                <w:sz w:val="22"/>
                <w:szCs w:val="22"/>
                <w:lang w:eastAsia="en-CA"/>
                <w14:ligatures w14:val="none"/>
              </w:rPr>
              <w:t>0.441 / 0.409</w:t>
            </w:r>
          </w:p>
        </w:tc>
        <w:tc>
          <w:tcPr>
            <w:tcW w:w="686" w:type="pct"/>
            <w:tcBorders>
              <w:top w:val="single" w:sz="4" w:space="0" w:color="auto"/>
            </w:tcBorders>
            <w:tcMar>
              <w:top w:w="113" w:type="dxa"/>
              <w:left w:w="113" w:type="dxa"/>
              <w:bottom w:w="113" w:type="dxa"/>
              <w:right w:w="113" w:type="dxa"/>
            </w:tcMar>
          </w:tcPr>
          <w:p w14:paraId="7567E212" w14:textId="77777777" w:rsidR="00376CEF" w:rsidRPr="00FC29CB" w:rsidRDefault="00376CEF"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p>
        </w:tc>
        <w:tc>
          <w:tcPr>
            <w:tcW w:w="1129" w:type="pct"/>
            <w:tcBorders>
              <w:top w:val="single" w:sz="4" w:space="0" w:color="auto"/>
            </w:tcBorders>
            <w:tcMar>
              <w:top w:w="113" w:type="dxa"/>
              <w:left w:w="113" w:type="dxa"/>
              <w:bottom w:w="113" w:type="dxa"/>
              <w:right w:w="113" w:type="dxa"/>
            </w:tcMar>
          </w:tcPr>
          <w:p w14:paraId="2D58C267" w14:textId="5A000276" w:rsidR="00376CEF" w:rsidRPr="00FC29CB" w:rsidRDefault="00376CEF" w:rsidP="00FC29CB">
            <w:pPr>
              <w:spacing w:after="0" w:line="240" w:lineRule="auto"/>
              <w:jc w:val="center"/>
              <w:rPr>
                <w:rFonts w:ascii="Aptos Narrow" w:eastAsia="Times New Roman" w:hAnsi="Aptos Narrow" w:cs="Times New Roman"/>
                <w:color w:val="000000"/>
                <w:kern w:val="0"/>
                <w:sz w:val="22"/>
                <w:szCs w:val="22"/>
                <w:lang w:eastAsia="en-CA"/>
                <w14:ligatures w14:val="none"/>
              </w:rPr>
            </w:pPr>
            <w:r w:rsidRPr="00376CEF">
              <w:rPr>
                <w:rFonts w:ascii="Aptos Narrow" w:eastAsia="Times New Roman" w:hAnsi="Aptos Narrow" w:cs="Times New Roman"/>
                <w:color w:val="000000"/>
                <w:kern w:val="0"/>
                <w:sz w:val="22"/>
                <w:szCs w:val="22"/>
                <w:lang w:eastAsia="en-CA"/>
                <w14:ligatures w14:val="none"/>
              </w:rPr>
              <w:t>0.410 / 0.375</w:t>
            </w:r>
          </w:p>
        </w:tc>
      </w:tr>
    </w:tbl>
    <w:p w14:paraId="1958F902" w14:textId="01B7C8C5" w:rsidR="00076819" w:rsidRPr="00076819" w:rsidRDefault="00076819" w:rsidP="00076819">
      <w:r>
        <w:t xml:space="preserve"> </w:t>
      </w:r>
    </w:p>
    <w:p w14:paraId="30204025" w14:textId="4976C5DC" w:rsidR="00BF6E1F" w:rsidRDefault="00483072" w:rsidP="00BF6E1F">
      <w:pPr>
        <w:pStyle w:val="Heading2"/>
      </w:pPr>
      <w:r>
        <w:t>Persistence of effect over time</w:t>
      </w:r>
    </w:p>
    <w:p w14:paraId="4F5E17C6" w14:textId="4D920286" w:rsidR="003773C5" w:rsidRDefault="00121F01" w:rsidP="00EA309F">
      <w:r>
        <w:t xml:space="preserve">The </w:t>
      </w:r>
      <w:r w:rsidR="00BF6E1F">
        <w:t xml:space="preserve">all pairs-comparison </w:t>
      </w:r>
      <w:r w:rsidRPr="00121F01">
        <w:t>test</w:t>
      </w:r>
      <w:r>
        <w:t xml:space="preserve"> </w:t>
      </w:r>
      <w:r w:rsidR="00EA309F" w:rsidRPr="00EA309F">
        <w:t>did no</w:t>
      </w:r>
      <w:r w:rsidR="00EA309F">
        <w:t xml:space="preserve">t detect significant differences </w:t>
      </w:r>
      <w:r>
        <w:t>within</w:t>
      </w:r>
      <w:r w:rsidR="00C4027C">
        <w:t xml:space="preserve">-subject </w:t>
      </w:r>
      <w:r>
        <w:t xml:space="preserve">across </w:t>
      </w:r>
      <w:r w:rsidR="00EA309F">
        <w:t>time</w:t>
      </w:r>
      <w:r>
        <w:t xml:space="preserve"> periods</w:t>
      </w:r>
      <w:r w:rsidR="00EA309F">
        <w:t xml:space="preserve"> in the control group</w:t>
      </w:r>
      <w:r w:rsidR="009650E6">
        <w:t xml:space="preserve"> (n=40)</w:t>
      </w:r>
      <w:r w:rsidR="003773C5">
        <w:t>. The median value for the score changed from 8 at baseline to 7 in both follow-up years, with a relatively similar distribution</w:t>
      </w:r>
      <w:r>
        <w:t xml:space="preserve">. Conversely, </w:t>
      </w:r>
      <w:r w:rsidR="003773C5">
        <w:t xml:space="preserve">the median distress score </w:t>
      </w:r>
      <w:r>
        <w:t xml:space="preserve">in the intervention </w:t>
      </w:r>
      <w:r w:rsidR="009650E6">
        <w:t xml:space="preserve">(n=14) </w:t>
      </w:r>
      <w:r>
        <w:t xml:space="preserve">group </w:t>
      </w:r>
      <w:r w:rsidR="003773C5">
        <w:t xml:space="preserve">dropped from 13.5 at baseline to 6.0 during the first year of follow-up and 9.0 at the end of the study period. The differences were statistically significant compared to baseline values even after accounting for multiple comparisons. No significant differences were found between the scores from </w:t>
      </w:r>
      <w:r w:rsidR="009650E6">
        <w:t xml:space="preserve">Waves 2 and 3 </w:t>
      </w:r>
      <w:r w:rsidR="00376CEF">
        <w:t>in the intervention group</w:t>
      </w:r>
      <w:r w:rsidR="003773C5">
        <w:t xml:space="preserve"> (Figure 2).</w:t>
      </w:r>
    </w:p>
    <w:p w14:paraId="6E70A062" w14:textId="483897D5" w:rsidR="00EA309F" w:rsidRPr="00EA309F" w:rsidRDefault="00EA309F">
      <w:pPr>
        <w:rPr>
          <w:lang w:val="fr-FR"/>
        </w:rPr>
      </w:pPr>
      <w:r>
        <w:rPr>
          <w:noProof/>
          <w:lang w:val="fr-FR"/>
        </w:rPr>
        <w:lastRenderedPageBreak/>
        <w:drawing>
          <wp:inline distT="0" distB="0" distL="0" distR="0" wp14:anchorId="3E258FBC" wp14:editId="4A461E77">
            <wp:extent cx="5943600" cy="2971800"/>
            <wp:effectExtent l="0" t="0" r="0" b="0"/>
            <wp:docPr id="1056401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01826"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A572DAC" w14:textId="66009A51" w:rsidR="00BF6E1F" w:rsidRPr="00BF6E1F" w:rsidRDefault="00BF6E1F" w:rsidP="00BF6E1F">
      <w:pPr>
        <w:pStyle w:val="Heading1"/>
      </w:pPr>
      <w:r w:rsidRPr="00BF6E1F">
        <w:t>Discussion</w:t>
      </w:r>
    </w:p>
    <w:p w14:paraId="188514A4" w14:textId="23D616AE" w:rsidR="00BF6E1F" w:rsidRDefault="00BF6E1F" w:rsidP="00BF6E1F">
      <w:pPr>
        <w:pStyle w:val="Heading2"/>
      </w:pPr>
      <w:r w:rsidRPr="00BF6E1F">
        <w:t xml:space="preserve">Key </w:t>
      </w:r>
      <w:r>
        <w:t>results</w:t>
      </w:r>
    </w:p>
    <w:p w14:paraId="2B857D85" w14:textId="1762F713" w:rsidR="009E5373" w:rsidRPr="00B60426" w:rsidRDefault="009E5373" w:rsidP="009E5373">
      <w:r w:rsidRPr="009E5373">
        <w:t>We hypothesized that psilocybin use would lower</w:t>
      </w:r>
      <w:r>
        <w:t xml:space="preserve"> the level of</w:t>
      </w:r>
      <w:r w:rsidRPr="009E5373">
        <w:t xml:space="preserve"> psychological distress</w:t>
      </w:r>
      <w:r>
        <w:t>. Our results were confirmed, with a mean score reductions of 2.6 points after adjusting for covariates</w:t>
      </w:r>
      <w:r w:rsidR="00B60426">
        <w:t xml:space="preserve"> (n=110)</w:t>
      </w:r>
      <w:r>
        <w:t xml:space="preserve">. Within-person effects were stronger, with mean score reductions of 3.8 points after treatment. We also hypothesized the effect of psylocibin would be sustained over time, which we confirmed </w:t>
      </w:r>
      <w:r w:rsidR="007A334A">
        <w:t>in a small subset of participants (n=14) who provided follow-up data for a second year. The scores for these participants were significantly lower compared to baseline values in years 2 and 3</w:t>
      </w:r>
      <w:r w:rsidR="00B60426">
        <w:t xml:space="preserve"> and did not significantly differ from each other</w:t>
      </w:r>
      <w:r w:rsidR="007A334A">
        <w:t xml:space="preserve">. </w:t>
      </w:r>
    </w:p>
    <w:p w14:paraId="5A48E84F" w14:textId="545CB662" w:rsidR="00BF6E1F" w:rsidRDefault="00BF6E1F" w:rsidP="00BF6E1F">
      <w:pPr>
        <w:pStyle w:val="Heading2"/>
      </w:pPr>
      <w:r w:rsidRPr="0008750F">
        <w:t>Limitation</w:t>
      </w:r>
      <w:r w:rsidR="002F614B">
        <w:t>s</w:t>
      </w:r>
    </w:p>
    <w:p w14:paraId="3E452A18" w14:textId="778D548A" w:rsidR="002F614B" w:rsidRDefault="002F614B" w:rsidP="002F614B">
      <w:r>
        <w:t>Our study has several limitations. Online data collection is self-reported and risks introducing recall bias. However, psilocybin use is often cited as one of the most memorable life experiences by past users</w:t>
      </w:r>
      <w:r w:rsidR="002A7ACA">
        <w:t xml:space="preserve"> </w:t>
      </w:r>
      <w:r w:rsidR="002A7ACA">
        <w:fldChar w:fldCharType="begin"/>
      </w:r>
      <w:r w:rsidR="002A7ACA">
        <w:instrText xml:space="preserve"> ADDIN ZOTERO_ITEM CSL_CITATION {"citationID":"CAAMmrvU","properties":{"formattedCitation":"(Kajonius et al., 2025)","plainCitation":"(Kajonius et al., 2025)","noteIndex":0},"citationItems":[{"id":1082,"uris":["http://zotero.org/users/1546863/items/VRMTJDZP"],"itemData":{"id":1082,"type":"article-journal","abstract":"Abstract\n            \n              A surge in societal and scientific discussion surrounds psychedelic research. One surprising fact keeps standing out: Many users report the psychedelic experience as a positive and lasting impact on their quality of life. The present study aimed to explore the quality and consequences of the most impacting psychedelic experience, with the user's Big Five personality in focus. This experienced sample (\n              N\n              = 400) rated how challenging and mystical the experience was and the extent of positive and negative lasting life effects, together with the Big Five (IPIP-NEO-30). Interestingly, the results showed that most ranked it as among the most meaningful experiences in life, and that personality trait openness related to enhanced mystical and positive experiences, while neuroticism related to increased challenging and negative reports. We discuss limitations like the self-selected sample and the use of brief instruments. We conclude and recommend that individual differences in personality deserve continued consideration and should be measured and controlled for in future studies.","container-title":"Journal of Psychedelic Studies","DOI":"10.1556/2054.2025.00414","ISSN":"2559-9283","journalAbbreviation":"JPS","source":"DOI.org (Crossref)","title":"Big Five personality and the psychedelic experience: An initial report","title-short":"Big Five personality and the psychedelic experience","URL":"https://akjournals.com/view/journals/2054/aop/article-10.1556-2054.2025.00414/article-10.1556-2054.2025.00414.xml","author":[{"family":"Kajonius","given":"Petri J."},{"family":"Sjöström","given":"David"},{"family":"Claesdotter-Knutsson","given":"Emma"}],"accessed":{"date-parts":[["2025",10,23]]},"issued":{"date-parts":[["2025",7,16]]}}}],"schema":"https://github.com/citation-style-language/schema/raw/master/csl-citation.json"} </w:instrText>
      </w:r>
      <w:r w:rsidR="002A7ACA">
        <w:fldChar w:fldCharType="separate"/>
      </w:r>
      <w:r w:rsidR="002A7ACA" w:rsidRPr="002A7ACA">
        <w:rPr>
          <w:rFonts w:ascii="Aptos" w:hAnsi="Aptos"/>
        </w:rPr>
        <w:t>(Kajonius et al., 2025)</w:t>
      </w:r>
      <w:r w:rsidR="002A7ACA">
        <w:fldChar w:fldCharType="end"/>
      </w:r>
      <w:r>
        <w:t>, which makes recall bias for the exposure</w:t>
      </w:r>
      <w:r w:rsidR="00716A92">
        <w:t>—an</w:t>
      </w:r>
      <w:r>
        <w:t>d other variables in the model, which are stable through time</w:t>
      </w:r>
      <w:r w:rsidR="00716A92">
        <w:t>—unlikely</w:t>
      </w:r>
      <w:r>
        <w:t>. Our ability to clearly assert the temporal relationship between some variables was also limited by the data collection instrument. People reporting last psychedelic use could select “</w:t>
      </w:r>
      <w:r w:rsidR="00540E93">
        <w:t>past week</w:t>
      </w:r>
      <w:r>
        <w:t xml:space="preserve">” whereas the </w:t>
      </w:r>
      <w:r w:rsidR="00540E93">
        <w:t>outcome</w:t>
      </w:r>
      <w:r>
        <w:t xml:space="preserve"> assessed the psychological distress in the </w:t>
      </w:r>
      <w:r w:rsidR="00540E93">
        <w:t xml:space="preserve">past month. </w:t>
      </w:r>
      <w:r>
        <w:t xml:space="preserve">However, this only occurred with two participants which reported having taken multiple doses, making it more likely that the exposure preceded the outcome. Moreover, </w:t>
      </w:r>
      <w:r>
        <w:lastRenderedPageBreak/>
        <w:t xml:space="preserve">given the direction of the effect, such scenario would bias the estimate towards the null and it is unlikely to affect the overall conclusion. </w:t>
      </w:r>
      <w:r w:rsidR="00716A92">
        <w:t xml:space="preserve">Conversely, past research using </w:t>
      </w:r>
      <w:r w:rsidR="00716A92" w:rsidRPr="00716A92">
        <w:t xml:space="preserve">self-reported data </w:t>
      </w:r>
      <w:r w:rsidR="00716A92">
        <w:t xml:space="preserve">has found higher </w:t>
      </w:r>
      <w:r w:rsidR="00716A92" w:rsidRPr="00716A92">
        <w:t>benefits than experimental settings (</w:t>
      </w:r>
      <w:proofErr w:type="spellStart"/>
      <w:r w:rsidR="00716A92" w:rsidRPr="00716A92">
        <w:t>Totomanova</w:t>
      </w:r>
      <w:proofErr w:type="spellEnd"/>
      <w:r w:rsidR="00716A92" w:rsidRPr="00716A92">
        <w:t xml:space="preserve"> et al., 2025).</w:t>
      </w:r>
      <w:r w:rsidR="00716A92">
        <w:t xml:space="preserve"> We tried to address this by using validated psychological instruments that had been thoroughly tested in several populations.</w:t>
      </w:r>
    </w:p>
    <w:p w14:paraId="3CA6B98C" w14:textId="1E53D9FC" w:rsidR="002F614B" w:rsidRDefault="002F614B" w:rsidP="002F614B">
      <w:r>
        <w:t xml:space="preserve">Observational studies always risk bias by unmeasured confounding. We tried to mitigate this risk by estimating a fixed-effect model </w:t>
      </w:r>
      <w:r w:rsidR="0035086C" w:rsidRPr="0035086C">
        <w:t>that would account for time-invariant individual characteristics and isolate within-person changes. However, residual confounding from time-varying factors not captured in the model may still influence the observed associations, underscoring the need for cautious interpretation.</w:t>
      </w:r>
      <w:r w:rsidR="00852AAD">
        <w:t xml:space="preserve"> </w:t>
      </w:r>
    </w:p>
    <w:p w14:paraId="1781DA94" w14:textId="6BAB2945" w:rsidR="00852AAD" w:rsidRPr="00540E93" w:rsidRDefault="00592423" w:rsidP="00540E93">
      <w:r>
        <w:t>Regarding the stability of estimates, we found a</w:t>
      </w:r>
      <w:r w:rsidR="002E6347" w:rsidRPr="002E6347">
        <w:t xml:space="preserve"> relatively higher proportion of participants in the intervention group were lost to follow-up compared to the control group (60.7% vs 50%)</w:t>
      </w:r>
      <w:r>
        <w:t>. When examining the factors associated with missing data in wave 3, we found participants lost to follow-up had lower scores for psychological distress in waves 1 and 2 and were more likely to identify as women</w:t>
      </w:r>
      <w:r w:rsidR="002A7ACA">
        <w:t xml:space="preserve">, but age and education were not related to attrition as previously reported </w:t>
      </w:r>
      <w:r w:rsidR="002A7ACA">
        <w:fldChar w:fldCharType="begin"/>
      </w:r>
      <w:r w:rsidR="002A7ACA">
        <w:instrText xml:space="preserve"> ADDIN ZOTERO_ITEM CSL_CITATION {"citationID":"GSq7YdE2","properties":{"formattedCitation":"(H\\uc0\\u252{}bner et al., 2021)","plainCitation":"(Hübner et al., 2021)","noteIndex":0},"citationItems":[{"id":1080,"uris":["http://zotero.org/users/1546863/items/3NDHAV8X"],"itemData":{"id":1080,"type":"article-journal","abstract":"Background\n              The resurgence of research and public interest in the positive psychological effects of psychedelics, together with advancements in digital data collection techniques, have brought forth a new type of research design, which involves prospectively gathering large-scale naturalistic data from psychedelic users; that is, before and after the use of a psychedelic compound. A methodological limitation of such studies is their high attrition rate, particularly owing to participants who stop responding after initial study enrollment. Importantly, study dropout can introduce systematic biases that may affect the interpretability of results.\n            \n            \n              Objective\n              Based on a previously collected sample (baseline n=654), here we investigated potential determinants of study attrition in web-based prospective studies on psychedelic use.\n            \n            \n              Methods\n              Logistic regression models were used to examine demographic, psychological trait and state, and psychedelic-specific predictors of dropout. Predictors were assessed 1 week before, 1 day after, and 2 weeks after psychedelic use, with attrition being defined as noncompletion of the key endpoint 4 weeks post experience.\n            \n            \n              Results\n              Predictors of attrition were found among demographic variables including age (β=0.024; P=.007) and educational levels, as well as personality traits, specifically conscientiousness (β=–0.079; P=.02) and extraversion (β=0.082; P=.01). Contrary to prior hypotheses, neither baseline attitudes toward psychedelics nor the intensity of acute challenging experiences were predictive of dropout.\n            \n            \n              Conclusions\n              The baseline predictors of attrition identified here are consistent with those reported in longitudinal studies in other scientific disciplines, suggesting their transdisciplinary relevance. Moreover, the lack of an association between attrition and psychedelic advocacy or negative drug experiences in our sample contextualizes concerns about problematic biases in these and related data.","container-title":"Journal of Medical Internet Research","DOI":"10.2196/25973","ISSN":"1438-8871","issue":"7","journalAbbreviation":"J Med Internet Res","language":"en","page":"e25973","source":"DOI.org (Crossref)","title":"Turn on, Tune in, and Drop out: Predictors of Attrition in a Prospective Observational Cohort Study on Psychedelic Use","title-short":"Turn on, Tune in, and Drop out","volume":"23","author":[{"family":"Hübner","given":"Sebastian"},{"family":"Haijen","given":"Eline"},{"family":"Kaelen","given":"Mendel"},{"family":"Carhart-Harris","given":"Robin Lester"},{"family":"Kettner","given":"Hannes"}],"issued":{"date-parts":[["2021",7,28]]}}}],"schema":"https://github.com/citation-style-language/schema/raw/master/csl-citation.json"} </w:instrText>
      </w:r>
      <w:r w:rsidR="002A7ACA">
        <w:fldChar w:fldCharType="separate"/>
      </w:r>
      <w:r w:rsidR="002A7ACA" w:rsidRPr="002A7ACA">
        <w:rPr>
          <w:rFonts w:ascii="Aptos" w:hAnsi="Aptos" w:cs="Times New Roman"/>
          <w:kern w:val="0"/>
        </w:rPr>
        <w:t>(Hübner et al., 2021)</w:t>
      </w:r>
      <w:r w:rsidR="002A7ACA">
        <w:fldChar w:fldCharType="end"/>
      </w:r>
      <w:r>
        <w:t xml:space="preserve">. </w:t>
      </w:r>
      <w:r w:rsidRPr="00592423">
        <w:t>This pattern suggests that attrition was not completely random and could have influenced our results. However, the overall trends observed in the remaining sample were consistent with earlier waves, providing some reassurance about the robustness of the estimates.</w:t>
      </w:r>
    </w:p>
    <w:p w14:paraId="64989262" w14:textId="6387A9CE" w:rsidR="00BF6E1F" w:rsidRDefault="00BF6E1F" w:rsidP="00BF6E1F">
      <w:pPr>
        <w:pStyle w:val="Heading2"/>
      </w:pPr>
      <w:r w:rsidRPr="0008750F">
        <w:t>Interpretation</w:t>
      </w:r>
    </w:p>
    <w:p w14:paraId="13314272" w14:textId="355B7AA7" w:rsidR="00716A92" w:rsidRDefault="00716A92" w:rsidP="002A7ACA">
      <w:r w:rsidRPr="00716A92">
        <w:t xml:space="preserve">Our findings suggest that psilocybin use is associated with a reduction in psychological distress, both </w:t>
      </w:r>
      <w:r>
        <w:t xml:space="preserve">one year after treatment </w:t>
      </w:r>
      <w:r w:rsidRPr="00716A92">
        <w:t>and, for a subset of participants, over a longer follow-up period</w:t>
      </w:r>
      <w:r>
        <w:t xml:space="preserve"> of two years</w:t>
      </w:r>
      <w:r w:rsidRPr="00716A92">
        <w:t>. The observed within-person reductions were larger than the overall adjusted effects, indicating that individuals experienced meaningful decreases in distress relative to their own baseline. These results align with previous studies suggesting potential therapeutic benefits of psilocybin</w:t>
      </w:r>
      <w:r>
        <w:t xml:space="preserve"> </w:t>
      </w:r>
      <w:r>
        <w:fldChar w:fldCharType="begin"/>
      </w:r>
      <w:r>
        <w:instrText xml:space="preserve"> ADDIN ZOTERO_ITEM CSL_CITATION {"citationID":"iQtcifN6","properties":{"formattedCitation":"(Kittur et al., 2025)","plainCitation":"(Kittur et al., 2025)","noteIndex":0},"citationItems":[{"id":1133,"uris":["http://zotero.org/users/1546863/items/GVUX5J3X"],"itemData":{"id":1133,"type":"article-journal","container-title":"Journal of Affective Disorders","DOI":"10.1016/j.jad.2025.119952","ISSN":"01650327","journalAbbreviation":"Journal of Affective Disorders","language":"en","page":"119952","source":"DOI.org (Crossref)","title":"Mapping psilocybin therapy: A systematic review of therapeutic frameworks, adaptations, and standardization across contemporary clinical trials","title-short":"Mapping psilocybin therapy","volume":"391","author":[{"family":"Kittur","given":"Mary E."},{"family":"Burgos M.","given":"L. Almendra"},{"family":"Jones","given":"Brett D.M."},{"family":"Blumberger","given":"Daniel M."},{"family":"Mulsant","given":"Benoit H."},{"family":"Rosenblat","given":"Joshua D."},{"family":"Husain","given":"M. Ishrat"}],"issued":{"date-parts":[["2025",12]]}}}],"schema":"https://github.com/citation-style-language/schema/raw/master/csl-citation.json"} </w:instrText>
      </w:r>
      <w:r>
        <w:fldChar w:fldCharType="separate"/>
      </w:r>
      <w:r w:rsidRPr="00B116B6">
        <w:rPr>
          <w:rFonts w:ascii="Aptos" w:hAnsi="Aptos"/>
        </w:rPr>
        <w:t>(Kittur et al., 2025)</w:t>
      </w:r>
      <w:r>
        <w:fldChar w:fldCharType="end"/>
      </w:r>
      <w:r>
        <w:t>.</w:t>
      </w:r>
    </w:p>
    <w:p w14:paraId="7EC3F483" w14:textId="697766D2" w:rsidR="00234F0A" w:rsidRDefault="00234F0A" w:rsidP="002A7ACA">
      <w:r>
        <w:t xml:space="preserve">Psilocybin is also amenable as a public health intervention because it is cheaper than the current standard of care </w:t>
      </w:r>
      <w:r>
        <w:fldChar w:fldCharType="begin"/>
      </w:r>
      <w:r>
        <w:instrText xml:space="preserve"> ADDIN ZOTERO_ITEM CSL_CITATION {"citationID":"CE2xUfho","properties":{"formattedCitation":"(Avance\\uc0\\u241{}a et al., 2025)","plainCitation":"(Avanceña et al., 2025)","noteIndex":0},"citationItems":[{"id":1126,"uris":["http://zotero.org/users/1546863/items/VS6IKY3L"],"itemData":{"id":1126,"type":"article-journal","abstract":"Abstract\n            Psilocybin-assisted therapy (PAT) has been shown in early trials to reduce the symptoms of treatment-resistant depression (TRD). This study evaluated the cost-effectiveness of PAT as a third-line treatment for major depressive disorder compared to standard of care (SOC). We used an individual-level, probabilistic simulation model that portrays representative US adults with TRD who receive SOC (pharmacotherapy, psychotherapy, electroconvulsive therapy, and esketamine nasal spray) and PAT over 12 months. We assumed the total cost of PAT was $5000, which we varied in sensitivity analyses ($3000–20,000). We calculated total costs, health effects (in terms of quality-adjusted life years [QALYs] gained), and incremental cost-effectiveness ratio (ICER) from limited healthcare and societal perspectives. PAT leads to an additional 0.031 QALYs and $3639 costs compared to SOC over 12 months, giving an ICER of $117,517 per QALY gained from a limited healthcare perspective. Using a $150,000 cost-effectiveness threshold, PAT had a 75% probability of being the cost-effective choice, and it was associated with a lower expected loss than SOC ($301 vs. $1307). Results were sensitive to uncertainty in model parameters, particularly the cost of PAT. PAT had a 1% probability of being cost-effective when its overall costs were $10,000 and 95% when its costs were $3000. This cost-effectiveness analysis found that when its costs are $5000 or less, PAT may offer economic value compared to available TRD treatments. Future studies can explore ways to reduce the cost of PAT and to understand its long-term effectiveness in maintaining remission and reducing the risk of relapse.","container-title":"Translational Psychiatry","DOI":"10.1038/s41398-025-03556-4","ISSN":"2158-3188","issue":"1","journalAbbreviation":"Transl Psychiatry","language":"en","page":"330","source":"DOI.org (Crossref)","title":"Psilocybin-assisted therapy for treatment-resistant depression in the US: a model-based cost-effectiveness analysis","title-short":"Psilocybin-assisted therapy for treatment-resistant depression in the US","volume":"15","author":[{"family":"Avanceña","given":"Anton L. V."},{"family":"Vuong","given":"Linh"},{"family":"Kahn","given":"James G."},{"family":"Marseille","given":"Elliot"}],"issued":{"date-parts":[["2025",8,29]]}}}],"schema":"https://github.com/citation-style-language/schema/raw/master/csl-citation.json"} </w:instrText>
      </w:r>
      <w:r>
        <w:fldChar w:fldCharType="separate"/>
      </w:r>
      <w:r w:rsidRPr="00852AAD">
        <w:rPr>
          <w:rFonts w:ascii="Aptos" w:hAnsi="Aptos" w:cs="Times New Roman"/>
          <w:kern w:val="0"/>
        </w:rPr>
        <w:t>(Avanceña et al., 2025)</w:t>
      </w:r>
      <w:r>
        <w:fldChar w:fldCharType="end"/>
      </w:r>
      <w:r>
        <w:t xml:space="preserve">, it has lower dropout rates due to milder side effects </w:t>
      </w:r>
      <w:r>
        <w:fldChar w:fldCharType="begin"/>
      </w:r>
      <w:r>
        <w:instrText xml:space="preserve"> ADDIN ZOTERO_ITEM CSL_CITATION {"citationID":"BytrCGDi","properties":{"formattedCitation":"(Hieronymus et al., 2025; Hinkle et al., 2024)","plainCitation":"(Hieronymus et al., 2025; Hinkle et al., 2024)","noteIndex":0},"citationItems":[{"id":1131,"uris":["http://zotero.org/users/1546863/items/7VQLZSYU"],"itemData":{"id":1131,"type":"article-journal","abstract":"Importance\n              Psilocybin has demonstrated rapid and sustained antidepressant efficacy, with acute-phase effect sizes often more than double those for conventional antidepressants. However, concerns have been raised that high rates of functional unblinding in combination with trial participants with positive expectations of psychedelic use might bias treatment outcomes.\n            \n            \n              Objective\n              To compare outcomes for patients receiving control treatments in randomized clinical trials of psilocybin for depression with control treatment outcomes from trials of selective serotonin reuptake inhibitors (SSRIs) and esketamine.\n            \n            \n              Data Sources\n              Two previous meta-analyses and 1 US Food and Drug Administration review published between March 2019 and December 2024 were used to identify double-blind trials on adult major depressive disorder (MDD) or treatment-resistant depression (TRD) that had a relevant control treatment arm and used the Montgomery-Åsberg Depression Rating Scale (MADRS) for symptom rating.\n            \n            \n              Study Selection\n              Following the Preferred Reporting Items for Systematic Reviews and Meta-Analyses reporting guideline, trials of psilocybin for MDD and TRD, esketamine for TRD, and a selective serotonin reuptake inhibitor (SSRI) for MDD were selected. Studies that included only individuals aged younger than 18 years or older than 65 years, used a crossover design, or had a duration less than 2 weeks were excluded.\n            \n            \n              Data Extraction and Synthesis\n              All authors assessed the 3 reviews for includable trials. Three authors independently extracted data for all trials, with disagreements resolved by consensus discussion. Data were pooled using random-effects models.\n            \n            \n              Main Outcomes and Measures\n              Standardized mean change (SMC) in MADRS scores from baseline to up to 6 weeks after randomization was used to assess within-group effect sizes, and standardized mean difference (SMD) was used to assess between-group effect sizes. Omnibus Test of Moderators (QM) was used to test whether the study population significantly moderated effect sizes.\n            \n            \n              Results\n              \n                The study included 17 trials: 4 of psilocybin (n</w:instrText>
      </w:r>
      <w:r>
        <w:rPr>
          <w:rFonts w:ascii="Arial" w:hAnsi="Arial" w:cs="Arial"/>
        </w:rPr>
        <w:instrText> </w:instrText>
      </w:r>
      <w:r>
        <w:instrText>=</w:instrText>
      </w:r>
      <w:r>
        <w:rPr>
          <w:rFonts w:ascii="Arial" w:hAnsi="Arial" w:cs="Arial"/>
        </w:rPr>
        <w:instrText> </w:instrText>
      </w:r>
      <w:r>
        <w:instrText>373), 2 of esketamine (n</w:instrText>
      </w:r>
      <w:r>
        <w:rPr>
          <w:rFonts w:ascii="Arial" w:hAnsi="Arial" w:cs="Arial"/>
        </w:rPr>
        <w:instrText> </w:instrText>
      </w:r>
      <w:r>
        <w:instrText>=</w:instrText>
      </w:r>
      <w:r>
        <w:rPr>
          <w:rFonts w:ascii="Arial" w:hAnsi="Arial" w:cs="Arial"/>
        </w:rPr>
        <w:instrText> </w:instrText>
      </w:r>
      <w:r>
        <w:instrText>573), and 11 of SSRIs (n</w:instrText>
      </w:r>
      <w:r>
        <w:rPr>
          <w:rFonts w:ascii="Arial" w:hAnsi="Arial" w:cs="Arial"/>
        </w:rPr>
        <w:instrText> </w:instrText>
      </w:r>
      <w:r>
        <w:instrText>=</w:instrText>
      </w:r>
      <w:r>
        <w:rPr>
          <w:rFonts w:ascii="Arial" w:hAnsi="Arial" w:cs="Arial"/>
        </w:rPr>
        <w:instrText> </w:instrText>
      </w:r>
      <w:r>
        <w:instrText xml:space="preserve">4014). Pretreatment to posttreatment SMCs (SEMs) were 1.21 (0.15) for psilocybin, 1.28 (0.06) for SSRIs, and 1.43 (0.15) for esketamine and were 0.50 (0.15), 1.00 (0.08), and 1.12 (0.17) for their respective control treatments. Study population was a significant moderator of between-group SMDs (QM, 10.7;\n                df\n                , 2;\n                P\n                </w:instrText>
      </w:r>
      <w:r>
        <w:rPr>
          <w:rFonts w:ascii="Arial" w:hAnsi="Arial" w:cs="Arial"/>
        </w:rPr>
        <w:instrText> </w:instrText>
      </w:r>
      <w:r>
        <w:instrText>=</w:instrText>
      </w:r>
      <w:r>
        <w:rPr>
          <w:rFonts w:ascii="Arial" w:hAnsi="Arial" w:cs="Arial"/>
        </w:rPr>
        <w:instrText> </w:instrText>
      </w:r>
      <w:r>
        <w:instrText>.005) and pre</w:instrText>
      </w:r>
      <w:r>
        <w:rPr>
          <w:rFonts w:ascii="Aptos" w:hAnsi="Aptos" w:cs="Aptos"/>
        </w:rPr>
        <w:instrText>–</w:instrText>
      </w:r>
      <w:r>
        <w:instrText xml:space="preserve"> to post</w:instrText>
      </w:r>
      <w:r>
        <w:rPr>
          <w:rFonts w:ascii="Aptos" w:hAnsi="Aptos" w:cs="Aptos"/>
        </w:rPr>
        <w:instrText>–</w:instrText>
      </w:r>
      <w:r>
        <w:instrText xml:space="preserve">control treatment SMCs (QM, 10.4;\n                df\n                , 2;\n                P\n                </w:instrText>
      </w:r>
      <w:r>
        <w:rPr>
          <w:rFonts w:ascii="Arial" w:hAnsi="Arial" w:cs="Arial"/>
        </w:rPr>
        <w:instrText> </w:instrText>
      </w:r>
      <w:r>
        <w:instrText>=</w:instrText>
      </w:r>
      <w:r>
        <w:rPr>
          <w:rFonts w:ascii="Arial" w:hAnsi="Arial" w:cs="Arial"/>
        </w:rPr>
        <w:instrText> </w:instrText>
      </w:r>
      <w:r>
        <w:instrText>.005) but not of pre</w:instrText>
      </w:r>
      <w:r>
        <w:rPr>
          <w:rFonts w:ascii="Aptos" w:hAnsi="Aptos" w:cs="Aptos"/>
        </w:rPr>
        <w:instrText>–</w:instrText>
      </w:r>
      <w:r>
        <w:instrText xml:space="preserve"> to post</w:instrText>
      </w:r>
      <w:r>
        <w:rPr>
          <w:rFonts w:ascii="Aptos" w:hAnsi="Aptos" w:cs="Aptos"/>
        </w:rPr>
        <w:instrText>–</w:instrText>
      </w:r>
      <w:r>
        <w:instrText xml:space="preserve">active treatment SMCs (QM, 1.21;\n                df\n                , 2;\n                P\n                </w:instrText>
      </w:r>
      <w:r>
        <w:rPr>
          <w:rFonts w:ascii="Arial" w:hAnsi="Arial" w:cs="Arial"/>
        </w:rPr>
        <w:instrText> </w:instrText>
      </w:r>
      <w:r>
        <w:instrText>=</w:instrText>
      </w:r>
      <w:r>
        <w:rPr>
          <w:rFonts w:ascii="Arial" w:hAnsi="Arial" w:cs="Arial"/>
        </w:rPr>
        <w:instrText> </w:instrText>
      </w:r>
      <w:r>
        <w:instrText xml:space="preserve">.55). MADRS response rates for control treatments in SSRI trials were 14 percentage points higher than in psilocybin trials and in esketamine trials were 23 percentage points higher than in psilocybin trials. Dropout rates for psilocybin (active treatment: 10 of 186 [5%]; control: 20 of 187 [11%]) and esketamine (active treatment: 43 of 349 [12%]; control: 18 of 224 [8%]) were similar and considerably lower than for SSRIs (active treatment: 866 of 2694 [32%]; control: 467 of 1320 [35%]).\n              \n            \n            \n              Conclusions and Relevance\n              In this meta-analysis of control treatment outcomes in trials of psilocybin, SSRIs, or esketamine for depression, participants receiving control treatment in psilocybin trials had significantly less improvement in depression ratings than participants receiving control treatment in trials of SSRIs or esketamine. This might indicate that psilocybin’s antidepressant efficacy is overestimated compared with that of SSRIs and esketamine.","container-title":"JAMA Network Open","DOI":"10.1001/jamanetworkopen.2025.24119","ISSN":"2574-3805","issue":"7","journalAbbreviation":"JAMA Netw Open","language":"en","page":"e2524119","source":"DOI.org (Crossref)","title":"Control Group Outcomes in Trials of Psilocybin, SSRIs, or Esketamine for Depression: A Meta-Analysis","title-short":"Control Group Outcomes in Trials of Psilocybin, SSRIs, or Esketamine for Depression","volume":"8","author":[{"family":"Hieronymus","given":"Fredrik"},{"family":"López","given":"Evana"},{"family":"Werin Sjögren","given":"Helena"},{"family":"Lundberg","given":"Johan"}],"issued":{"date-parts":[["2025",7,30]]}}},{"id":1136,"uris":["http://zotero.org/users/1546863/items/G67SF94D"],"itemData":{"id":1136,"type":"article-journal","abstract":"Importance\n              A clear and comprehensive understanding of risks associated with psychedelic-assisted therapy is necessary as investigators extend its application to new populations and indications.\n            \n            \n              Objective\n              To assess adverse events (AEs) associated with classic psychedelics, particularly serious AEs (SAEs) and nonserious AEs (NSAEs) requiring medical or psychiatric evaluation.\n            \n            \n              Data Sources\n              The search for potentially eligible studies was conducted in the Scopus, MEDLINE, PsycINFO, and Web of Science databases from inception through February 8, 2024.\n            \n            \n              Study Selection\n              Two independent reviewers screened articles of classic psychedelics (lysergic acid diethylamide [LSD], psilocybin, dimethyltryptamine [DMT], and 5-methoxy-N,N-dimethyltryptamine [5-MeO-DMT]) involving administration in clinical or research contexts.\n            \n            \n              Data Extraction and Synthesis\n              AE data were extracted and synthesized by 2 reviewers and were used for random-effects meta-analysis of AE frequency and heterogeneity. Risk of bias assessment focused on AE ascertainment (eg, systematic assessment and quality of follow-up).\n            \n            \n              Main Outcomes and Measures\n              A hybrid approach was used for capture of all reported AEs following high-dose classic psychedelic exposure and confirmatory capture of AEs of special interest, including suicidality, psychotic disorder, manic symptoms, cardiovascular events, and hallucinogen persisting perception disorder. AEs were stratified by timescale and study population type. Forest plots of common AEs were generated, and the proportions of participants affected by SAEs or NSAEs requiring medical intervention were summarized descriptively.\n            \n            \n              Results\n              A total of 214 unique studies were included, of which 114 (53.3%) reported analyzable AE data for 3504 total participants. SAEs were reported for no healthy participants and for approximately 4% of participants with preexisting neuropsychiatric disorders; among these SAEs were worsening depression, suicidal behavior, psychosis, and convulsive episodes. NSAEs requiring medical intervention (eg, paranoia, headache) were similarly rare. In contemporary research settings, there were no reports of deaths by suicide, persistent psychotic disorders, or hallucinogen persisting perception disorders following administration of high-dose classic psychedelics. However, there was significant heterogeneity in the quality of AE monitoring and reporting. Of 68 analyzed studies published since 2005, only 16 (23.5%) described systematic approaches to AE assessment, and 20 studies (29.4%) reported all AEs, as opposed to only adverse drug reactions. Meta-analyses of prevalence for common AEs (eg, headache, anxiety, nausea, fatigue, and dizziness) yielded comparable results for psilocybin and LSD.\n            \n            \n              Conclusions and Relevance\n              In this systematic review and meta-analysis, classic psychedelics were generally well tolerated in clinical or research settings according to the existing literature, although SAEs did occur. These results provide estimates of common AE frequencies and indicate that certain catastrophic events reported in recreational or nonclinical contexts have yet to be reported in contemporary trial participants. Careful, ongoing, and improved pharmacovigilance is required to understand the risk and benefit profiles of these substances and to communicate such risks to prospective study participants and the public.","container-title":"JAMA Psychiatry","DOI":"10.1001/jamapsychiatry.2024.2546","ISSN":"2168-622X","issue":"12","journalAbbreviation":"JAMA Psychiatry","language":"en","page":"1225","source":"DOI.org (Crossref)","title":"Adverse Events in Studies of Classic Psychedelics: A Systematic Review and Meta-Analysis","title-short":"Adverse Events in Studies of Classic Psychedelics","volume":"81","author":[{"family":"Hinkle","given":"Jared T."},{"family":"Graziosi","given":"Marianna"},{"family":"Nayak","given":"Sandeep M."},{"family":"Yaden","given":"David B."}],"issued":{"date-parts":[["2024",12,1]]}}}],"schema":"https://github.com/citation-style-language/schema/raw/master/csl-citation.json"} </w:instrText>
      </w:r>
      <w:r>
        <w:fldChar w:fldCharType="separate"/>
      </w:r>
      <w:r w:rsidRPr="001E1C6B">
        <w:rPr>
          <w:rFonts w:ascii="Aptos" w:hAnsi="Aptos"/>
        </w:rPr>
        <w:t>(Hieronymus et al., 2025; Hinkle et al., 2024)</w:t>
      </w:r>
      <w:r>
        <w:fldChar w:fldCharType="end"/>
      </w:r>
      <w:r w:rsidR="00716A92">
        <w:t xml:space="preserve"> and—as attested by our findings—its </w:t>
      </w:r>
      <w:r>
        <w:t xml:space="preserve">positive effects seem to persist independent </w:t>
      </w:r>
      <w:r w:rsidR="00716A92">
        <w:t xml:space="preserve">for long periods. While most trials implement psychedelic-assisted therapy, recent analysis also suggests psylocibin might be effective even in the absence of </w:t>
      </w:r>
      <w:r>
        <w:t xml:space="preserve">accompanying psychological therapy </w:t>
      </w:r>
      <w:r>
        <w:fldChar w:fldCharType="begin"/>
      </w:r>
      <w:r>
        <w:instrText xml:space="preserve"> ADDIN ZOTERO_ITEM CSL_CITATION {"citationID":"xCztxCJl","properties":{"formattedCitation":"(Hultgren et al., 2025)","plainCitation":"(Hultgren et al., 2025)","noteIndex":0},"citationItems":[{"id":1130,"uris":["http://zotero.org/users/1546863/items/JDWJK97T"],"itemData":{"id":1130,"type":"article-journal","container-title":"General Hospital Psychiatry","DOI":"10.1016/j.genhosppsych.2025.07.020","ISSN":"01638343","journalAbbreviation":"General Hospital Psychiatry","language":"en","page":"234-243","source":"DOI.org (Crossref)","title":"A dose of therapy with psilocybin - A meta-analysis of the relationship between the amount of therapy hours and treatment outcomes in psychedelic-assisted therapy","volume":"96","author":[{"family":"Hultgren","given":"Jennie"},{"family":"Hafsteinsson","given":"Matthias H."},{"family":"Brulin","given":"Joel Gruneau"}],"issued":{"date-parts":[["2025",9]]}}}],"schema":"https://github.com/citation-style-language/schema/raw/master/csl-citation.json"} </w:instrText>
      </w:r>
      <w:r>
        <w:fldChar w:fldCharType="separate"/>
      </w:r>
      <w:r w:rsidRPr="00B70A91">
        <w:rPr>
          <w:rFonts w:ascii="Aptos" w:hAnsi="Aptos"/>
        </w:rPr>
        <w:t>(Hultgren et al., 2025)</w:t>
      </w:r>
      <w:r>
        <w:fldChar w:fldCharType="end"/>
      </w:r>
      <w:r w:rsidR="00716A92">
        <w:t>, i.e., like those reported in naturalistic settings</w:t>
      </w:r>
      <w:r>
        <w:t>.</w:t>
      </w:r>
    </w:p>
    <w:p w14:paraId="3DFEAE8A" w14:textId="77777777" w:rsidR="00FC4951" w:rsidRDefault="00716A92" w:rsidP="002A7ACA">
      <w:r>
        <w:t xml:space="preserve">Despite these benefits, the access to psilocybin remained constrained not only by legal frameworks but due to social stigma. Past research has shown that some patients, </w:t>
      </w:r>
      <w:r>
        <w:lastRenderedPageBreak/>
        <w:t>particularly those of older age, will r</w:t>
      </w:r>
      <w:r>
        <w:t xml:space="preserve">equire thoughtful communication that avoids stigma </w:t>
      </w:r>
      <w:r>
        <w:t xml:space="preserve">in order to access the benefits of psilocybin </w:t>
      </w:r>
      <w:r>
        <w:fldChar w:fldCharType="begin"/>
      </w:r>
      <w:r>
        <w:instrText xml:space="preserve"> ADDIN ZOTERO_ITEM CSL_CITATION {"citationID":"4u5BcQCu","properties":{"formattedCitation":"(Gillespie &amp; Bering, 2025)","plainCitation":"(Gillespie &amp; Bering, 2025)","noteIndex":0},"citationItems":[{"id":1129,"uris":["http://zotero.org/users/1546863/items/SZ7JHU7Z"],"itemData":{"id":1129,"type":"article-journal","container-title":"The American Journal of Geriatric Psychiatry","DOI":"10.1016/j.jagp.2025.07.003","ISSN":"10647481","issue":"12","journalAbbreviation":"The American Journal of Geriatric Psychiatry","language":"en","page":"1251-1259","source":"DOI.org (Crossref)","title":"Avoiding Stigma and Sensationalism in Therapeutic Psilocybin Communications: Considerations for Reaching Older Patients","title-short":"Avoiding Stigma and Sensationalism in Therapeutic Psilocybin Communications","volume":"33","author":[{"family":"Gillespie","given":"Charlotte M."},{"family":"Bering","given":"Jesse M."}],"issued":{"date-parts":[["2025",12]]}}}],"schema":"https://github.com/citation-style-language/schema/raw/master/csl-citation.json"} </w:instrText>
      </w:r>
      <w:r>
        <w:fldChar w:fldCharType="separate"/>
      </w:r>
      <w:r w:rsidRPr="00852AAD">
        <w:rPr>
          <w:rFonts w:ascii="Aptos" w:hAnsi="Aptos"/>
        </w:rPr>
        <w:t>(Gillespie &amp; Bering, 2025)</w:t>
      </w:r>
      <w:r>
        <w:fldChar w:fldCharType="end"/>
      </w:r>
      <w:r>
        <w:t xml:space="preserve">. </w:t>
      </w:r>
      <w:r w:rsidRPr="00716A92">
        <w:t>Similarly, broader societal efforts are needed to reduce stigma and facilitate equitable access, ensuring that all individuals can benefit from psilocybin treatment.</w:t>
      </w:r>
      <w:r>
        <w:t xml:space="preserve"> </w:t>
      </w:r>
    </w:p>
    <w:p w14:paraId="233B606A" w14:textId="200CDFF9" w:rsidR="00716A92" w:rsidRPr="002A7ACA" w:rsidRDefault="00716A92" w:rsidP="002A7ACA">
      <w:r>
        <w:t xml:space="preserve">In Canada, the current Special Access Program </w:t>
      </w:r>
      <w:r w:rsidR="00FC4951">
        <w:t xml:space="preserve">does not allow psychedelics as first line therapy, despite users in our sample reporting consumption without previous treatment. </w:t>
      </w:r>
      <w:r w:rsidR="00FC4951" w:rsidRPr="00FC4951">
        <w:t>Given the accumulating evidence for both the efficacy and safety of psilocybin, there is a compelling rationale for re-evaluating current regulatory frameworks to expand responsible access. Policymakers and healthcare systems should consider pathways that allow psilocybin to be integrated as a treatment option</w:t>
      </w:r>
      <w:r w:rsidR="00FC4951">
        <w:t xml:space="preserve"> beyond </w:t>
      </w:r>
      <w:r w:rsidR="00FC4951" w:rsidRPr="00FC4951">
        <w:t>individuals who have not benefited from conventional therapies</w:t>
      </w:r>
      <w:r w:rsidR="00FC4951">
        <w:t xml:space="preserve">, </w:t>
      </w:r>
      <w:r w:rsidR="00FC4951" w:rsidRPr="00FC4951">
        <w:t>while maintaining safeguards to ensure appropriate use</w:t>
      </w:r>
      <w:r w:rsidR="00FC4951">
        <w:t xml:space="preserve">. </w:t>
      </w:r>
      <w:r w:rsidR="00FC4951" w:rsidRPr="00FC4951">
        <w:t>Expanding access in this way has the potential not only to improve individual well-being but also to reduce the broader public health burden associated with persistent psychological distress.</w:t>
      </w:r>
      <w:r w:rsidR="00FC4951">
        <w:t xml:space="preserve"> </w:t>
      </w:r>
    </w:p>
    <w:p w14:paraId="5EF7011C" w14:textId="2D219EB2" w:rsidR="00BF6E1F" w:rsidRDefault="00BF6E1F" w:rsidP="00BF6E1F">
      <w:pPr>
        <w:pStyle w:val="Heading2"/>
      </w:pPr>
      <w:r w:rsidRPr="0008750F">
        <w:t>Generalisability</w:t>
      </w:r>
    </w:p>
    <w:p w14:paraId="5C46533A" w14:textId="206C9153" w:rsidR="00FC4951" w:rsidRPr="00FC4951" w:rsidRDefault="00FC4951" w:rsidP="00FC4951">
      <w:r w:rsidRPr="00FC4951">
        <w:t>The findings of this study should be interpreted within the context of a voluntary, online Canadian cohort recruited through social media and email campaigns, which may limit representativeness. Participants were self-selected and had access to the internet, meaning the sample likely reflects individuals who are engaged with digital platforms and potentially more open to or informed about psychedelics than the general population.</w:t>
      </w:r>
      <w:r>
        <w:t xml:space="preserve"> </w:t>
      </w:r>
      <w:r w:rsidRPr="00FC4951">
        <w:t>Nevertheless, the lack of significant differences between completers and non-completers, along with the inclusion of participants across a broad age range and educational backgrounds, supports the relevance of these findings to a diverse subset of the Canadian adult population.</w:t>
      </w:r>
    </w:p>
    <w:p w14:paraId="713483B9" w14:textId="52ED3A95" w:rsidR="00BF6E1F" w:rsidRPr="00BF6E1F" w:rsidRDefault="00BF6E1F" w:rsidP="00BF6E1F">
      <w:pPr>
        <w:pStyle w:val="Heading1"/>
      </w:pPr>
      <w:r>
        <w:t>Other information</w:t>
      </w:r>
    </w:p>
    <w:p w14:paraId="252AACD1" w14:textId="59887C4A" w:rsidR="00BF6E1F" w:rsidRDefault="00BF6E1F" w:rsidP="00BF6E1F">
      <w:pPr>
        <w:pStyle w:val="Heading2"/>
      </w:pPr>
      <w:r w:rsidRPr="0008750F">
        <w:t>Funding</w:t>
      </w:r>
    </w:p>
    <w:p w14:paraId="6AAD30D7" w14:textId="1E1986FF" w:rsidR="002F614B" w:rsidRPr="002F614B" w:rsidRDefault="002F614B" w:rsidP="002F614B">
      <w:r>
        <w:t>This study was funded by a private donation from Andrew Beckerman.</w:t>
      </w:r>
    </w:p>
    <w:p w14:paraId="768F055F" w14:textId="77777777" w:rsidR="00BF6E1F" w:rsidRPr="0008750F" w:rsidRDefault="00BF6E1F">
      <w:pPr>
        <w:rPr>
          <w:rFonts w:asciiTheme="majorHAnsi" w:eastAsiaTheme="majorEastAsia" w:hAnsiTheme="majorHAnsi" w:cstheme="majorBidi"/>
          <w:color w:val="0F4761" w:themeColor="accent1" w:themeShade="BF"/>
          <w:sz w:val="40"/>
          <w:szCs w:val="40"/>
        </w:rPr>
      </w:pPr>
      <w:r w:rsidRPr="0008750F">
        <w:br w:type="page"/>
      </w:r>
    </w:p>
    <w:p w14:paraId="138C3E41" w14:textId="2FAC0D82" w:rsidR="00BF6E1F" w:rsidRPr="0008750F" w:rsidRDefault="00BF6E1F" w:rsidP="00BF6E1F">
      <w:pPr>
        <w:pStyle w:val="Heading1"/>
      </w:pPr>
      <w:r w:rsidRPr="0008750F">
        <w:lastRenderedPageBreak/>
        <w:t>References</w:t>
      </w:r>
    </w:p>
    <w:p w14:paraId="1D7B860D" w14:textId="77777777" w:rsidR="00234F0A" w:rsidRDefault="00BF6E1F" w:rsidP="00234F0A">
      <w:pPr>
        <w:pStyle w:val="Bibliography"/>
      </w:pPr>
      <w:r>
        <w:rPr>
          <w:lang w:val="fr-FR"/>
        </w:rPr>
        <w:fldChar w:fldCharType="begin"/>
      </w:r>
      <w:r w:rsidR="001E1C6B">
        <w:instrText xml:space="preserve"> ADDIN ZOTERO_BIBL {"uncited":[],"omitted":[],"custom":[]} CSL_BIBLIOGRAPHY </w:instrText>
      </w:r>
      <w:r>
        <w:rPr>
          <w:lang w:val="fr-FR"/>
        </w:rPr>
        <w:fldChar w:fldCharType="separate"/>
      </w:r>
      <w:proofErr w:type="spellStart"/>
      <w:r w:rsidR="00234F0A">
        <w:t>Abuduxike</w:t>
      </w:r>
      <w:proofErr w:type="spellEnd"/>
      <w:r w:rsidR="00234F0A">
        <w:t xml:space="preserve">, G., </w:t>
      </w:r>
      <w:proofErr w:type="spellStart"/>
      <w:r w:rsidR="00234F0A">
        <w:t>Aşut</w:t>
      </w:r>
      <w:proofErr w:type="spellEnd"/>
      <w:r w:rsidR="00234F0A">
        <w:t xml:space="preserve">, Ö., </w:t>
      </w:r>
      <w:proofErr w:type="spellStart"/>
      <w:r w:rsidR="00234F0A">
        <w:t>Vaizoğlu</w:t>
      </w:r>
      <w:proofErr w:type="spellEnd"/>
      <w:r w:rsidR="00234F0A">
        <w:t xml:space="preserve">, S. A., &amp; Cali, S. (2019). Health-Seeking Behaviors and its Determinants: A Facility-Based Cross-Sectional Study in the Turkish Republic of Northern Cyprus. </w:t>
      </w:r>
      <w:r w:rsidR="00234F0A">
        <w:rPr>
          <w:i/>
          <w:iCs/>
        </w:rPr>
        <w:t>International Journal of Health Policy and Management</w:t>
      </w:r>
      <w:r w:rsidR="00234F0A">
        <w:t>, 1. https://doi.org/10.15171/ijhpm.2019.106</w:t>
      </w:r>
    </w:p>
    <w:p w14:paraId="26D27252" w14:textId="77777777" w:rsidR="00234F0A" w:rsidRDefault="00234F0A" w:rsidP="00234F0A">
      <w:pPr>
        <w:pStyle w:val="Bibliography"/>
      </w:pPr>
      <w:r>
        <w:t xml:space="preserve">American Psychiatric Association. (2023). </w:t>
      </w:r>
      <w:r>
        <w:rPr>
          <w:i/>
          <w:iCs/>
        </w:rPr>
        <w:t>Practice Guideline for the Treatment of Patients With Major Depressive Disorder</w:t>
      </w:r>
      <w:r>
        <w:t>. American Psychiatric Association Publishing. https://www.apa.org/depression-guideline/guideline.pdf</w:t>
      </w:r>
    </w:p>
    <w:p w14:paraId="72788635" w14:textId="77777777" w:rsidR="00234F0A" w:rsidRDefault="00234F0A" w:rsidP="00234F0A">
      <w:pPr>
        <w:pStyle w:val="Bibliography"/>
      </w:pPr>
      <w:r w:rsidRPr="00234F0A">
        <w:rPr>
          <w:lang w:val="pt-PT"/>
        </w:rPr>
        <w:t xml:space="preserve">Andrade, F. R. T., Buchborn, T., Thalheimer, G., Meinhardt, M. W., Joca, S., &amp; De Almeida, R. M. M. (2025). </w:t>
      </w:r>
      <w:r>
        <w:t xml:space="preserve">Therapeutic Use of Psilocybin in Depression: A Systematic Review of Clinical Evidence. </w:t>
      </w:r>
      <w:r>
        <w:rPr>
          <w:i/>
          <w:iCs/>
        </w:rPr>
        <w:t xml:space="preserve">Acta </w:t>
      </w:r>
      <w:proofErr w:type="spellStart"/>
      <w:r>
        <w:rPr>
          <w:i/>
          <w:iCs/>
        </w:rPr>
        <w:t>Neuropsychiatrica</w:t>
      </w:r>
      <w:proofErr w:type="spellEnd"/>
      <w:r>
        <w:t xml:space="preserve">, </w:t>
      </w:r>
      <w:r>
        <w:rPr>
          <w:i/>
          <w:iCs/>
        </w:rPr>
        <w:t>37</w:t>
      </w:r>
      <w:r>
        <w:t>, e86. https://doi.org/10.1017/neu.2025.10039</w:t>
      </w:r>
    </w:p>
    <w:p w14:paraId="14C197F7" w14:textId="77777777" w:rsidR="00234F0A" w:rsidRDefault="00234F0A" w:rsidP="00234F0A">
      <w:pPr>
        <w:pStyle w:val="Bibliography"/>
      </w:pPr>
      <w:proofErr w:type="spellStart"/>
      <w:r>
        <w:t>Askariyan</w:t>
      </w:r>
      <w:proofErr w:type="spellEnd"/>
      <w:r>
        <w:t xml:space="preserve">, K., Joghataei, M. T., Dehghan, S., </w:t>
      </w:r>
      <w:proofErr w:type="spellStart"/>
      <w:r>
        <w:t>Nohesara</w:t>
      </w:r>
      <w:proofErr w:type="spellEnd"/>
      <w:r>
        <w:t xml:space="preserve">, S., Riahi Pour, L., Mohammadi, M. H., &amp; </w:t>
      </w:r>
      <w:proofErr w:type="spellStart"/>
      <w:r>
        <w:t>Ahmadirad</w:t>
      </w:r>
      <w:proofErr w:type="spellEnd"/>
      <w:r>
        <w:t xml:space="preserve">, N. (2025). An overview of psilocybin, LSD, MDMA, and ketamine in revitalizing psychedelic-assisted therapy: Insights, limitations and future directions. </w:t>
      </w:r>
      <w:r>
        <w:rPr>
          <w:i/>
          <w:iCs/>
        </w:rPr>
        <w:t>Progress in Neuro-Psychopharmacology and Biological Psychiatry</w:t>
      </w:r>
      <w:r>
        <w:t xml:space="preserve">, </w:t>
      </w:r>
      <w:r>
        <w:rPr>
          <w:i/>
          <w:iCs/>
        </w:rPr>
        <w:t>141</w:t>
      </w:r>
      <w:r>
        <w:t>, 111461. https://doi.org/10.1016/j.pnpbp.2025.111461</w:t>
      </w:r>
    </w:p>
    <w:p w14:paraId="61EFAA2E" w14:textId="77777777" w:rsidR="00234F0A" w:rsidRPr="00234F0A" w:rsidRDefault="00234F0A" w:rsidP="00234F0A">
      <w:pPr>
        <w:pStyle w:val="Bibliography"/>
        <w:rPr>
          <w:lang w:val="it-IT"/>
        </w:rPr>
      </w:pPr>
      <w:r>
        <w:t xml:space="preserve">Austin, P. C., &amp; Stuart, E. A. (2015). Moving towards best practice when using inverse probability of treatment weighting (IPTW) using the propensity score to estimate causal treatment effects in observational studies. </w:t>
      </w:r>
      <w:r w:rsidRPr="00234F0A">
        <w:rPr>
          <w:i/>
          <w:iCs/>
          <w:lang w:val="it-IT"/>
        </w:rPr>
        <w:t>Statistics in Medicine</w:t>
      </w:r>
      <w:r w:rsidRPr="00234F0A">
        <w:rPr>
          <w:lang w:val="it-IT"/>
        </w:rPr>
        <w:t xml:space="preserve">, </w:t>
      </w:r>
      <w:r w:rsidRPr="00234F0A">
        <w:rPr>
          <w:i/>
          <w:iCs/>
          <w:lang w:val="it-IT"/>
        </w:rPr>
        <w:t>34</w:t>
      </w:r>
      <w:r w:rsidRPr="00234F0A">
        <w:rPr>
          <w:lang w:val="it-IT"/>
        </w:rPr>
        <w:t>(28), 3661–3679. https://doi.org/10.1002/sim.6607</w:t>
      </w:r>
    </w:p>
    <w:p w14:paraId="4260A38B" w14:textId="77777777" w:rsidR="00234F0A" w:rsidRDefault="00234F0A" w:rsidP="00234F0A">
      <w:pPr>
        <w:pStyle w:val="Bibliography"/>
      </w:pPr>
      <w:r w:rsidRPr="00234F0A">
        <w:rPr>
          <w:lang w:val="it-IT"/>
        </w:rPr>
        <w:t xml:space="preserve">Avanceña, A. L. V., Vuong, L., Kahn, J. G., &amp; Marseille, E. (2025). </w:t>
      </w:r>
      <w:r>
        <w:t xml:space="preserve">Psilocybin-assisted therapy for treatment-resistant depression in the US: A model-based cost-effectiveness analysis. </w:t>
      </w:r>
      <w:r>
        <w:rPr>
          <w:i/>
          <w:iCs/>
        </w:rPr>
        <w:t>Translational Psychiatry</w:t>
      </w:r>
      <w:r>
        <w:t xml:space="preserve">, </w:t>
      </w:r>
      <w:r>
        <w:rPr>
          <w:i/>
          <w:iCs/>
        </w:rPr>
        <w:t>15</w:t>
      </w:r>
      <w:r>
        <w:t>(1), 330. https://doi.org/10.1038/s41398-025-03556-4</w:t>
      </w:r>
    </w:p>
    <w:p w14:paraId="106ED681" w14:textId="77777777" w:rsidR="00234F0A" w:rsidRDefault="00234F0A" w:rsidP="00234F0A">
      <w:pPr>
        <w:pStyle w:val="Bibliography"/>
      </w:pPr>
      <w:r>
        <w:t xml:space="preserve">Brudner, R. M., Kaczmarek, E., Blainey, M. G., Schulz-Quach, C., Meshkat, S., Doyle, Z., Lipsitz, O., Offman, H., Sethi, R., Weiglein, G., McIntyre, R. S., &amp; Rosenblat, J. D. (2025). Examining mystical experiences as a predictor of psilocybin-assisted psychotherapy for treatment-resistant depression. </w:t>
      </w:r>
      <w:r>
        <w:rPr>
          <w:i/>
          <w:iCs/>
        </w:rPr>
        <w:t>Journal of Psychopharmacology</w:t>
      </w:r>
      <w:r>
        <w:t xml:space="preserve">, </w:t>
      </w:r>
      <w:r>
        <w:rPr>
          <w:i/>
          <w:iCs/>
        </w:rPr>
        <w:t>39</w:t>
      </w:r>
      <w:r>
        <w:t>(9), 950–956. https://doi.org/10.1177/02698811251346697</w:t>
      </w:r>
    </w:p>
    <w:p w14:paraId="0727BF86" w14:textId="77777777" w:rsidR="00234F0A" w:rsidRDefault="00234F0A" w:rsidP="00234F0A">
      <w:pPr>
        <w:pStyle w:val="Bibliography"/>
      </w:pPr>
      <w:r>
        <w:t xml:space="preserve">Bujalski, M., Wieczorek, Ł., &amp; </w:t>
      </w:r>
      <w:proofErr w:type="spellStart"/>
      <w:r>
        <w:t>Sierosławski</w:t>
      </w:r>
      <w:proofErr w:type="spellEnd"/>
      <w:r>
        <w:t xml:space="preserve">, J. (2021). Risk perception and risk aversion among people who use New Psychoactive Substances. </w:t>
      </w:r>
      <w:r>
        <w:rPr>
          <w:i/>
          <w:iCs/>
        </w:rPr>
        <w:t>International Journal of Drug Policy</w:t>
      </w:r>
      <w:r>
        <w:t xml:space="preserve">, </w:t>
      </w:r>
      <w:r>
        <w:rPr>
          <w:i/>
          <w:iCs/>
        </w:rPr>
        <w:t>97</w:t>
      </w:r>
      <w:r>
        <w:t>, 103326. https://doi.org/10.1016/j.drugpo.2021.103326</w:t>
      </w:r>
    </w:p>
    <w:p w14:paraId="1AEB350C" w14:textId="77777777" w:rsidR="00234F0A" w:rsidRDefault="00234F0A" w:rsidP="00234F0A">
      <w:pPr>
        <w:pStyle w:val="Bibliography"/>
      </w:pPr>
      <w:r>
        <w:t xml:space="preserve">Card, K. G., Grewal, A., Closson, K., Martin, G., Baracaldo, L., Allison, S., Kruger, D. J., &amp; Walsh, Z. (2024). Therapeutic Potential of Psilocybin for Treating Psychological Distress </w:t>
      </w:r>
      <w:r>
        <w:lastRenderedPageBreak/>
        <w:t xml:space="preserve">among Survivors of Adverse Childhood Experiences: Evidence on Acceptability and Potential Efficacy of Psilocybin Use. </w:t>
      </w:r>
      <w:r>
        <w:rPr>
          <w:i/>
          <w:iCs/>
        </w:rPr>
        <w:t>Journal of Psychoactive Drugs</w:t>
      </w:r>
      <w:r>
        <w:t xml:space="preserve">, </w:t>
      </w:r>
      <w:r>
        <w:rPr>
          <w:i/>
          <w:iCs/>
        </w:rPr>
        <w:t>56</w:t>
      </w:r>
      <w:r>
        <w:t>(5), 616–626. https://doi.org/10.1080/02791072.2023.2268640</w:t>
      </w:r>
    </w:p>
    <w:p w14:paraId="4C5EDE22" w14:textId="77777777" w:rsidR="00234F0A" w:rsidRDefault="00234F0A" w:rsidP="00234F0A">
      <w:pPr>
        <w:pStyle w:val="Bibliography"/>
      </w:pPr>
      <w:r>
        <w:t xml:space="preserve">Carhart-Harris, R. L., &amp; Goodwin, G. M. (2017). The Therapeutic Potential of Psychedelic Drugs: Past, Present, and Future. </w:t>
      </w:r>
      <w:r>
        <w:rPr>
          <w:i/>
          <w:iCs/>
        </w:rPr>
        <w:t>Neuropsychopharmacology</w:t>
      </w:r>
      <w:r>
        <w:t xml:space="preserve">, </w:t>
      </w:r>
      <w:r>
        <w:rPr>
          <w:i/>
          <w:iCs/>
        </w:rPr>
        <w:t>42</w:t>
      </w:r>
      <w:r>
        <w:t>(11), 2105–2113. https://doi.org/10.1038/npp.2017.84</w:t>
      </w:r>
    </w:p>
    <w:p w14:paraId="6E7C90D8" w14:textId="77777777" w:rsidR="00234F0A" w:rsidRPr="00234F0A" w:rsidRDefault="00234F0A" w:rsidP="00234F0A">
      <w:pPr>
        <w:pStyle w:val="Bibliography"/>
        <w:rPr>
          <w:lang w:val="fr-FR"/>
        </w:rPr>
      </w:pPr>
      <w:r>
        <w:t xml:space="preserve">Cheon, Y., Park, J., Jeong, B. Y., Park, E. Y., Oh, J.-K., Yun, E. H., &amp; Lim, M. K. (2020). Factors associated with psychological stress and distress among Korean adults: The results from Korea National Health and Nutrition Examination Survey. </w:t>
      </w:r>
      <w:r w:rsidRPr="00234F0A">
        <w:rPr>
          <w:i/>
          <w:iCs/>
          <w:lang w:val="fr-FR"/>
        </w:rPr>
        <w:t>Scientific Reports</w:t>
      </w:r>
      <w:r w:rsidRPr="00234F0A">
        <w:rPr>
          <w:lang w:val="fr-FR"/>
        </w:rPr>
        <w:t xml:space="preserve">, </w:t>
      </w:r>
      <w:r w:rsidRPr="00234F0A">
        <w:rPr>
          <w:i/>
          <w:iCs/>
          <w:lang w:val="fr-FR"/>
        </w:rPr>
        <w:t>10</w:t>
      </w:r>
      <w:r w:rsidRPr="00234F0A">
        <w:rPr>
          <w:lang w:val="fr-FR"/>
        </w:rPr>
        <w:t>(1), 15134. https://doi.org/10.1038/s41598-020-71789-y</w:t>
      </w:r>
    </w:p>
    <w:p w14:paraId="3BCDAE26" w14:textId="77777777" w:rsidR="00234F0A" w:rsidRPr="00234F0A" w:rsidRDefault="00234F0A" w:rsidP="00234F0A">
      <w:pPr>
        <w:pStyle w:val="Bibliography"/>
        <w:rPr>
          <w:lang w:val="fr-FR"/>
        </w:rPr>
      </w:pPr>
      <w:r w:rsidRPr="00234F0A">
        <w:rPr>
          <w:lang w:val="fr-FR"/>
        </w:rPr>
        <w:t xml:space="preserve">Conover, W., &amp; Iman, R. (1979). </w:t>
      </w:r>
      <w:r w:rsidRPr="00234F0A">
        <w:rPr>
          <w:i/>
          <w:iCs/>
          <w:lang w:val="fr-FR"/>
        </w:rPr>
        <w:t>Multiple-</w:t>
      </w:r>
      <w:proofErr w:type="spellStart"/>
      <w:r w:rsidRPr="00234F0A">
        <w:rPr>
          <w:i/>
          <w:iCs/>
          <w:lang w:val="fr-FR"/>
        </w:rPr>
        <w:t>comparisons</w:t>
      </w:r>
      <w:proofErr w:type="spellEnd"/>
      <w:r w:rsidRPr="00234F0A">
        <w:rPr>
          <w:i/>
          <w:iCs/>
          <w:lang w:val="fr-FR"/>
        </w:rPr>
        <w:t xml:space="preserve"> </w:t>
      </w:r>
      <w:proofErr w:type="spellStart"/>
      <w:r w:rsidRPr="00234F0A">
        <w:rPr>
          <w:i/>
          <w:iCs/>
          <w:lang w:val="fr-FR"/>
        </w:rPr>
        <w:t>procedures</w:t>
      </w:r>
      <w:proofErr w:type="spellEnd"/>
      <w:r w:rsidRPr="00234F0A">
        <w:rPr>
          <w:i/>
          <w:iCs/>
          <w:lang w:val="fr-FR"/>
        </w:rPr>
        <w:t>. Informal report</w:t>
      </w:r>
      <w:r w:rsidRPr="00234F0A">
        <w:rPr>
          <w:lang w:val="fr-FR"/>
        </w:rPr>
        <w:t xml:space="preserve"> (No. LA-7677-MS, 6057803; p. LA-7677-MS, 6057803). https://doi.org/10.2172/6057803</w:t>
      </w:r>
    </w:p>
    <w:p w14:paraId="5C9EAF0F" w14:textId="77777777" w:rsidR="00234F0A" w:rsidRDefault="00234F0A" w:rsidP="00234F0A">
      <w:pPr>
        <w:pStyle w:val="Bibliography"/>
      </w:pPr>
      <w:r>
        <w:t xml:space="preserve">Crichton, P., Carel, H., &amp; Kidd, I. J. (2017). Epistemic injustice in psychiatry. </w:t>
      </w:r>
      <w:proofErr w:type="spellStart"/>
      <w:r>
        <w:rPr>
          <w:i/>
          <w:iCs/>
        </w:rPr>
        <w:t>BJPsych</w:t>
      </w:r>
      <w:proofErr w:type="spellEnd"/>
      <w:r>
        <w:rPr>
          <w:i/>
          <w:iCs/>
        </w:rPr>
        <w:t xml:space="preserve"> Bulletin</w:t>
      </w:r>
      <w:r>
        <w:t xml:space="preserve">, </w:t>
      </w:r>
      <w:r>
        <w:rPr>
          <w:i/>
          <w:iCs/>
        </w:rPr>
        <w:t>41</w:t>
      </w:r>
      <w:r>
        <w:t>(2), 65–70. https://doi.org/10.1192/pb.bp.115.050682</w:t>
      </w:r>
    </w:p>
    <w:p w14:paraId="4EAEC8AF" w14:textId="77777777" w:rsidR="00234F0A" w:rsidRDefault="00234F0A" w:rsidP="00234F0A">
      <w:pPr>
        <w:pStyle w:val="Bibliography"/>
      </w:pPr>
      <w:r>
        <w:t xml:space="preserve">Danborg, P. B., </w:t>
      </w:r>
      <w:proofErr w:type="spellStart"/>
      <w:r>
        <w:t>Valdersdorf</w:t>
      </w:r>
      <w:proofErr w:type="spellEnd"/>
      <w:r>
        <w:t xml:space="preserve">, M., &amp; Gøtzsche, P. C. (2019). Long-term harms from previous use of selective serotonin reuptake inhibitors: A systematic review. </w:t>
      </w:r>
      <w:r>
        <w:rPr>
          <w:i/>
          <w:iCs/>
        </w:rPr>
        <w:t>International Journal of Risk &amp; Safety in Medicine</w:t>
      </w:r>
      <w:r>
        <w:t xml:space="preserve">, </w:t>
      </w:r>
      <w:r>
        <w:rPr>
          <w:i/>
          <w:iCs/>
        </w:rPr>
        <w:t>30</w:t>
      </w:r>
      <w:r>
        <w:t>(2), 59–71. https://doi.org/10.3233/JRS-180046</w:t>
      </w:r>
    </w:p>
    <w:p w14:paraId="2255D38B" w14:textId="77777777" w:rsidR="00234F0A" w:rsidRDefault="00234F0A" w:rsidP="00234F0A">
      <w:pPr>
        <w:pStyle w:val="Bibliography"/>
      </w:pPr>
      <w:r>
        <w:t xml:space="preserve">De Haan, S. (2020). </w:t>
      </w:r>
      <w:r>
        <w:rPr>
          <w:i/>
          <w:iCs/>
        </w:rPr>
        <w:t>Enactive Psychiatry</w:t>
      </w:r>
      <w:r>
        <w:t xml:space="preserve"> (1st </w:t>
      </w:r>
      <w:proofErr w:type="spellStart"/>
      <w:r>
        <w:t>edn</w:t>
      </w:r>
      <w:proofErr w:type="spellEnd"/>
      <w:r>
        <w:t>). Cambridge University Press. https://doi.org/10.1017/9781108685214</w:t>
      </w:r>
    </w:p>
    <w:p w14:paraId="51A13989" w14:textId="77777777" w:rsidR="00234F0A" w:rsidRDefault="00234F0A" w:rsidP="00234F0A">
      <w:pPr>
        <w:pStyle w:val="Bibliography"/>
      </w:pPr>
      <w:r w:rsidRPr="00234F0A">
        <w:rPr>
          <w:lang w:val="es-EC"/>
        </w:rPr>
        <w:t xml:space="preserve">De Las Cuevas, C., Peñate, W., &amp; Sanz, E. J. (2014). </w:t>
      </w:r>
      <w:r>
        <w:t xml:space="preserve">Risk factors for non-adherence to antidepressant treatment in patients with mood disorders. </w:t>
      </w:r>
      <w:r>
        <w:rPr>
          <w:i/>
          <w:iCs/>
        </w:rPr>
        <w:t>European Journal of Clinical Pharmacology</w:t>
      </w:r>
      <w:r>
        <w:t xml:space="preserve">, </w:t>
      </w:r>
      <w:r>
        <w:rPr>
          <w:i/>
          <w:iCs/>
        </w:rPr>
        <w:t>70</w:t>
      </w:r>
      <w:r>
        <w:t>(1), 89–98. https://doi.org/10.1007/s00228-013-1582-9</w:t>
      </w:r>
    </w:p>
    <w:p w14:paraId="312925E5" w14:textId="77777777" w:rsidR="00234F0A" w:rsidRDefault="00234F0A" w:rsidP="00234F0A">
      <w:pPr>
        <w:pStyle w:val="Bibliography"/>
      </w:pPr>
      <w:r>
        <w:t>Doherty, D. T., &amp; Kartalova</w:t>
      </w:r>
      <w:r>
        <w:rPr>
          <w:rFonts w:ascii="Cambria Math" w:hAnsi="Cambria Math" w:cs="Cambria Math"/>
        </w:rPr>
        <w:t>‐</w:t>
      </w:r>
      <w:r>
        <w:t>O</w:t>
      </w:r>
      <w:r>
        <w:rPr>
          <w:rFonts w:ascii="Aptos" w:hAnsi="Aptos" w:cs="Aptos"/>
        </w:rPr>
        <w:t>’</w:t>
      </w:r>
      <w:r>
        <w:t>Doherty, Y. (2010). Gender and self</w:t>
      </w:r>
      <w:r>
        <w:rPr>
          <w:rFonts w:ascii="Cambria Math" w:hAnsi="Cambria Math" w:cs="Cambria Math"/>
        </w:rPr>
        <w:t>‐</w:t>
      </w:r>
      <w:r>
        <w:t xml:space="preserve">reported mental health problems: Predictors of help seeking from a general practitioner. </w:t>
      </w:r>
      <w:r>
        <w:rPr>
          <w:i/>
          <w:iCs/>
        </w:rPr>
        <w:t>British Journal of Health Psychology</w:t>
      </w:r>
      <w:r>
        <w:t xml:space="preserve">, </w:t>
      </w:r>
      <w:r>
        <w:rPr>
          <w:i/>
          <w:iCs/>
        </w:rPr>
        <w:t>15</w:t>
      </w:r>
      <w:r>
        <w:t>(1), 213–228. https://doi.org/10.1348/135910709X457423</w:t>
      </w:r>
    </w:p>
    <w:p w14:paraId="129F95F7" w14:textId="77777777" w:rsidR="00234F0A" w:rsidRDefault="00234F0A" w:rsidP="00234F0A">
      <w:pPr>
        <w:pStyle w:val="Bibliography"/>
      </w:pPr>
      <w:proofErr w:type="spellStart"/>
      <w:r>
        <w:t>Erritzoe</w:t>
      </w:r>
      <w:proofErr w:type="spellEnd"/>
      <w:r>
        <w:t xml:space="preserve">, D., Barba, T., Greenway, K. T., Murphy, R., Martell, J., </w:t>
      </w:r>
      <w:proofErr w:type="spellStart"/>
      <w:r>
        <w:t>Giribaldi</w:t>
      </w:r>
      <w:proofErr w:type="spellEnd"/>
      <w:r>
        <w:t xml:space="preserve">, B., Timmermann, C., Murphy-Beiner, A., Jones, M. B., Nutt, D., Weiss, B., &amp; Carhart-Harris, R. (2024). Effect of psilocybin versus escitalopram on depression symptom severity in patients with moderate-to-severe major depressive disorder: Observational 6-month follow-up of a phase 2, double-blind, randomised, controlled trial. </w:t>
      </w:r>
      <w:proofErr w:type="spellStart"/>
      <w:r>
        <w:rPr>
          <w:i/>
          <w:iCs/>
        </w:rPr>
        <w:t>eClinicalMedicine</w:t>
      </w:r>
      <w:proofErr w:type="spellEnd"/>
      <w:r>
        <w:t xml:space="preserve">, </w:t>
      </w:r>
      <w:r>
        <w:rPr>
          <w:i/>
          <w:iCs/>
        </w:rPr>
        <w:t>76</w:t>
      </w:r>
      <w:r>
        <w:t>, 102799. https://doi.org/10.1016/j.eclinm.2024.102799</w:t>
      </w:r>
    </w:p>
    <w:p w14:paraId="0F48DB0F" w14:textId="77777777" w:rsidR="00234F0A" w:rsidRPr="00234F0A" w:rsidRDefault="00234F0A" w:rsidP="00234F0A">
      <w:pPr>
        <w:pStyle w:val="Bibliography"/>
        <w:rPr>
          <w:lang w:val="it-IT"/>
        </w:rPr>
      </w:pPr>
      <w:r>
        <w:lastRenderedPageBreak/>
        <w:t xml:space="preserve">Fan, Y., Fan, A., Yang, Z., &amp; Fan, D. (2025). Global burden of mental disorders in 204 countries and territories, 1990–2021: Results from the global burden of disease study 2021. </w:t>
      </w:r>
      <w:r w:rsidRPr="00234F0A">
        <w:rPr>
          <w:i/>
          <w:iCs/>
          <w:lang w:val="it-IT"/>
        </w:rPr>
        <w:t>BMC Psychiatry</w:t>
      </w:r>
      <w:r w:rsidRPr="00234F0A">
        <w:rPr>
          <w:lang w:val="it-IT"/>
        </w:rPr>
        <w:t xml:space="preserve">, </w:t>
      </w:r>
      <w:r w:rsidRPr="00234F0A">
        <w:rPr>
          <w:i/>
          <w:iCs/>
          <w:lang w:val="it-IT"/>
        </w:rPr>
        <w:t>25</w:t>
      </w:r>
      <w:r w:rsidRPr="00234F0A">
        <w:rPr>
          <w:lang w:val="it-IT"/>
        </w:rPr>
        <w:t>(1), 486. https://doi.org/10.1186/s12888-025-06932-y</w:t>
      </w:r>
    </w:p>
    <w:p w14:paraId="79087602" w14:textId="77777777" w:rsidR="00234F0A" w:rsidRDefault="00234F0A" w:rsidP="00234F0A">
      <w:pPr>
        <w:pStyle w:val="Bibliography"/>
      </w:pPr>
      <w:r w:rsidRPr="00234F0A">
        <w:rPr>
          <w:lang w:val="it-IT"/>
        </w:rPr>
        <w:t xml:space="preserve">García, E., &amp; Barandiaran, X. E. (2025). </w:t>
      </w:r>
      <w:r>
        <w:t xml:space="preserve">Varieties of normativity and mental health: An enactive approach. </w:t>
      </w:r>
      <w:proofErr w:type="spellStart"/>
      <w:r>
        <w:rPr>
          <w:i/>
          <w:iCs/>
        </w:rPr>
        <w:t>Synthese</w:t>
      </w:r>
      <w:proofErr w:type="spellEnd"/>
      <w:r>
        <w:t xml:space="preserve">, </w:t>
      </w:r>
      <w:r>
        <w:rPr>
          <w:i/>
          <w:iCs/>
        </w:rPr>
        <w:t>205</w:t>
      </w:r>
      <w:r>
        <w:t>(2), 53. https://doi.org/10.1007/s11229-024-04854-y</w:t>
      </w:r>
    </w:p>
    <w:p w14:paraId="54A42755" w14:textId="77777777" w:rsidR="00234F0A" w:rsidRDefault="00234F0A" w:rsidP="00234F0A">
      <w:pPr>
        <w:pStyle w:val="Bibliography"/>
      </w:pPr>
      <w:r>
        <w:t xml:space="preserve">Gillespie, C. M., &amp; Bering, J. M. (2025). Avoiding Stigma and Sensationalism in Therapeutic Psilocybin Communications: Considerations for Reaching Older Patients. </w:t>
      </w:r>
      <w:r>
        <w:rPr>
          <w:i/>
          <w:iCs/>
        </w:rPr>
        <w:t>The American Journal of Geriatric Psychiatry</w:t>
      </w:r>
      <w:r>
        <w:t xml:space="preserve">, </w:t>
      </w:r>
      <w:r>
        <w:rPr>
          <w:i/>
          <w:iCs/>
        </w:rPr>
        <w:t>33</w:t>
      </w:r>
      <w:r>
        <w:t>(12), 1251–1259. https://doi.org/10.1016/j.jagp.2025.07.003</w:t>
      </w:r>
    </w:p>
    <w:p w14:paraId="3885C46B" w14:textId="77777777" w:rsidR="00234F0A" w:rsidRDefault="00234F0A" w:rsidP="00234F0A">
      <w:pPr>
        <w:pStyle w:val="Bibliography"/>
      </w:pPr>
      <w:r w:rsidRPr="00234F0A">
        <w:rPr>
          <w:lang w:val="it-IT"/>
        </w:rPr>
        <w:t xml:space="preserve">Graziosi, M., Singh, M., Nayak, S. M., &amp; Yaden, D. B. (2023). </w:t>
      </w:r>
      <w:r>
        <w:t xml:space="preserve">Acute Subjective Effects of Psychedelics within and Beyond WEIRD Contexts. </w:t>
      </w:r>
      <w:r>
        <w:rPr>
          <w:i/>
          <w:iCs/>
        </w:rPr>
        <w:t>Journal of Psychoactive Drugs</w:t>
      </w:r>
      <w:r>
        <w:t xml:space="preserve">, </w:t>
      </w:r>
      <w:r>
        <w:rPr>
          <w:i/>
          <w:iCs/>
        </w:rPr>
        <w:t>55</w:t>
      </w:r>
      <w:r>
        <w:t>(5), 558–569. https://doi.org/10.1080/02791072.2023.2255274</w:t>
      </w:r>
    </w:p>
    <w:p w14:paraId="7ECCFCDB" w14:textId="77777777" w:rsidR="00234F0A" w:rsidRDefault="00234F0A" w:rsidP="00234F0A">
      <w:pPr>
        <w:pStyle w:val="Bibliography"/>
      </w:pPr>
      <w:r>
        <w:t xml:space="preserve">Griffiths, R. R., Richards, W. A., McCann, U., &amp; Jesse, R. (2006). Psilocybin can occasion mystical-type experiences having substantial and sustained personal meaning and spiritual significance. </w:t>
      </w:r>
      <w:r>
        <w:rPr>
          <w:i/>
          <w:iCs/>
        </w:rPr>
        <w:t>Psychopharmacology</w:t>
      </w:r>
      <w:r>
        <w:t xml:space="preserve">, </w:t>
      </w:r>
      <w:r>
        <w:rPr>
          <w:i/>
          <w:iCs/>
        </w:rPr>
        <w:t>187</w:t>
      </w:r>
      <w:r>
        <w:t>(3), 268–283. https://doi.org/10.1007/s00213-006-0457-5</w:t>
      </w:r>
    </w:p>
    <w:p w14:paraId="190D6269" w14:textId="77777777" w:rsidR="00234F0A" w:rsidRDefault="00234F0A" w:rsidP="00234F0A">
      <w:pPr>
        <w:pStyle w:val="Bibliography"/>
      </w:pPr>
      <w:r>
        <w:t xml:space="preserve">Hernández-López, M., Cepeda-Benito, A., Díaz-Pavón, P., &amp; Rodríguez-Valverde, M. (2021). Psychological inflexibility and mental health symptoms during the COVID-19 lockdown in Spain: A longitudinal study. </w:t>
      </w:r>
      <w:r>
        <w:rPr>
          <w:i/>
          <w:iCs/>
        </w:rPr>
        <w:t>Journal of Contextual Behavioral Science</w:t>
      </w:r>
      <w:r>
        <w:t xml:space="preserve">, </w:t>
      </w:r>
      <w:r>
        <w:rPr>
          <w:i/>
          <w:iCs/>
        </w:rPr>
        <w:t>19</w:t>
      </w:r>
      <w:r>
        <w:t>, 42–49. https://doi.org/10.1016/j.jcbs.2020.12.002</w:t>
      </w:r>
    </w:p>
    <w:p w14:paraId="31850B92" w14:textId="77777777" w:rsidR="00234F0A" w:rsidRPr="00234F0A" w:rsidRDefault="00234F0A" w:rsidP="00234F0A">
      <w:pPr>
        <w:pStyle w:val="Bibliography"/>
        <w:rPr>
          <w:lang w:val="it-IT"/>
        </w:rPr>
      </w:pPr>
      <w:r>
        <w:t xml:space="preserve">Hieronymus, F., López, E., Werin Sjögren, H., &amp; Lundberg, J. (2025). Control Group Outcomes in Trials of Psilocybin, SSRIs, or Esketamine for Depression: A Meta-Analysis. </w:t>
      </w:r>
      <w:r w:rsidRPr="00234F0A">
        <w:rPr>
          <w:i/>
          <w:iCs/>
          <w:lang w:val="it-IT"/>
        </w:rPr>
        <w:t>JAMA Network Open</w:t>
      </w:r>
      <w:r w:rsidRPr="00234F0A">
        <w:rPr>
          <w:lang w:val="it-IT"/>
        </w:rPr>
        <w:t xml:space="preserve">, </w:t>
      </w:r>
      <w:r w:rsidRPr="00234F0A">
        <w:rPr>
          <w:i/>
          <w:iCs/>
          <w:lang w:val="it-IT"/>
        </w:rPr>
        <w:t>8</w:t>
      </w:r>
      <w:r w:rsidRPr="00234F0A">
        <w:rPr>
          <w:lang w:val="it-IT"/>
        </w:rPr>
        <w:t>(7), e2524119. https://doi.org/10.1001/jamanetworkopen.2025.24119</w:t>
      </w:r>
    </w:p>
    <w:p w14:paraId="5819A712" w14:textId="77777777" w:rsidR="00234F0A" w:rsidRDefault="00234F0A" w:rsidP="00234F0A">
      <w:pPr>
        <w:pStyle w:val="Bibliography"/>
      </w:pPr>
      <w:r w:rsidRPr="00234F0A">
        <w:rPr>
          <w:lang w:val="it-IT"/>
        </w:rPr>
        <w:t xml:space="preserve">Hinkle, J. T., Graziosi, M., Nayak, S. M., &amp; Yaden, D. B. (2024). </w:t>
      </w:r>
      <w:r>
        <w:t xml:space="preserve">Adverse Events in Studies of Classic Psychedelics: A Systematic Review and Meta-Analysis. </w:t>
      </w:r>
      <w:r>
        <w:rPr>
          <w:i/>
          <w:iCs/>
        </w:rPr>
        <w:t>JAMA Psychiatry</w:t>
      </w:r>
      <w:r>
        <w:t xml:space="preserve">, </w:t>
      </w:r>
      <w:r>
        <w:rPr>
          <w:i/>
          <w:iCs/>
        </w:rPr>
        <w:t>81</w:t>
      </w:r>
      <w:r>
        <w:t>(12), 1225. https://doi.org/10.1001/jamapsychiatry.2024.2546</w:t>
      </w:r>
    </w:p>
    <w:p w14:paraId="6B2B3EDE" w14:textId="77777777" w:rsidR="00234F0A" w:rsidRDefault="00234F0A" w:rsidP="00234F0A">
      <w:pPr>
        <w:pStyle w:val="Bibliography"/>
      </w:pPr>
      <w:r>
        <w:t xml:space="preserve">Hsu, T., Adamowicz, J. L., &amp; Thomas, E. B. K. (2023). The effect of acceptance and commitment therapy on the psychological flexibility and inflexibility of undergraduate students: A systematic review and three-level meta-analysis. </w:t>
      </w:r>
      <w:r>
        <w:rPr>
          <w:i/>
          <w:iCs/>
        </w:rPr>
        <w:t>Journal of Contextual Behavioral Science</w:t>
      </w:r>
      <w:r>
        <w:t xml:space="preserve">, </w:t>
      </w:r>
      <w:r>
        <w:rPr>
          <w:i/>
          <w:iCs/>
        </w:rPr>
        <w:t>30</w:t>
      </w:r>
      <w:r>
        <w:t>, 169–180. https://doi.org/10.1016/j.jcbs.2023.10.006</w:t>
      </w:r>
    </w:p>
    <w:p w14:paraId="7517C8FA" w14:textId="77777777" w:rsidR="00234F0A" w:rsidRDefault="00234F0A" w:rsidP="00234F0A">
      <w:pPr>
        <w:pStyle w:val="Bibliography"/>
      </w:pPr>
      <w:r>
        <w:t xml:space="preserve">Hübner, S., </w:t>
      </w:r>
      <w:proofErr w:type="spellStart"/>
      <w:r>
        <w:t>Haijen</w:t>
      </w:r>
      <w:proofErr w:type="spellEnd"/>
      <w:r>
        <w:t xml:space="preserve">, E., Kaelen, M., Carhart-Harris, R. L., &amp; Kettner, H. (2021). Turn on, Tune in, and Drop out: Predictors of Attrition in a Prospective Observational Cohort Study on </w:t>
      </w:r>
      <w:r>
        <w:lastRenderedPageBreak/>
        <w:t xml:space="preserve">Psychedelic Use. </w:t>
      </w:r>
      <w:r>
        <w:rPr>
          <w:i/>
          <w:iCs/>
        </w:rPr>
        <w:t>Journal of Medical Internet Research</w:t>
      </w:r>
      <w:r>
        <w:t xml:space="preserve">, </w:t>
      </w:r>
      <w:r>
        <w:rPr>
          <w:i/>
          <w:iCs/>
        </w:rPr>
        <w:t>23</w:t>
      </w:r>
      <w:r>
        <w:t>(7), e25973. https://doi.org/10.2196/25973</w:t>
      </w:r>
    </w:p>
    <w:p w14:paraId="2C860240" w14:textId="77777777" w:rsidR="00234F0A" w:rsidRDefault="00234F0A" w:rsidP="00234F0A">
      <w:pPr>
        <w:pStyle w:val="Bibliography"/>
      </w:pPr>
      <w:r>
        <w:t xml:space="preserve">Hultgren, J., Hafsteinsson, M. H., &amp; </w:t>
      </w:r>
      <w:proofErr w:type="spellStart"/>
      <w:r>
        <w:t>Brulin</w:t>
      </w:r>
      <w:proofErr w:type="spellEnd"/>
      <w:r>
        <w:t xml:space="preserve">, J. G. (2025). A dose of therapy with psilocybin—A meta-analysis of the relationship between the amount of therapy hours and treatment outcomes in psychedelic-assisted therapy. </w:t>
      </w:r>
      <w:r>
        <w:rPr>
          <w:i/>
          <w:iCs/>
        </w:rPr>
        <w:t>General Hospital Psychiatry</w:t>
      </w:r>
      <w:r>
        <w:t xml:space="preserve">, </w:t>
      </w:r>
      <w:r>
        <w:rPr>
          <w:i/>
          <w:iCs/>
        </w:rPr>
        <w:t>96</w:t>
      </w:r>
      <w:r>
        <w:t>, 234–243. https://doi.org/10.1016/j.genhosppsych.2025.07.020</w:t>
      </w:r>
    </w:p>
    <w:p w14:paraId="2C112C97" w14:textId="77777777" w:rsidR="00234F0A" w:rsidRDefault="00234F0A" w:rsidP="00234F0A">
      <w:pPr>
        <w:pStyle w:val="Bibliography"/>
      </w:pPr>
      <w:r>
        <w:t xml:space="preserve">Hutto, D. D., &amp; Myin, E. (2013). </w:t>
      </w:r>
      <w:r>
        <w:rPr>
          <w:i/>
          <w:iCs/>
        </w:rPr>
        <w:t>Radicalizing enactivism: Basic minds without content</w:t>
      </w:r>
      <w:r>
        <w:t>. MIT Press.</w:t>
      </w:r>
    </w:p>
    <w:p w14:paraId="29E86071" w14:textId="77777777" w:rsidR="00234F0A" w:rsidRDefault="00234F0A" w:rsidP="00234F0A">
      <w:pPr>
        <w:pStyle w:val="Bibliography"/>
      </w:pPr>
      <w:proofErr w:type="spellStart"/>
      <w:r>
        <w:t>IsHak</w:t>
      </w:r>
      <w:proofErr w:type="spellEnd"/>
      <w:r>
        <w:t xml:space="preserve">, W. W., Garcia, P., Pearl, R., Dang, J., William, C., </w:t>
      </w:r>
      <w:proofErr w:type="spellStart"/>
      <w:r>
        <w:t>Totlani</w:t>
      </w:r>
      <w:proofErr w:type="spellEnd"/>
      <w:r>
        <w:t xml:space="preserve">, J., &amp; Danovitch, I. (2023). The Impact of Psilocybin on Patients Experiencing Psychiatric Symptoms: A Systematic Review of Randomized Clinical Trials. </w:t>
      </w:r>
      <w:r>
        <w:rPr>
          <w:i/>
          <w:iCs/>
        </w:rPr>
        <w:t>Innovations in Clinical Neuroscience</w:t>
      </w:r>
      <w:r>
        <w:t xml:space="preserve">, </w:t>
      </w:r>
      <w:r>
        <w:rPr>
          <w:i/>
          <w:iCs/>
        </w:rPr>
        <w:t>20</w:t>
      </w:r>
      <w:r>
        <w:t>(4–6), 39–48.</w:t>
      </w:r>
    </w:p>
    <w:p w14:paraId="52C8A2BF" w14:textId="77777777" w:rsidR="00234F0A" w:rsidRDefault="00234F0A" w:rsidP="00234F0A">
      <w:pPr>
        <w:pStyle w:val="Bibliography"/>
      </w:pPr>
      <w:r>
        <w:t xml:space="preserve">Jacob, K. S. (2015). Recovery Model of Mental Illness: A Complementary Approach to Psychiatric Care. </w:t>
      </w:r>
      <w:r>
        <w:rPr>
          <w:i/>
          <w:iCs/>
        </w:rPr>
        <w:t>Indian Journal of Psychological Medicine</w:t>
      </w:r>
      <w:r>
        <w:t xml:space="preserve">, </w:t>
      </w:r>
      <w:r>
        <w:rPr>
          <w:i/>
          <w:iCs/>
        </w:rPr>
        <w:t>37</w:t>
      </w:r>
      <w:r>
        <w:t>(2), 117–119. https://doi.org/10.4103/0253-7176.155605</w:t>
      </w:r>
    </w:p>
    <w:p w14:paraId="76184F1A" w14:textId="77777777" w:rsidR="00234F0A" w:rsidRDefault="00234F0A" w:rsidP="00234F0A">
      <w:pPr>
        <w:pStyle w:val="Bibliography"/>
      </w:pPr>
      <w:r>
        <w:t xml:space="preserve">Kajonius, P. J., Sjöström, D., &amp; </w:t>
      </w:r>
      <w:proofErr w:type="spellStart"/>
      <w:r>
        <w:t>Claesdotter</w:t>
      </w:r>
      <w:proofErr w:type="spellEnd"/>
      <w:r>
        <w:t xml:space="preserve">-Knutsson, E. (2025). Big Five personality and the psychedelic experience: An initial report. </w:t>
      </w:r>
      <w:r>
        <w:rPr>
          <w:i/>
          <w:iCs/>
        </w:rPr>
        <w:t>Journal of Psychedelic Studies</w:t>
      </w:r>
      <w:r>
        <w:t>. https://doi.org/10.1556/2054.2025.00414</w:t>
      </w:r>
    </w:p>
    <w:p w14:paraId="1D9F90DC" w14:textId="77777777" w:rsidR="00234F0A" w:rsidRPr="00234F0A" w:rsidRDefault="00234F0A" w:rsidP="00234F0A">
      <w:pPr>
        <w:pStyle w:val="Bibliography"/>
        <w:rPr>
          <w:lang w:val="fr-FR"/>
        </w:rPr>
      </w:pPr>
      <w:r>
        <w:t xml:space="preserve">Kashdan, T. B., Disabato, D. J., Goodman, F. R., Doorley, J. D., &amp; McKnight, P. E. (2020). Understanding psychological flexibility: A multimethod exploration of pursuing valued goals despite the presence of distress. </w:t>
      </w:r>
      <w:proofErr w:type="spellStart"/>
      <w:r w:rsidRPr="00234F0A">
        <w:rPr>
          <w:i/>
          <w:iCs/>
          <w:lang w:val="fr-FR"/>
        </w:rPr>
        <w:t>Psychological</w:t>
      </w:r>
      <w:proofErr w:type="spellEnd"/>
      <w:r w:rsidRPr="00234F0A">
        <w:rPr>
          <w:i/>
          <w:iCs/>
          <w:lang w:val="fr-FR"/>
        </w:rPr>
        <w:t xml:space="preserve"> </w:t>
      </w:r>
      <w:proofErr w:type="spellStart"/>
      <w:r w:rsidRPr="00234F0A">
        <w:rPr>
          <w:i/>
          <w:iCs/>
          <w:lang w:val="fr-FR"/>
        </w:rPr>
        <w:t>Assessment</w:t>
      </w:r>
      <w:proofErr w:type="spellEnd"/>
      <w:r w:rsidRPr="00234F0A">
        <w:rPr>
          <w:lang w:val="fr-FR"/>
        </w:rPr>
        <w:t xml:space="preserve">, </w:t>
      </w:r>
      <w:r w:rsidRPr="00234F0A">
        <w:rPr>
          <w:i/>
          <w:iCs/>
          <w:lang w:val="fr-FR"/>
        </w:rPr>
        <w:t>32</w:t>
      </w:r>
      <w:r w:rsidRPr="00234F0A">
        <w:rPr>
          <w:lang w:val="fr-FR"/>
        </w:rPr>
        <w:t>(9), 829–850. https://doi.org/10.1037/pas0000834</w:t>
      </w:r>
    </w:p>
    <w:p w14:paraId="0D84F781" w14:textId="77777777" w:rsidR="00234F0A" w:rsidRDefault="00234F0A" w:rsidP="00234F0A">
      <w:pPr>
        <w:pStyle w:val="Bibliography"/>
      </w:pPr>
      <w:proofErr w:type="spellStart"/>
      <w:r w:rsidRPr="00234F0A">
        <w:rPr>
          <w:lang w:val="fr-FR"/>
        </w:rPr>
        <w:t>Kashdan</w:t>
      </w:r>
      <w:proofErr w:type="spellEnd"/>
      <w:r w:rsidRPr="00234F0A">
        <w:rPr>
          <w:lang w:val="fr-FR"/>
        </w:rPr>
        <w:t xml:space="preserve">, T. B., &amp; </w:t>
      </w:r>
      <w:proofErr w:type="spellStart"/>
      <w:r w:rsidRPr="00234F0A">
        <w:rPr>
          <w:lang w:val="fr-FR"/>
        </w:rPr>
        <w:t>Rottenberg</w:t>
      </w:r>
      <w:proofErr w:type="spellEnd"/>
      <w:r w:rsidRPr="00234F0A">
        <w:rPr>
          <w:lang w:val="fr-FR"/>
        </w:rPr>
        <w:t xml:space="preserve">, J. (2010). </w:t>
      </w:r>
      <w:r>
        <w:t xml:space="preserve">Psychological flexibility as a fundamental aspect of health. </w:t>
      </w:r>
      <w:r>
        <w:rPr>
          <w:i/>
          <w:iCs/>
        </w:rPr>
        <w:t>Clinical Psychology Review</w:t>
      </w:r>
      <w:r>
        <w:t xml:space="preserve">, </w:t>
      </w:r>
      <w:r>
        <w:rPr>
          <w:i/>
          <w:iCs/>
        </w:rPr>
        <w:t>30</w:t>
      </w:r>
      <w:r>
        <w:t>(7), 865–878. https://doi.org/10.1016/j.cpr.2010.03.001</w:t>
      </w:r>
    </w:p>
    <w:p w14:paraId="4117D074" w14:textId="77777777" w:rsidR="00234F0A" w:rsidRDefault="00234F0A" w:rsidP="00234F0A">
      <w:pPr>
        <w:pStyle w:val="Bibliography"/>
      </w:pPr>
      <w:r>
        <w:t xml:space="preserve">Keele, L., &amp; Kelly, N. J. (2006). Dynamic Models for Dynamic Theories: The Ins and Outs of Lagged Dependent Variables. </w:t>
      </w:r>
      <w:r>
        <w:rPr>
          <w:i/>
          <w:iCs/>
        </w:rPr>
        <w:t>Political Analysis</w:t>
      </w:r>
      <w:r>
        <w:t xml:space="preserve">, </w:t>
      </w:r>
      <w:r>
        <w:rPr>
          <w:i/>
          <w:iCs/>
        </w:rPr>
        <w:t>14</w:t>
      </w:r>
      <w:r>
        <w:t>(2), 186–205.</w:t>
      </w:r>
    </w:p>
    <w:p w14:paraId="49A4BBA5" w14:textId="77777777" w:rsidR="00234F0A" w:rsidRDefault="00234F0A" w:rsidP="00234F0A">
      <w:pPr>
        <w:pStyle w:val="Bibliography"/>
      </w:pPr>
      <w:r>
        <w:t xml:space="preserve">Kessler, R. C., Andrews, G., </w:t>
      </w:r>
      <w:proofErr w:type="spellStart"/>
      <w:r>
        <w:t>Colpe</w:t>
      </w:r>
      <w:proofErr w:type="spellEnd"/>
      <w:r>
        <w:t xml:space="preserve">, L. J., Hiripi, E., Mroczek, D. K., Normand, S.-L. T., Walters, E. E., &amp; Zaslavsky, A. M. (2002). Short screening scales to monitor population prevalences and trends in non-specific psychological distress. </w:t>
      </w:r>
      <w:r>
        <w:rPr>
          <w:i/>
          <w:iCs/>
        </w:rPr>
        <w:t>Psychological Medicine</w:t>
      </w:r>
      <w:r>
        <w:t xml:space="preserve">, </w:t>
      </w:r>
      <w:r>
        <w:rPr>
          <w:i/>
          <w:iCs/>
        </w:rPr>
        <w:t>32</w:t>
      </w:r>
      <w:r>
        <w:t>(6), 959–976. https://doi.org/10.1017/S0033291702006074</w:t>
      </w:r>
    </w:p>
    <w:p w14:paraId="4FBF8A0C" w14:textId="77777777" w:rsidR="00234F0A" w:rsidRDefault="00234F0A" w:rsidP="00234F0A">
      <w:pPr>
        <w:pStyle w:val="Bibliography"/>
      </w:pPr>
      <w:r>
        <w:t xml:space="preserve">Kessler, R. C., Green, J. G., Gruber, M. J., Sampson, N. A., </w:t>
      </w:r>
      <w:proofErr w:type="spellStart"/>
      <w:r>
        <w:t>Bromet</w:t>
      </w:r>
      <w:proofErr w:type="spellEnd"/>
      <w:r>
        <w:t xml:space="preserve">, E., </w:t>
      </w:r>
      <w:proofErr w:type="spellStart"/>
      <w:r>
        <w:t>Cuitan</w:t>
      </w:r>
      <w:proofErr w:type="spellEnd"/>
      <w:r>
        <w:t xml:space="preserve">, M., Furukawa, T. A., </w:t>
      </w:r>
      <w:proofErr w:type="spellStart"/>
      <w:r>
        <w:t>Gureje</w:t>
      </w:r>
      <w:proofErr w:type="spellEnd"/>
      <w:r>
        <w:t>, O., Hinkov, H., Hu, C., Lara, C., Lee, S., Mneimneh, Z., Myer, L., Oakley</w:t>
      </w:r>
      <w:r>
        <w:rPr>
          <w:rFonts w:ascii="Cambria Math" w:hAnsi="Cambria Math" w:cs="Cambria Math"/>
        </w:rPr>
        <w:t>‐</w:t>
      </w:r>
      <w:r>
        <w:t>Browne, M., Posada</w:t>
      </w:r>
      <w:r>
        <w:rPr>
          <w:rFonts w:ascii="Cambria Math" w:hAnsi="Cambria Math" w:cs="Cambria Math"/>
        </w:rPr>
        <w:t>‐</w:t>
      </w:r>
      <w:r>
        <w:t xml:space="preserve">Villa, J., Sagar, R., Viana, M. C., &amp; Zaslavsky, A. M. (2010). Screening for </w:t>
      </w:r>
      <w:r>
        <w:lastRenderedPageBreak/>
        <w:t xml:space="preserve">serious mental illness in the general population with the K6 screening scale: Results from the WHO World Mental Health (WMH) survey initiative. </w:t>
      </w:r>
      <w:r>
        <w:rPr>
          <w:i/>
          <w:iCs/>
        </w:rPr>
        <w:t>International Journal of Methods in Psychiatric Research</w:t>
      </w:r>
      <w:r>
        <w:t xml:space="preserve">, </w:t>
      </w:r>
      <w:r>
        <w:rPr>
          <w:i/>
          <w:iCs/>
        </w:rPr>
        <w:t>19</w:t>
      </w:r>
      <w:r>
        <w:t>(S1), 4–22. https://doi.org/10.1002/mpr.310</w:t>
      </w:r>
    </w:p>
    <w:p w14:paraId="021FD7CA" w14:textId="77777777" w:rsidR="00234F0A" w:rsidRDefault="00234F0A" w:rsidP="00234F0A">
      <w:pPr>
        <w:pStyle w:val="Bibliography"/>
      </w:pPr>
      <w:r>
        <w:t xml:space="preserve">Kittur, M. E., Burgos M., L. A., Jones, B. D. M., Blumberger, D. M., </w:t>
      </w:r>
      <w:proofErr w:type="spellStart"/>
      <w:r>
        <w:t>Mulsant</w:t>
      </w:r>
      <w:proofErr w:type="spellEnd"/>
      <w:r>
        <w:t xml:space="preserve">, B. H., Rosenblat, J. D., &amp; Husain, M. I. (2025). Mapping psilocybin therapy: A systematic review of therapeutic frameworks, adaptations, and standardization across contemporary clinical trials. </w:t>
      </w:r>
      <w:r>
        <w:rPr>
          <w:i/>
          <w:iCs/>
        </w:rPr>
        <w:t>Journal of Affective Disorders</w:t>
      </w:r>
      <w:r>
        <w:t xml:space="preserve">, </w:t>
      </w:r>
      <w:r>
        <w:rPr>
          <w:i/>
          <w:iCs/>
        </w:rPr>
        <w:t>391</w:t>
      </w:r>
      <w:r>
        <w:t>, 119952. https://doi.org/10.1016/j.jad.2025.119952</w:t>
      </w:r>
    </w:p>
    <w:p w14:paraId="1AA6034D" w14:textId="77777777" w:rsidR="00234F0A" w:rsidRDefault="00234F0A" w:rsidP="00234F0A">
      <w:pPr>
        <w:pStyle w:val="Bibliography"/>
      </w:pPr>
      <w:r>
        <w:t xml:space="preserve">Ko, K., Knight, G., Rucker, J. J., &amp; Cleare, A. J. (2022). Psychedelics, Mystical Experience, and Therapeutic Efficacy: A Systematic Review. </w:t>
      </w:r>
      <w:r>
        <w:rPr>
          <w:i/>
          <w:iCs/>
        </w:rPr>
        <w:t>Frontiers in Psychiatry</w:t>
      </w:r>
      <w:r>
        <w:t xml:space="preserve">, </w:t>
      </w:r>
      <w:r>
        <w:rPr>
          <w:i/>
          <w:iCs/>
        </w:rPr>
        <w:t>13</w:t>
      </w:r>
      <w:r>
        <w:t>, 917199. https://doi.org/10.3389/fpsyt.2022.917199</w:t>
      </w:r>
    </w:p>
    <w:p w14:paraId="6DD96D2D" w14:textId="77777777" w:rsidR="00234F0A" w:rsidRDefault="00234F0A" w:rsidP="00234F0A">
      <w:pPr>
        <w:pStyle w:val="Bibliography"/>
      </w:pPr>
      <w:r>
        <w:t xml:space="preserve">Kovacs, M., Joormann, J., &amp; Gotlib, I. H. (2008). Emotion (Dys)regulation and Links to Depressive Disorders. </w:t>
      </w:r>
      <w:r>
        <w:rPr>
          <w:i/>
          <w:iCs/>
        </w:rPr>
        <w:t>Child Development Perspectives</w:t>
      </w:r>
      <w:r>
        <w:t xml:space="preserve">, </w:t>
      </w:r>
      <w:r>
        <w:rPr>
          <w:i/>
          <w:iCs/>
        </w:rPr>
        <w:t>2</w:t>
      </w:r>
      <w:r>
        <w:t>(3), 149–155. https://doi.org/10.1111/j.1750-8606.2008.00057.x</w:t>
      </w:r>
    </w:p>
    <w:p w14:paraId="493E3DC6" w14:textId="77777777" w:rsidR="00234F0A" w:rsidRDefault="00234F0A" w:rsidP="00234F0A">
      <w:pPr>
        <w:pStyle w:val="Bibliography"/>
      </w:pPr>
      <w:r>
        <w:t xml:space="preserve">Lerner, M., &amp; Lyvers, M. (2006). Values and Beliefs of Psychedelic Drug Users: A Cross-Cultural Study. </w:t>
      </w:r>
      <w:r>
        <w:rPr>
          <w:i/>
          <w:iCs/>
        </w:rPr>
        <w:t>Journal of Psychoactive Drugs</w:t>
      </w:r>
      <w:r>
        <w:t xml:space="preserve">, </w:t>
      </w:r>
      <w:r>
        <w:rPr>
          <w:i/>
          <w:iCs/>
        </w:rPr>
        <w:t>38</w:t>
      </w:r>
      <w:r>
        <w:t>(2), 143–147. https://doi.org/10.1080/02791072.2006.10399838</w:t>
      </w:r>
    </w:p>
    <w:p w14:paraId="73D4BA74" w14:textId="77777777" w:rsidR="00234F0A" w:rsidRDefault="00234F0A" w:rsidP="00234F0A">
      <w:pPr>
        <w:pStyle w:val="Bibliography"/>
      </w:pPr>
      <w:r>
        <w:t xml:space="preserve">Li, L.-J., Mo, Y., Shi, Z.-M., Huang, X.-B., Ning, Y.-P., Wu, H.-W., Yang, X.-H., &amp; Zheng, W. (2024). Psilocybin for major depressive disorder: A systematic review of randomized controlled studies. </w:t>
      </w:r>
      <w:r>
        <w:rPr>
          <w:i/>
          <w:iCs/>
        </w:rPr>
        <w:t>Frontiers in Psychiatry</w:t>
      </w:r>
      <w:r>
        <w:t xml:space="preserve">, </w:t>
      </w:r>
      <w:r>
        <w:rPr>
          <w:i/>
          <w:iCs/>
        </w:rPr>
        <w:t>15</w:t>
      </w:r>
      <w:r>
        <w:t>, 1416420. https://doi.org/10.3389/fpsyt.2024.1416420</w:t>
      </w:r>
    </w:p>
    <w:p w14:paraId="4301F910" w14:textId="77777777" w:rsidR="00234F0A" w:rsidRDefault="00234F0A" w:rsidP="00234F0A">
      <w:pPr>
        <w:pStyle w:val="Bibliography"/>
      </w:pPr>
      <w:r>
        <w:t xml:space="preserve">Moncrieff, J. (2018a). Against the stream: Antidepressants are not antidepressants – an alternative approach to drug action and implications for the use of antidepressants. </w:t>
      </w:r>
      <w:proofErr w:type="spellStart"/>
      <w:r>
        <w:rPr>
          <w:i/>
          <w:iCs/>
        </w:rPr>
        <w:t>BJPsych</w:t>
      </w:r>
      <w:proofErr w:type="spellEnd"/>
      <w:r>
        <w:rPr>
          <w:i/>
          <w:iCs/>
        </w:rPr>
        <w:t xml:space="preserve"> Bulletin</w:t>
      </w:r>
      <w:r>
        <w:t xml:space="preserve">, </w:t>
      </w:r>
      <w:r>
        <w:rPr>
          <w:i/>
          <w:iCs/>
        </w:rPr>
        <w:t>42</w:t>
      </w:r>
      <w:r>
        <w:t>(1), 42–44. https://doi.org/10.1192/bjb.2017.11</w:t>
      </w:r>
    </w:p>
    <w:p w14:paraId="3DBCBDA5" w14:textId="77777777" w:rsidR="00234F0A" w:rsidRDefault="00234F0A" w:rsidP="00234F0A">
      <w:pPr>
        <w:pStyle w:val="Bibliography"/>
      </w:pPr>
      <w:r>
        <w:t xml:space="preserve">Moncrieff, J. (2018b). What does the latest meta-analysis really tell us about antidepressants? </w:t>
      </w:r>
      <w:r>
        <w:rPr>
          <w:i/>
          <w:iCs/>
        </w:rPr>
        <w:t>Epidemiology and Psychiatric Sciences</w:t>
      </w:r>
      <w:r>
        <w:t xml:space="preserve">, </w:t>
      </w:r>
      <w:r>
        <w:rPr>
          <w:i/>
          <w:iCs/>
        </w:rPr>
        <w:t>27</w:t>
      </w:r>
      <w:r>
        <w:t>(5), 430–432. https://doi.org/10.1017/S2045796018000240</w:t>
      </w:r>
    </w:p>
    <w:p w14:paraId="0CC42CD3" w14:textId="77777777" w:rsidR="00234F0A" w:rsidRDefault="00234F0A" w:rsidP="00234F0A">
      <w:pPr>
        <w:pStyle w:val="Bibliography"/>
      </w:pPr>
      <w:r>
        <w:t xml:space="preserve">Moncrieff, J., Cooper, R. E., Stockmann, T., Amendola, S., </w:t>
      </w:r>
      <w:proofErr w:type="spellStart"/>
      <w:r>
        <w:t>Hengartner</w:t>
      </w:r>
      <w:proofErr w:type="spellEnd"/>
      <w:r>
        <w:t xml:space="preserve">, M. P., &amp; Horowitz, M. A. (2023). The serotonin theory of depression: A systematic umbrella review of the evidence. </w:t>
      </w:r>
      <w:r>
        <w:rPr>
          <w:i/>
          <w:iCs/>
        </w:rPr>
        <w:t>Molecular Psychiatry</w:t>
      </w:r>
      <w:r>
        <w:t xml:space="preserve">, </w:t>
      </w:r>
      <w:r>
        <w:rPr>
          <w:i/>
          <w:iCs/>
        </w:rPr>
        <w:t>28</w:t>
      </w:r>
      <w:r>
        <w:t>(8), 3243–3256. https://doi.org/10.1038/s41380-022-01661-0</w:t>
      </w:r>
    </w:p>
    <w:p w14:paraId="5CF851E0" w14:textId="77777777" w:rsidR="00234F0A" w:rsidRDefault="00234F0A" w:rsidP="00234F0A">
      <w:pPr>
        <w:pStyle w:val="Bibliography"/>
      </w:pPr>
      <w:r>
        <w:t xml:space="preserve">Nayak, S. M., Jackson, H., Sepeda, N. D., Mathai, D. S., So, S., Yaffe, A., Zaki, H., Brasher, T. J., Lowe, M. X., Jolly, D. R. P., Barrett, F. S., Griffiths, R. R., Strickland, J. C., Johnson, M. W., Jackson, H., &amp; Garcia-Romeu, A. (2023). Naturalistic psilocybin use is associated with persisting improvements in mental health and wellbeing: Results from a prospective, </w:t>
      </w:r>
      <w:r>
        <w:lastRenderedPageBreak/>
        <w:t xml:space="preserve">longitudinal survey. </w:t>
      </w:r>
      <w:r>
        <w:rPr>
          <w:i/>
          <w:iCs/>
        </w:rPr>
        <w:t>Frontiers in Psychiatry</w:t>
      </w:r>
      <w:r>
        <w:t xml:space="preserve">, </w:t>
      </w:r>
      <w:r>
        <w:rPr>
          <w:i/>
          <w:iCs/>
        </w:rPr>
        <w:t>14</w:t>
      </w:r>
      <w:r>
        <w:t>, 1199642. https://doi.org/10.3389/fpsyt.2023.1199642</w:t>
      </w:r>
    </w:p>
    <w:p w14:paraId="3D69D332" w14:textId="77777777" w:rsidR="00234F0A" w:rsidRDefault="00234F0A" w:rsidP="00234F0A">
      <w:pPr>
        <w:pStyle w:val="Bibliography"/>
      </w:pPr>
      <w:r>
        <w:t xml:space="preserve">Paiva, T., Silva, A. N. D., Neto, D. D., </w:t>
      </w:r>
      <w:proofErr w:type="spellStart"/>
      <w:r>
        <w:t>Karekla</w:t>
      </w:r>
      <w:proofErr w:type="spellEnd"/>
      <w:r>
        <w:t xml:space="preserve">, M., Kassianos, A. P., &amp; Gloster, A. (2024). The Effect of Psychological Flexibility on Well-Being during the COVID-19 Pandemic: The Multiple Mediation Role of Mindfulness and Coping. </w:t>
      </w:r>
      <w:r>
        <w:rPr>
          <w:i/>
          <w:iCs/>
        </w:rPr>
        <w:t>Behavioral Sciences</w:t>
      </w:r>
      <w:r>
        <w:t xml:space="preserve">, </w:t>
      </w:r>
      <w:r>
        <w:rPr>
          <w:i/>
          <w:iCs/>
        </w:rPr>
        <w:t>14</w:t>
      </w:r>
      <w:r>
        <w:t>(7), 545. https://doi.org/10.3390/bs14070545</w:t>
      </w:r>
    </w:p>
    <w:p w14:paraId="1FD7F052" w14:textId="77777777" w:rsidR="00234F0A" w:rsidRDefault="00234F0A" w:rsidP="00234F0A">
      <w:pPr>
        <w:pStyle w:val="Bibliography"/>
      </w:pPr>
      <w:r>
        <w:t xml:space="preserve">Pirani, Y., Delgado-Ron, J. A., Marinho, P., Gupta, A., Gray, E., Watt, S., &amp; Salway, T. (2023). </w:t>
      </w:r>
      <w:r>
        <w:rPr>
          <w:i/>
          <w:iCs/>
        </w:rPr>
        <w:t>Frequency of self-reported persistent post-treatment genital hypesthesia among past antidepressant users: A cross-sectional survey of sexual and gender minority youth in Canada and the US</w:t>
      </w:r>
      <w:r>
        <w:t>. https://doi.org/10.31219/osf.io/qha9n</w:t>
      </w:r>
    </w:p>
    <w:p w14:paraId="3A2B3462" w14:textId="77777777" w:rsidR="00234F0A" w:rsidRDefault="00234F0A" w:rsidP="00234F0A">
      <w:pPr>
        <w:pStyle w:val="Bibliography"/>
      </w:pPr>
      <w:r>
        <w:t xml:space="preserve">R Core Team. (2025). </w:t>
      </w:r>
      <w:r>
        <w:rPr>
          <w:i/>
          <w:iCs/>
        </w:rPr>
        <w:t>R: A Language and Environment for Statistical Computing</w:t>
      </w:r>
      <w:r>
        <w:t>. R Foundation for Statistical Computing. https://www.R-project.org/</w:t>
      </w:r>
    </w:p>
    <w:p w14:paraId="26856F17" w14:textId="77777777" w:rsidR="00234F0A" w:rsidRDefault="00234F0A" w:rsidP="00234F0A">
      <w:pPr>
        <w:pStyle w:val="Bibliography"/>
      </w:pPr>
      <w:r>
        <w:t xml:space="preserve">Rajwani, K., Jacobs, E., Bruce, L., Hokanson, J., Almonte, M. T., Feroz, F., Waldman, E., Cheung, K., Levy, N., Savulescu, J., Singh, I., Yaden, D. B., &amp; Earp, B. D. (2025). Clinical psychedelic research in adolescents: A scoping review and overview of ethical considerations. </w:t>
      </w:r>
      <w:r>
        <w:rPr>
          <w:i/>
          <w:iCs/>
        </w:rPr>
        <w:t>The Lancet Child &amp; Adolescent Health</w:t>
      </w:r>
      <w:r>
        <w:t xml:space="preserve">, </w:t>
      </w:r>
      <w:r>
        <w:rPr>
          <w:i/>
          <w:iCs/>
        </w:rPr>
        <w:t>9</w:t>
      </w:r>
      <w:r>
        <w:t>(10), 744–752. https://doi.org/10.1016/S2352-4642(25)00208-1</w:t>
      </w:r>
    </w:p>
    <w:p w14:paraId="680396E0" w14:textId="77777777" w:rsidR="00234F0A" w:rsidRDefault="00234F0A" w:rsidP="00234F0A">
      <w:pPr>
        <w:pStyle w:val="Bibliography"/>
      </w:pPr>
      <w:r>
        <w:t xml:space="preserve">Richard, J., Garcia-Romeu, A., &amp; </w:t>
      </w:r>
      <w:proofErr w:type="spellStart"/>
      <w:r>
        <w:t>Henningfield</w:t>
      </w:r>
      <w:proofErr w:type="spellEnd"/>
      <w:r>
        <w:t xml:space="preserve">, J. E. (2025). Expanded access to psychedelic treatments: Comparing American and Canadian policies. </w:t>
      </w:r>
      <w:r>
        <w:rPr>
          <w:i/>
          <w:iCs/>
        </w:rPr>
        <w:t>General Psychiatry</w:t>
      </w:r>
      <w:r>
        <w:t xml:space="preserve">, </w:t>
      </w:r>
      <w:r>
        <w:rPr>
          <w:i/>
          <w:iCs/>
        </w:rPr>
        <w:t>38</w:t>
      </w:r>
      <w:r>
        <w:t>(1), e101894. https://doi.org/10.1136/gpsych-2024-101894</w:t>
      </w:r>
    </w:p>
    <w:p w14:paraId="6CC00130" w14:textId="77777777" w:rsidR="00234F0A" w:rsidRDefault="00234F0A" w:rsidP="00234F0A">
      <w:pPr>
        <w:pStyle w:val="Bibliography"/>
      </w:pPr>
      <w:r>
        <w:t xml:space="preserve">Ross, M. L., Iyer, R., Williams, M. L., Boughey, M., O’Callaghan, C., Hiscock, R., &amp; Dwyer, J. (2025). Psilocybin-assisted psychotherapy for depression and anxiety associated with life threatening illness: A phase 2b randomized controlled trial. </w:t>
      </w:r>
      <w:r>
        <w:rPr>
          <w:i/>
          <w:iCs/>
        </w:rPr>
        <w:t>General Hospital Psychiatry</w:t>
      </w:r>
      <w:r>
        <w:t xml:space="preserve">, </w:t>
      </w:r>
      <w:r>
        <w:rPr>
          <w:i/>
          <w:iCs/>
        </w:rPr>
        <w:t>96</w:t>
      </w:r>
      <w:r>
        <w:t>, 322–331. https://doi.org/10.1016/j.genhosppsych.2025.08.001</w:t>
      </w:r>
    </w:p>
    <w:p w14:paraId="1CFA8B45" w14:textId="77777777" w:rsidR="00234F0A" w:rsidRDefault="00234F0A" w:rsidP="00234F0A">
      <w:pPr>
        <w:pStyle w:val="Bibliography"/>
      </w:pPr>
      <w:r>
        <w:t xml:space="preserve">Santomauro, D. F., Mantilla Herrera, A. M., Shadid, J., Zheng, P., Ashbaugh, C., Pigott, D. M., </w:t>
      </w:r>
      <w:proofErr w:type="spellStart"/>
      <w:r>
        <w:t>Abbafati</w:t>
      </w:r>
      <w:proofErr w:type="spellEnd"/>
      <w:r>
        <w:t xml:space="preserve">, C., Adolph, C., </w:t>
      </w:r>
      <w:proofErr w:type="spellStart"/>
      <w:r>
        <w:t>Amlag</w:t>
      </w:r>
      <w:proofErr w:type="spellEnd"/>
      <w:r>
        <w:t xml:space="preserve">, J. O., </w:t>
      </w:r>
      <w:proofErr w:type="spellStart"/>
      <w:r>
        <w:t>Aravkin</w:t>
      </w:r>
      <w:proofErr w:type="spellEnd"/>
      <w:r>
        <w:t xml:space="preserve">, A. Y., Bang-Jensen, B. L., </w:t>
      </w:r>
      <w:proofErr w:type="spellStart"/>
      <w:r>
        <w:t>Bertolacci</w:t>
      </w:r>
      <w:proofErr w:type="spellEnd"/>
      <w:r>
        <w:t xml:space="preserve">, G. J., Bloom, S. S., Castellano, R., Castro, E., Chakrabarti, S., Chattopadhyay, J., Cogen, R. M., Collins, J. K., … Ferrari, A. J. (2021). Global prevalence and burden of depressive and anxiety disorders in 204 countries and territories in 2020 due to the COVID-19 pandemic. </w:t>
      </w:r>
      <w:r>
        <w:rPr>
          <w:i/>
          <w:iCs/>
        </w:rPr>
        <w:t>The Lancet</w:t>
      </w:r>
      <w:r>
        <w:t xml:space="preserve">, </w:t>
      </w:r>
      <w:r>
        <w:rPr>
          <w:i/>
          <w:iCs/>
        </w:rPr>
        <w:t>398</w:t>
      </w:r>
      <w:r>
        <w:t>(10312), 1700–1712. https://doi.org/10.1016/S0140-6736(21)02143-7</w:t>
      </w:r>
    </w:p>
    <w:p w14:paraId="52BDA138" w14:textId="77777777" w:rsidR="00234F0A" w:rsidRDefault="00234F0A" w:rsidP="00234F0A">
      <w:pPr>
        <w:pStyle w:val="Bibliography"/>
      </w:pPr>
      <w:proofErr w:type="spellStart"/>
      <w:r>
        <w:t>Seighali</w:t>
      </w:r>
      <w:proofErr w:type="spellEnd"/>
      <w:r>
        <w:t xml:space="preserve">, N., Abdollahi, A., Shafiee, A., Amini, M. J., </w:t>
      </w:r>
      <w:proofErr w:type="spellStart"/>
      <w:r>
        <w:t>Teymouri</w:t>
      </w:r>
      <w:proofErr w:type="spellEnd"/>
      <w:r>
        <w:t xml:space="preserve"> Athar, M. M., Safari, O., Faghfouri, P., Eskandari, A., </w:t>
      </w:r>
      <w:proofErr w:type="spellStart"/>
      <w:r>
        <w:t>Rostaii</w:t>
      </w:r>
      <w:proofErr w:type="spellEnd"/>
      <w:r>
        <w:t xml:space="preserve">, O., Salehi, A. H., Soltani, H., Hosseini, M., Abhari, F. S., Maghsoudi, M. R., </w:t>
      </w:r>
      <w:proofErr w:type="spellStart"/>
      <w:r>
        <w:t>Jahanbakhshi</w:t>
      </w:r>
      <w:proofErr w:type="spellEnd"/>
      <w:r>
        <w:t xml:space="preserve">, B., &amp; Bakhtiyari, M. (2024). The global prevalence of depression, anxiety, and sleep disorder among patients coping with Post COVID-19 </w:t>
      </w:r>
      <w:r>
        <w:lastRenderedPageBreak/>
        <w:t xml:space="preserve">syndrome (long COVID): A systematic review and meta-analysis. </w:t>
      </w:r>
      <w:r>
        <w:rPr>
          <w:i/>
          <w:iCs/>
        </w:rPr>
        <w:t>BMC Psychiatry</w:t>
      </w:r>
      <w:r>
        <w:t xml:space="preserve">, </w:t>
      </w:r>
      <w:r>
        <w:rPr>
          <w:i/>
          <w:iCs/>
        </w:rPr>
        <w:t>24</w:t>
      </w:r>
      <w:r>
        <w:t>(1), 105. https://doi.org/10.1186/s12888-023-05481-6</w:t>
      </w:r>
    </w:p>
    <w:p w14:paraId="4FDEC24D" w14:textId="77777777" w:rsidR="00234F0A" w:rsidRDefault="00234F0A" w:rsidP="00234F0A">
      <w:pPr>
        <w:pStyle w:val="Bibliography"/>
      </w:pPr>
      <w:proofErr w:type="spellStart"/>
      <w:r>
        <w:t>Smausz</w:t>
      </w:r>
      <w:proofErr w:type="spellEnd"/>
      <w:r>
        <w:t xml:space="preserve">, R., Neill, J., &amp; Gigg, J. (2022). Neural mechanisms underlying psilocybin’s therapeutic potential – the need for preclinical in vivo electrophysiology. </w:t>
      </w:r>
      <w:r>
        <w:rPr>
          <w:i/>
          <w:iCs/>
        </w:rPr>
        <w:t>Journal of Psychopharmacology</w:t>
      </w:r>
      <w:r>
        <w:t xml:space="preserve">, </w:t>
      </w:r>
      <w:r>
        <w:rPr>
          <w:i/>
          <w:iCs/>
        </w:rPr>
        <w:t>36</w:t>
      </w:r>
      <w:r>
        <w:t>(7), 781–793. https://doi.org/10.1177/02698811221092508</w:t>
      </w:r>
    </w:p>
    <w:p w14:paraId="2FD0DF76" w14:textId="77777777" w:rsidR="00234F0A" w:rsidRDefault="00234F0A" w:rsidP="00234F0A">
      <w:pPr>
        <w:pStyle w:val="Bibliography"/>
      </w:pPr>
      <w:r>
        <w:t xml:space="preserve">Swieczkowski, D., </w:t>
      </w:r>
      <w:proofErr w:type="spellStart"/>
      <w:r>
        <w:t>Kwaśny</w:t>
      </w:r>
      <w:proofErr w:type="spellEnd"/>
      <w:r>
        <w:t xml:space="preserve">, A., </w:t>
      </w:r>
      <w:proofErr w:type="spellStart"/>
      <w:r>
        <w:t>Ciurkowska</w:t>
      </w:r>
      <w:proofErr w:type="spellEnd"/>
      <w:r>
        <w:t xml:space="preserve">, P., </w:t>
      </w:r>
      <w:proofErr w:type="spellStart"/>
      <w:r>
        <w:t>Pruc</w:t>
      </w:r>
      <w:proofErr w:type="spellEnd"/>
      <w:r>
        <w:t xml:space="preserve">, M., Szarpak, L., &amp; </w:t>
      </w:r>
      <w:proofErr w:type="spellStart"/>
      <w:r>
        <w:t>Cubała</w:t>
      </w:r>
      <w:proofErr w:type="spellEnd"/>
      <w:r>
        <w:t xml:space="preserve">, W. J. (2025). Unequal representation? A cross-sectional analysis of age, sex, race, and ethnicity in clinical trials of classic psychedelics. </w:t>
      </w:r>
      <w:r>
        <w:rPr>
          <w:i/>
          <w:iCs/>
        </w:rPr>
        <w:t>Journal of Psychopharmacology</w:t>
      </w:r>
      <w:r>
        <w:t xml:space="preserve">, </w:t>
      </w:r>
      <w:r>
        <w:rPr>
          <w:i/>
          <w:iCs/>
        </w:rPr>
        <w:t>39</w:t>
      </w:r>
      <w:r>
        <w:t>(9), 1014–1022. https://doi.org/10.1177/02698811251353250</w:t>
      </w:r>
    </w:p>
    <w:p w14:paraId="7B198363" w14:textId="77777777" w:rsidR="00234F0A" w:rsidRDefault="00234F0A" w:rsidP="00234F0A">
      <w:pPr>
        <w:pStyle w:val="Bibliography"/>
      </w:pPr>
      <w:proofErr w:type="spellStart"/>
      <w:r>
        <w:t>Tebeka</w:t>
      </w:r>
      <w:proofErr w:type="spellEnd"/>
      <w:r>
        <w:t xml:space="preserve">, S., Coste, J., </w:t>
      </w:r>
      <w:proofErr w:type="spellStart"/>
      <w:r>
        <w:t>Makovski</w:t>
      </w:r>
      <w:proofErr w:type="spellEnd"/>
      <w:r>
        <w:t xml:space="preserve">, T. T., </w:t>
      </w:r>
      <w:proofErr w:type="spellStart"/>
      <w:r>
        <w:t>Alleaume</w:t>
      </w:r>
      <w:proofErr w:type="spellEnd"/>
      <w:r>
        <w:t xml:space="preserve">, C., </w:t>
      </w:r>
      <w:proofErr w:type="spellStart"/>
      <w:r>
        <w:t>Delpierre</w:t>
      </w:r>
      <w:proofErr w:type="spellEnd"/>
      <w:r>
        <w:t xml:space="preserve">, C., Gallay, A., </w:t>
      </w:r>
      <w:proofErr w:type="spellStart"/>
      <w:r>
        <w:t>Pignon</w:t>
      </w:r>
      <w:proofErr w:type="spellEnd"/>
      <w:r>
        <w:t xml:space="preserve">, B., </w:t>
      </w:r>
      <w:proofErr w:type="spellStart"/>
      <w:r>
        <w:t>Gouraud</w:t>
      </w:r>
      <w:proofErr w:type="spellEnd"/>
      <w:r>
        <w:t xml:space="preserve">, C., </w:t>
      </w:r>
      <w:proofErr w:type="spellStart"/>
      <w:r>
        <w:t>Ouazana</w:t>
      </w:r>
      <w:proofErr w:type="spellEnd"/>
      <w:r>
        <w:t xml:space="preserve"> </w:t>
      </w:r>
      <w:proofErr w:type="spellStart"/>
      <w:r>
        <w:t>Vedrines</w:t>
      </w:r>
      <w:proofErr w:type="spellEnd"/>
      <w:r>
        <w:t xml:space="preserve">, C., </w:t>
      </w:r>
      <w:proofErr w:type="spellStart"/>
      <w:r>
        <w:t>Pitron</w:t>
      </w:r>
      <w:proofErr w:type="spellEnd"/>
      <w:r>
        <w:t xml:space="preserve">, V., Robineau, O., Steichen, O., &amp; </w:t>
      </w:r>
      <w:proofErr w:type="spellStart"/>
      <w:r>
        <w:t>Lemogne</w:t>
      </w:r>
      <w:proofErr w:type="spellEnd"/>
      <w:r>
        <w:t xml:space="preserve">, C. (2024). Dissecting the association between long COVID and depressive symptoms in a nationally representative population from France. </w:t>
      </w:r>
      <w:r>
        <w:rPr>
          <w:i/>
          <w:iCs/>
        </w:rPr>
        <w:t>Journal of Psychosomatic Research</w:t>
      </w:r>
      <w:r>
        <w:t xml:space="preserve">, </w:t>
      </w:r>
      <w:r>
        <w:rPr>
          <w:i/>
          <w:iCs/>
        </w:rPr>
        <w:t>187</w:t>
      </w:r>
      <w:r>
        <w:t>, 111961. https://doi.org/10.1016/j.jpsychores.2024.111961</w:t>
      </w:r>
    </w:p>
    <w:p w14:paraId="1CD25EC9" w14:textId="77777777" w:rsidR="00234F0A" w:rsidRDefault="00234F0A" w:rsidP="00234F0A">
      <w:pPr>
        <w:pStyle w:val="Bibliography"/>
      </w:pPr>
      <w:r>
        <w:t xml:space="preserve">Tennant, P. W. G., Arnold, K. F., Ellison, G. T. H., &amp; </w:t>
      </w:r>
      <w:proofErr w:type="spellStart"/>
      <w:r>
        <w:t>Gilthorpe</w:t>
      </w:r>
      <w:proofErr w:type="spellEnd"/>
      <w:r>
        <w:t xml:space="preserve">, M. S. (2022). Analyses of ‘change scores’ do not estimate causal effects in observational data. </w:t>
      </w:r>
      <w:r>
        <w:rPr>
          <w:i/>
          <w:iCs/>
        </w:rPr>
        <w:t>International Journal of Epidemiology</w:t>
      </w:r>
      <w:r>
        <w:t xml:space="preserve">, </w:t>
      </w:r>
      <w:r>
        <w:rPr>
          <w:i/>
          <w:iCs/>
        </w:rPr>
        <w:t>51</w:t>
      </w:r>
      <w:r>
        <w:t>(5), 1604–1615. https://doi.org/10.1093/ije/dyab050</w:t>
      </w:r>
    </w:p>
    <w:p w14:paraId="4D8AF533" w14:textId="77777777" w:rsidR="00234F0A" w:rsidRDefault="00234F0A" w:rsidP="00234F0A">
      <w:pPr>
        <w:pStyle w:val="Bibliography"/>
      </w:pPr>
      <w:proofErr w:type="spellStart"/>
      <w:r>
        <w:t>Totomanova</w:t>
      </w:r>
      <w:proofErr w:type="spellEnd"/>
      <w:r>
        <w:t xml:space="preserve">, I., </w:t>
      </w:r>
      <w:proofErr w:type="spellStart"/>
      <w:r>
        <w:t>Haijen</w:t>
      </w:r>
      <w:proofErr w:type="spellEnd"/>
      <w:r>
        <w:t xml:space="preserve">, E. C. H. M., </w:t>
      </w:r>
      <w:proofErr w:type="spellStart"/>
      <w:r>
        <w:t>Hurks</w:t>
      </w:r>
      <w:proofErr w:type="spellEnd"/>
      <w:r>
        <w:t xml:space="preserve">, P. P. M., Ramaekers, J. G., &amp; Kuypers, K. P. C. (2025). Between enhancement and risk: A critical review of psychedelic microdosing. </w:t>
      </w:r>
      <w:r>
        <w:rPr>
          <w:i/>
          <w:iCs/>
        </w:rPr>
        <w:t>Current Opinion in Psychology</w:t>
      </w:r>
      <w:r>
        <w:t xml:space="preserve">, </w:t>
      </w:r>
      <w:r>
        <w:rPr>
          <w:i/>
          <w:iCs/>
        </w:rPr>
        <w:t>66</w:t>
      </w:r>
      <w:r>
        <w:t>, 102129. https://doi.org/10.1016/j.copsyc.2025.102129</w:t>
      </w:r>
    </w:p>
    <w:p w14:paraId="66ED777F" w14:textId="77777777" w:rsidR="00234F0A" w:rsidRDefault="00234F0A" w:rsidP="00234F0A">
      <w:pPr>
        <w:pStyle w:val="Bibliography"/>
      </w:pPr>
      <w:r>
        <w:t xml:space="preserve">Watts, R., Day, C., Krzanowski, J., Nutt, D., &amp; Carhart-Harris, R. (2017). Patients’ Accounts of Increased “Connectedness” and “Acceptance” After Psilocybin for Treatment-Resistant Depression. </w:t>
      </w:r>
      <w:r>
        <w:rPr>
          <w:i/>
          <w:iCs/>
        </w:rPr>
        <w:t>Journal of Humanistic Psychology</w:t>
      </w:r>
      <w:r>
        <w:t xml:space="preserve">, </w:t>
      </w:r>
      <w:r>
        <w:rPr>
          <w:i/>
          <w:iCs/>
        </w:rPr>
        <w:t>57</w:t>
      </w:r>
      <w:r>
        <w:t>(5), 520–564. https://doi.org/10.1177/0022167817709585</w:t>
      </w:r>
    </w:p>
    <w:p w14:paraId="3F0E3866" w14:textId="77777777" w:rsidR="00234F0A" w:rsidRDefault="00234F0A" w:rsidP="00234F0A">
      <w:pPr>
        <w:pStyle w:val="Bibliography"/>
      </w:pPr>
      <w:r>
        <w:t xml:space="preserve">Weiss, D., Lowenstein, C., Sund, E. R., </w:t>
      </w:r>
      <w:proofErr w:type="spellStart"/>
      <w:r>
        <w:t>Vethe</w:t>
      </w:r>
      <w:proofErr w:type="spellEnd"/>
      <w:r>
        <w:t xml:space="preserve">, D., &amp; </w:t>
      </w:r>
      <w:proofErr w:type="spellStart"/>
      <w:r>
        <w:t>Krokstad</w:t>
      </w:r>
      <w:proofErr w:type="spellEnd"/>
      <w:r>
        <w:t xml:space="preserve">, S. (2025). Diverging mental health trends in the </w:t>
      </w:r>
      <w:proofErr w:type="spellStart"/>
      <w:r>
        <w:t>postpandemic</w:t>
      </w:r>
      <w:proofErr w:type="spellEnd"/>
      <w:r>
        <w:t xml:space="preserve"> era: Results from the HUNT Study, Norway. </w:t>
      </w:r>
      <w:r>
        <w:rPr>
          <w:i/>
          <w:iCs/>
        </w:rPr>
        <w:t>Journal of Epidemiology and Community Health</w:t>
      </w:r>
      <w:r>
        <w:t xml:space="preserve">, </w:t>
      </w:r>
      <w:r>
        <w:rPr>
          <w:i/>
          <w:iCs/>
        </w:rPr>
        <w:t>79</w:t>
      </w:r>
      <w:r>
        <w:t>(3), 165. https://doi.org/10.1136/jech-2024-222626</w:t>
      </w:r>
    </w:p>
    <w:p w14:paraId="1F968529" w14:textId="77777777" w:rsidR="00234F0A" w:rsidRDefault="00234F0A" w:rsidP="00234F0A">
      <w:pPr>
        <w:pStyle w:val="Bibliography"/>
      </w:pPr>
      <w:r>
        <w:t xml:space="preserve">Wong, S., Meckling, G., Fabiano, N., Lee, S., Jones, B. D. M., Shorr, R., Dargel, A., Davis, A. K., Fiedorowicz, J. G., </w:t>
      </w:r>
      <w:proofErr w:type="spellStart"/>
      <w:r>
        <w:t>Solmi</w:t>
      </w:r>
      <w:proofErr w:type="spellEnd"/>
      <w:r>
        <w:t xml:space="preserve">, M., Rosenblat, J. D., </w:t>
      </w:r>
      <w:proofErr w:type="spellStart"/>
      <w:r>
        <w:t>Mulsant</w:t>
      </w:r>
      <w:proofErr w:type="spellEnd"/>
      <w:r>
        <w:t xml:space="preserve">, B. H., Blumberger, D. M., &amp; Husain, M. I. (2025). Effect of psilocybin therapy on suicidal ideation, attempts, and deaths in people with psychiatric diagnoses: A systematic review and meta-analysis. </w:t>
      </w:r>
      <w:r>
        <w:rPr>
          <w:i/>
          <w:iCs/>
        </w:rPr>
        <w:t>Therapeutic Advances in Psychopharmacology</w:t>
      </w:r>
      <w:r>
        <w:t xml:space="preserve">, </w:t>
      </w:r>
      <w:r>
        <w:rPr>
          <w:i/>
          <w:iCs/>
        </w:rPr>
        <w:t>15</w:t>
      </w:r>
      <w:r>
        <w:t>, 20451253251372449. https://doi.org/10.1177/20451253251372449</w:t>
      </w:r>
    </w:p>
    <w:p w14:paraId="6C7F4325" w14:textId="77777777" w:rsidR="00234F0A" w:rsidRDefault="00234F0A" w:rsidP="00234F0A">
      <w:pPr>
        <w:pStyle w:val="Bibliography"/>
      </w:pPr>
      <w:r>
        <w:lastRenderedPageBreak/>
        <w:t xml:space="preserve">World Health Organization. (2025). </w:t>
      </w:r>
      <w:r>
        <w:rPr>
          <w:i/>
          <w:iCs/>
        </w:rPr>
        <w:t>World mental health today: Latest data</w:t>
      </w:r>
      <w:r>
        <w:t>. World Health Organization.</w:t>
      </w:r>
    </w:p>
    <w:p w14:paraId="693FC6B1" w14:textId="77777777" w:rsidR="00234F0A" w:rsidRDefault="00234F0A" w:rsidP="00234F0A">
      <w:pPr>
        <w:pStyle w:val="Bibliography"/>
      </w:pPr>
      <w:r>
        <w:t xml:space="preserve">World Health Organization (with World Health Organization). (2023). </w:t>
      </w:r>
      <w:r>
        <w:rPr>
          <w:i/>
          <w:iCs/>
        </w:rPr>
        <w:t>Mental Health Gap Action Programme (</w:t>
      </w:r>
      <w:proofErr w:type="spellStart"/>
      <w:r>
        <w:rPr>
          <w:i/>
          <w:iCs/>
        </w:rPr>
        <w:t>mhGAP</w:t>
      </w:r>
      <w:proofErr w:type="spellEnd"/>
      <w:r>
        <w:rPr>
          <w:i/>
          <w:iCs/>
        </w:rPr>
        <w:t>) guideline for mental, neurological and substance use disorders</w:t>
      </w:r>
      <w:r>
        <w:t>. World Health Organization.</w:t>
      </w:r>
    </w:p>
    <w:p w14:paraId="4EB67600" w14:textId="77777777" w:rsidR="00234F0A" w:rsidRDefault="00234F0A" w:rsidP="00234F0A">
      <w:pPr>
        <w:pStyle w:val="Bibliography"/>
      </w:pPr>
      <w:r>
        <w:t xml:space="preserve">Yao, X., Xu, X., Chan, K. L., Chen, S., Assink, M., &amp; Gao, S. (2023). Associations between psychological inflexibility and mental health problems during the COVID-19 pandemic: A three-level meta-analytic review. </w:t>
      </w:r>
      <w:r>
        <w:rPr>
          <w:i/>
          <w:iCs/>
        </w:rPr>
        <w:t>Journal of Affective Disorders</w:t>
      </w:r>
      <w:r>
        <w:t xml:space="preserve">, </w:t>
      </w:r>
      <w:r>
        <w:rPr>
          <w:i/>
          <w:iCs/>
        </w:rPr>
        <w:t>320</w:t>
      </w:r>
      <w:r>
        <w:t>, 148–160. https://doi.org/10.1016/j.jad.2022.09.116</w:t>
      </w:r>
    </w:p>
    <w:p w14:paraId="65502A0D" w14:textId="3F0B8E2D" w:rsidR="007D5289" w:rsidRPr="00FD5F56" w:rsidRDefault="00BF6E1F" w:rsidP="00BF6E1F">
      <w:r>
        <w:rPr>
          <w:lang w:val="fr-FR"/>
        </w:rPr>
        <w:fldChar w:fldCharType="end"/>
      </w:r>
    </w:p>
    <w:p w14:paraId="1E2116F9" w14:textId="77777777" w:rsidR="007D5289" w:rsidRPr="00FD5F56" w:rsidRDefault="007D5289">
      <w:r w:rsidRPr="00FD5F56">
        <w:br w:type="page"/>
      </w:r>
    </w:p>
    <w:p w14:paraId="294E0A23" w14:textId="52D9C5C1" w:rsidR="00BF6E1F" w:rsidRPr="00574F20" w:rsidRDefault="007D5289" w:rsidP="00BF6E1F">
      <w:r w:rsidRPr="00574F20">
        <w:lastRenderedPageBreak/>
        <w:t>Appendix</w:t>
      </w:r>
    </w:p>
    <w:p w14:paraId="03D3F727" w14:textId="30C292D9" w:rsidR="000036C8" w:rsidRPr="000036C8" w:rsidRDefault="000036C8" w:rsidP="00BF6E1F">
      <w:r w:rsidRPr="000036C8">
        <w:t>Figure S1. Residual plots f</w:t>
      </w:r>
      <w:r>
        <w:t>or the LDV and IPTW models.</w:t>
      </w:r>
    </w:p>
    <w:p w14:paraId="40AF9E2C" w14:textId="010630BC" w:rsidR="000036C8" w:rsidRDefault="000036C8" w:rsidP="00BF6E1F">
      <w:pPr>
        <w:rPr>
          <w:lang w:val="fr-FR"/>
        </w:rPr>
      </w:pPr>
      <w:r>
        <w:rPr>
          <w:noProof/>
          <w:lang w:val="fr-FR"/>
        </w:rPr>
        <w:drawing>
          <wp:inline distT="0" distB="0" distL="0" distR="0" wp14:anchorId="2996B3CA" wp14:editId="76D8745E">
            <wp:extent cx="2880000" cy="2044765"/>
            <wp:effectExtent l="0" t="0" r="0" b="0"/>
            <wp:docPr id="683609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0000" cy="2044765"/>
                    </a:xfrm>
                    <a:prstGeom prst="rect">
                      <a:avLst/>
                    </a:prstGeom>
                    <a:noFill/>
                  </pic:spPr>
                </pic:pic>
              </a:graphicData>
            </a:graphic>
          </wp:inline>
        </w:drawing>
      </w:r>
      <w:r>
        <w:rPr>
          <w:noProof/>
          <w:lang w:val="fr-FR"/>
        </w:rPr>
        <w:drawing>
          <wp:inline distT="0" distB="0" distL="0" distR="0" wp14:anchorId="0F8846DC" wp14:editId="1F234A9B">
            <wp:extent cx="2880000" cy="2044765"/>
            <wp:effectExtent l="0" t="0" r="0" b="0"/>
            <wp:docPr id="201993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0000" cy="2044765"/>
                    </a:xfrm>
                    <a:prstGeom prst="rect">
                      <a:avLst/>
                    </a:prstGeom>
                    <a:noFill/>
                  </pic:spPr>
                </pic:pic>
              </a:graphicData>
            </a:graphic>
          </wp:inline>
        </w:drawing>
      </w:r>
    </w:p>
    <w:p w14:paraId="4133E93C" w14:textId="53C6EF43" w:rsidR="007D5289" w:rsidRPr="000036C8" w:rsidRDefault="007D5289" w:rsidP="00BF6E1F">
      <w:r w:rsidRPr="000036C8">
        <w:t>Figure S</w:t>
      </w:r>
      <w:r w:rsidR="000036C8" w:rsidRPr="000036C8">
        <w:t>2. Propensity scores by</w:t>
      </w:r>
      <w:r w:rsidR="000036C8">
        <w:t xml:space="preserve"> treatment group.</w:t>
      </w:r>
    </w:p>
    <w:p w14:paraId="7C30B2FD" w14:textId="4088C9C0" w:rsidR="007D5289" w:rsidRPr="00BF6E1F" w:rsidRDefault="007D5289" w:rsidP="00BF6E1F">
      <w:pPr>
        <w:rPr>
          <w:lang w:val="fr-FR"/>
        </w:rPr>
      </w:pPr>
      <w:r>
        <w:rPr>
          <w:noProof/>
          <w:lang w:val="fr-FR"/>
        </w:rPr>
        <w:drawing>
          <wp:inline distT="0" distB="0" distL="0" distR="0" wp14:anchorId="658BDCBE" wp14:editId="14F2E993">
            <wp:extent cx="5335848" cy="3788388"/>
            <wp:effectExtent l="0" t="0" r="0" b="3175"/>
            <wp:docPr id="1975592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5831" cy="3795476"/>
                    </a:xfrm>
                    <a:prstGeom prst="rect">
                      <a:avLst/>
                    </a:prstGeom>
                    <a:noFill/>
                  </pic:spPr>
                </pic:pic>
              </a:graphicData>
            </a:graphic>
          </wp:inline>
        </w:drawing>
      </w:r>
    </w:p>
    <w:sectPr w:rsidR="007D5289" w:rsidRPr="00BF6E1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F85BC" w14:textId="77777777" w:rsidR="00487DD8" w:rsidRDefault="00487DD8" w:rsidP="003A2499">
      <w:pPr>
        <w:spacing w:after="0" w:line="240" w:lineRule="auto"/>
      </w:pPr>
      <w:r>
        <w:separator/>
      </w:r>
    </w:p>
  </w:endnote>
  <w:endnote w:type="continuationSeparator" w:id="0">
    <w:p w14:paraId="6AC12087" w14:textId="77777777" w:rsidR="00487DD8" w:rsidRDefault="00487DD8" w:rsidP="003A2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75D1E" w14:textId="77777777" w:rsidR="00487DD8" w:rsidRDefault="00487DD8" w:rsidP="003A2499">
      <w:pPr>
        <w:spacing w:after="0" w:line="240" w:lineRule="auto"/>
      </w:pPr>
      <w:r>
        <w:separator/>
      </w:r>
    </w:p>
  </w:footnote>
  <w:footnote w:type="continuationSeparator" w:id="0">
    <w:p w14:paraId="1E7ECE57" w14:textId="77777777" w:rsidR="00487DD8" w:rsidRDefault="00487DD8" w:rsidP="003A249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1NjI3Mjc3MTYztDRU0lEKTi0uzszPAykwrgUA2YSpkiwAAAA="/>
  </w:docVars>
  <w:rsids>
    <w:rsidRoot w:val="00C000F2"/>
    <w:rsid w:val="0000343F"/>
    <w:rsid w:val="000036C8"/>
    <w:rsid w:val="00076819"/>
    <w:rsid w:val="0008750F"/>
    <w:rsid w:val="00094D86"/>
    <w:rsid w:val="000B5C67"/>
    <w:rsid w:val="0011665C"/>
    <w:rsid w:val="00121F01"/>
    <w:rsid w:val="00122446"/>
    <w:rsid w:val="0014069B"/>
    <w:rsid w:val="001535CC"/>
    <w:rsid w:val="001A3CB4"/>
    <w:rsid w:val="001B07FD"/>
    <w:rsid w:val="001B15BB"/>
    <w:rsid w:val="001B2ED8"/>
    <w:rsid w:val="001D335E"/>
    <w:rsid w:val="001E1C6B"/>
    <w:rsid w:val="001E6654"/>
    <w:rsid w:val="00203A00"/>
    <w:rsid w:val="0023435C"/>
    <w:rsid w:val="00234F0A"/>
    <w:rsid w:val="00262039"/>
    <w:rsid w:val="00264E97"/>
    <w:rsid w:val="002A428E"/>
    <w:rsid w:val="002A7ACA"/>
    <w:rsid w:val="002D1651"/>
    <w:rsid w:val="002E6347"/>
    <w:rsid w:val="002F1A27"/>
    <w:rsid w:val="002F614B"/>
    <w:rsid w:val="00316AEE"/>
    <w:rsid w:val="0032614C"/>
    <w:rsid w:val="0035086C"/>
    <w:rsid w:val="00376CEF"/>
    <w:rsid w:val="003773C5"/>
    <w:rsid w:val="0038575A"/>
    <w:rsid w:val="003A2499"/>
    <w:rsid w:val="003B7976"/>
    <w:rsid w:val="003F339F"/>
    <w:rsid w:val="003F34C9"/>
    <w:rsid w:val="003F35B2"/>
    <w:rsid w:val="003F46AD"/>
    <w:rsid w:val="00401E4E"/>
    <w:rsid w:val="004750CF"/>
    <w:rsid w:val="00483072"/>
    <w:rsid w:val="00487DD8"/>
    <w:rsid w:val="00492E29"/>
    <w:rsid w:val="00497A0B"/>
    <w:rsid w:val="004C39CE"/>
    <w:rsid w:val="004C4899"/>
    <w:rsid w:val="005362BE"/>
    <w:rsid w:val="00540E93"/>
    <w:rsid w:val="0056166F"/>
    <w:rsid w:val="00574F20"/>
    <w:rsid w:val="00587194"/>
    <w:rsid w:val="00592423"/>
    <w:rsid w:val="005A7F5D"/>
    <w:rsid w:val="00601994"/>
    <w:rsid w:val="00612644"/>
    <w:rsid w:val="006600D6"/>
    <w:rsid w:val="00670472"/>
    <w:rsid w:val="00683590"/>
    <w:rsid w:val="00692700"/>
    <w:rsid w:val="00692AFA"/>
    <w:rsid w:val="006B6C93"/>
    <w:rsid w:val="006C35A0"/>
    <w:rsid w:val="006D23F3"/>
    <w:rsid w:val="006E219C"/>
    <w:rsid w:val="00716A92"/>
    <w:rsid w:val="007328B0"/>
    <w:rsid w:val="00763841"/>
    <w:rsid w:val="007822E7"/>
    <w:rsid w:val="00794B3D"/>
    <w:rsid w:val="007A334A"/>
    <w:rsid w:val="007D5289"/>
    <w:rsid w:val="007E0DA1"/>
    <w:rsid w:val="0080363E"/>
    <w:rsid w:val="008327EB"/>
    <w:rsid w:val="00833C7D"/>
    <w:rsid w:val="00847DA8"/>
    <w:rsid w:val="00852AAD"/>
    <w:rsid w:val="008B607C"/>
    <w:rsid w:val="008E29F5"/>
    <w:rsid w:val="008E41B6"/>
    <w:rsid w:val="00963F7E"/>
    <w:rsid w:val="009650E6"/>
    <w:rsid w:val="00973642"/>
    <w:rsid w:val="009B43AA"/>
    <w:rsid w:val="009C6FA4"/>
    <w:rsid w:val="009E5373"/>
    <w:rsid w:val="00A051F7"/>
    <w:rsid w:val="00A07C7D"/>
    <w:rsid w:val="00A33B3D"/>
    <w:rsid w:val="00A77975"/>
    <w:rsid w:val="00A807BE"/>
    <w:rsid w:val="00AB243E"/>
    <w:rsid w:val="00AC7781"/>
    <w:rsid w:val="00AF4872"/>
    <w:rsid w:val="00AF600F"/>
    <w:rsid w:val="00B116B6"/>
    <w:rsid w:val="00B352D7"/>
    <w:rsid w:val="00B54EDE"/>
    <w:rsid w:val="00B60426"/>
    <w:rsid w:val="00B60CB6"/>
    <w:rsid w:val="00B70A91"/>
    <w:rsid w:val="00B76733"/>
    <w:rsid w:val="00BC19F0"/>
    <w:rsid w:val="00BE05FD"/>
    <w:rsid w:val="00BE2481"/>
    <w:rsid w:val="00BF6E1F"/>
    <w:rsid w:val="00BF7FA6"/>
    <w:rsid w:val="00C000F2"/>
    <w:rsid w:val="00C0654E"/>
    <w:rsid w:val="00C4027C"/>
    <w:rsid w:val="00C40605"/>
    <w:rsid w:val="00C51743"/>
    <w:rsid w:val="00C62639"/>
    <w:rsid w:val="00C66C71"/>
    <w:rsid w:val="00C771D2"/>
    <w:rsid w:val="00C810AE"/>
    <w:rsid w:val="00CB6CF2"/>
    <w:rsid w:val="00CC29CC"/>
    <w:rsid w:val="00CC6501"/>
    <w:rsid w:val="00CD1A75"/>
    <w:rsid w:val="00CD248C"/>
    <w:rsid w:val="00CF07DC"/>
    <w:rsid w:val="00CF3FE0"/>
    <w:rsid w:val="00D17D35"/>
    <w:rsid w:val="00D23F13"/>
    <w:rsid w:val="00D63894"/>
    <w:rsid w:val="00D73CE9"/>
    <w:rsid w:val="00D83D18"/>
    <w:rsid w:val="00D93E75"/>
    <w:rsid w:val="00DA3DE5"/>
    <w:rsid w:val="00DC0868"/>
    <w:rsid w:val="00DF66C2"/>
    <w:rsid w:val="00E21D02"/>
    <w:rsid w:val="00E45466"/>
    <w:rsid w:val="00E62315"/>
    <w:rsid w:val="00EA309F"/>
    <w:rsid w:val="00EC34F4"/>
    <w:rsid w:val="00EC4F42"/>
    <w:rsid w:val="00ED00B3"/>
    <w:rsid w:val="00F24710"/>
    <w:rsid w:val="00F2739D"/>
    <w:rsid w:val="00F56660"/>
    <w:rsid w:val="00FC29CB"/>
    <w:rsid w:val="00FC4951"/>
    <w:rsid w:val="00FD5F56"/>
    <w:rsid w:val="00FF71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6DCC"/>
  <w15:chartTrackingRefBased/>
  <w15:docId w15:val="{7C8CE184-FB27-4BD5-8500-BE55C2871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0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0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0F2"/>
    <w:rPr>
      <w:rFonts w:eastAsiaTheme="majorEastAsia" w:cstheme="majorBidi"/>
      <w:color w:val="272727" w:themeColor="text1" w:themeTint="D8"/>
    </w:rPr>
  </w:style>
  <w:style w:type="paragraph" w:styleId="Title">
    <w:name w:val="Title"/>
    <w:basedOn w:val="Normal"/>
    <w:next w:val="Normal"/>
    <w:link w:val="TitleChar"/>
    <w:uiPriority w:val="10"/>
    <w:qFormat/>
    <w:rsid w:val="00C00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0F2"/>
    <w:pPr>
      <w:spacing w:before="160"/>
      <w:jc w:val="center"/>
    </w:pPr>
    <w:rPr>
      <w:i/>
      <w:iCs/>
      <w:color w:val="404040" w:themeColor="text1" w:themeTint="BF"/>
    </w:rPr>
  </w:style>
  <w:style w:type="character" w:customStyle="1" w:styleId="QuoteChar">
    <w:name w:val="Quote Char"/>
    <w:basedOn w:val="DefaultParagraphFont"/>
    <w:link w:val="Quote"/>
    <w:uiPriority w:val="29"/>
    <w:rsid w:val="00C000F2"/>
    <w:rPr>
      <w:i/>
      <w:iCs/>
      <w:color w:val="404040" w:themeColor="text1" w:themeTint="BF"/>
    </w:rPr>
  </w:style>
  <w:style w:type="paragraph" w:styleId="ListParagraph">
    <w:name w:val="List Paragraph"/>
    <w:basedOn w:val="Normal"/>
    <w:uiPriority w:val="34"/>
    <w:qFormat/>
    <w:rsid w:val="00C000F2"/>
    <w:pPr>
      <w:ind w:left="720"/>
      <w:contextualSpacing/>
    </w:pPr>
  </w:style>
  <w:style w:type="character" w:styleId="IntenseEmphasis">
    <w:name w:val="Intense Emphasis"/>
    <w:basedOn w:val="DefaultParagraphFont"/>
    <w:uiPriority w:val="21"/>
    <w:qFormat/>
    <w:rsid w:val="00C000F2"/>
    <w:rPr>
      <w:i/>
      <w:iCs/>
      <w:color w:val="0F4761" w:themeColor="accent1" w:themeShade="BF"/>
    </w:rPr>
  </w:style>
  <w:style w:type="paragraph" w:styleId="IntenseQuote">
    <w:name w:val="Intense Quote"/>
    <w:basedOn w:val="Normal"/>
    <w:next w:val="Normal"/>
    <w:link w:val="IntenseQuoteChar"/>
    <w:uiPriority w:val="30"/>
    <w:qFormat/>
    <w:rsid w:val="00C00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0F2"/>
    <w:rPr>
      <w:i/>
      <w:iCs/>
      <w:color w:val="0F4761" w:themeColor="accent1" w:themeShade="BF"/>
    </w:rPr>
  </w:style>
  <w:style w:type="character" w:styleId="IntenseReference">
    <w:name w:val="Intense Reference"/>
    <w:basedOn w:val="DefaultParagraphFont"/>
    <w:uiPriority w:val="32"/>
    <w:qFormat/>
    <w:rsid w:val="00C000F2"/>
    <w:rPr>
      <w:b/>
      <w:bCs/>
      <w:smallCaps/>
      <w:color w:val="0F4761" w:themeColor="accent1" w:themeShade="BF"/>
      <w:spacing w:val="5"/>
    </w:rPr>
  </w:style>
  <w:style w:type="character" w:styleId="Hyperlink">
    <w:name w:val="Hyperlink"/>
    <w:basedOn w:val="DefaultParagraphFont"/>
    <w:uiPriority w:val="99"/>
    <w:unhideWhenUsed/>
    <w:rsid w:val="00F56660"/>
    <w:rPr>
      <w:color w:val="467886" w:themeColor="hyperlink"/>
      <w:u w:val="single"/>
    </w:rPr>
  </w:style>
  <w:style w:type="character" w:styleId="UnresolvedMention">
    <w:name w:val="Unresolved Mention"/>
    <w:basedOn w:val="DefaultParagraphFont"/>
    <w:uiPriority w:val="99"/>
    <w:semiHidden/>
    <w:unhideWhenUsed/>
    <w:rsid w:val="00F56660"/>
    <w:rPr>
      <w:color w:val="605E5C"/>
      <w:shd w:val="clear" w:color="auto" w:fill="E1DFDD"/>
    </w:rPr>
  </w:style>
  <w:style w:type="paragraph" w:styleId="Bibliography">
    <w:name w:val="Bibliography"/>
    <w:basedOn w:val="Normal"/>
    <w:next w:val="Normal"/>
    <w:uiPriority w:val="37"/>
    <w:unhideWhenUsed/>
    <w:rsid w:val="00BE2481"/>
  </w:style>
  <w:style w:type="paragraph" w:styleId="FootnoteText">
    <w:name w:val="footnote text"/>
    <w:basedOn w:val="Normal"/>
    <w:link w:val="FootnoteTextChar"/>
    <w:uiPriority w:val="99"/>
    <w:semiHidden/>
    <w:unhideWhenUsed/>
    <w:rsid w:val="003A24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A2499"/>
    <w:rPr>
      <w:sz w:val="20"/>
      <w:szCs w:val="20"/>
    </w:rPr>
  </w:style>
  <w:style w:type="character" w:styleId="FootnoteReference">
    <w:name w:val="footnote reference"/>
    <w:basedOn w:val="DefaultParagraphFont"/>
    <w:uiPriority w:val="99"/>
    <w:semiHidden/>
    <w:unhideWhenUsed/>
    <w:rsid w:val="003A2499"/>
    <w:rPr>
      <w:vertAlign w:val="superscript"/>
    </w:rPr>
  </w:style>
  <w:style w:type="paragraph" w:styleId="Caption">
    <w:name w:val="caption"/>
    <w:basedOn w:val="Normal"/>
    <w:next w:val="Normal"/>
    <w:uiPriority w:val="35"/>
    <w:unhideWhenUsed/>
    <w:qFormat/>
    <w:rsid w:val="00E45466"/>
    <w:pPr>
      <w:spacing w:after="200" w:line="240" w:lineRule="auto"/>
    </w:pPr>
    <w:rPr>
      <w:i/>
      <w:iCs/>
      <w:color w:val="0E2841" w:themeColor="text2"/>
      <w:sz w:val="18"/>
      <w:szCs w:val="18"/>
    </w:rPr>
  </w:style>
  <w:style w:type="character" w:styleId="Strong">
    <w:name w:val="Strong"/>
    <w:basedOn w:val="DefaultParagraphFont"/>
    <w:uiPriority w:val="22"/>
    <w:qFormat/>
    <w:rsid w:val="008E29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574A6-B877-4C27-A510-AABEB6F1D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2598</TotalTime>
  <Pages>24</Pages>
  <Words>27389</Words>
  <Characters>166529</Characters>
  <Application>Microsoft Office Word</Application>
  <DocSecurity>0</DocSecurity>
  <Lines>2921</Lines>
  <Paragraphs>1065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Delgado Ron</dc:creator>
  <cp:keywords/>
  <dc:description/>
  <cp:lastModifiedBy>Andrés Delgado Ron</cp:lastModifiedBy>
  <cp:revision>12</cp:revision>
  <dcterms:created xsi:type="dcterms:W3CDTF">2025-10-21T15:05:00Z</dcterms:created>
  <dcterms:modified xsi:type="dcterms:W3CDTF">2025-11-04T16:01:00Z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id="9Vag3n9t"/&gt;&lt;style id="http://www.zotero.org/styles/apa" locale="en-GB" hasBibliography="1" bibliographyStyleHasBeenSet="1"/&gt;&lt;prefs&gt;&lt;pref name="fieldType" value="Field"/&gt;&lt;/prefs&gt;&lt;/data&gt;</vt:lpwstr>
  </property>
</Properties>
</file>