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C5FD" w14:textId="3E055482" w:rsidR="00401E4E" w:rsidRPr="00C82703" w:rsidRDefault="00C000F2" w:rsidP="00DF66C2">
      <w:pPr>
        <w:pStyle w:val="Title"/>
        <w:rPr>
          <w:rFonts w:ascii="Times New Roman" w:hAnsi="Times New Roman" w:cs="Times New Roman"/>
          <w:b/>
          <w:bCs/>
          <w:sz w:val="32"/>
          <w:szCs w:val="32"/>
        </w:rPr>
      </w:pPr>
      <w:r w:rsidRPr="00C82703">
        <w:rPr>
          <w:rFonts w:ascii="Times New Roman" w:hAnsi="Times New Roman" w:cs="Times New Roman"/>
          <w:b/>
          <w:bCs/>
          <w:sz w:val="32"/>
          <w:szCs w:val="32"/>
        </w:rPr>
        <w:t>Effects of psilocybin on psychological distress</w:t>
      </w:r>
      <w:r w:rsidR="0008750F" w:rsidRPr="00C82703">
        <w:rPr>
          <w:rFonts w:ascii="Times New Roman" w:hAnsi="Times New Roman" w:cs="Times New Roman"/>
          <w:b/>
          <w:bCs/>
          <w:sz w:val="32"/>
          <w:szCs w:val="32"/>
        </w:rPr>
        <w:t xml:space="preserve"> levels among Canadian adults</w:t>
      </w:r>
      <w:r w:rsidR="001D335E" w:rsidRPr="00C82703">
        <w:rPr>
          <w:rFonts w:ascii="Times New Roman" w:hAnsi="Times New Roman" w:cs="Times New Roman"/>
          <w:b/>
          <w:bCs/>
          <w:sz w:val="32"/>
          <w:szCs w:val="32"/>
        </w:rPr>
        <w:t xml:space="preserve"> who had not previously used</w:t>
      </w:r>
      <w:r w:rsidRPr="00C82703">
        <w:rPr>
          <w:rFonts w:ascii="Times New Roman" w:hAnsi="Times New Roman" w:cs="Times New Roman"/>
          <w:b/>
          <w:bCs/>
          <w:sz w:val="32"/>
          <w:szCs w:val="32"/>
        </w:rPr>
        <w:t xml:space="preserve">: a cohort study </w:t>
      </w:r>
    </w:p>
    <w:p w14:paraId="551E7502" w14:textId="77777777" w:rsidR="0000343F" w:rsidRPr="00C82703" w:rsidRDefault="0000343F">
      <w:pPr>
        <w:rPr>
          <w:rFonts w:ascii="Times New Roman" w:hAnsi="Times New Roman" w:cs="Times New Roman"/>
        </w:rPr>
      </w:pPr>
    </w:p>
    <w:p w14:paraId="40F8228C" w14:textId="0ADDEC20" w:rsidR="00C82703" w:rsidRPr="00C82703" w:rsidRDefault="00CD54D5">
      <w:pPr>
        <w:rPr>
          <w:rFonts w:ascii="Times New Roman" w:hAnsi="Times New Roman" w:cs="Times New Roman"/>
          <w:vertAlign w:val="superscript"/>
        </w:rPr>
      </w:pPr>
      <w:r>
        <w:rPr>
          <w:rFonts w:ascii="Times New Roman" w:hAnsi="Times New Roman" w:cs="Times New Roman"/>
        </w:rPr>
        <w:t xml:space="preserve">J. </w:t>
      </w:r>
      <w:r w:rsidR="00C82703" w:rsidRPr="00C82703">
        <w:rPr>
          <w:rFonts w:ascii="Times New Roman" w:hAnsi="Times New Roman" w:cs="Times New Roman"/>
        </w:rPr>
        <w:t>Andres Delgado-Ron</w:t>
      </w:r>
      <w:r w:rsidR="00C82703" w:rsidRPr="00C82703">
        <w:rPr>
          <w:rFonts w:ascii="Times New Roman" w:hAnsi="Times New Roman" w:cs="Times New Roman"/>
          <w:vertAlign w:val="superscript"/>
        </w:rPr>
        <w:t>1</w:t>
      </w:r>
      <w:r w:rsidR="00C82703" w:rsidRPr="00C82703">
        <w:rPr>
          <w:rFonts w:ascii="Times New Roman" w:hAnsi="Times New Roman" w:cs="Times New Roman"/>
        </w:rPr>
        <w:t>, Gina Martin</w:t>
      </w:r>
      <w:r w:rsidR="00776F0D">
        <w:rPr>
          <w:rFonts w:ascii="Times New Roman" w:hAnsi="Times New Roman" w:cs="Times New Roman"/>
          <w:vertAlign w:val="superscript"/>
        </w:rPr>
        <w:t>2</w:t>
      </w:r>
      <w:r w:rsidR="00C82703" w:rsidRPr="00C82703">
        <w:rPr>
          <w:rFonts w:ascii="Times New Roman" w:hAnsi="Times New Roman" w:cs="Times New Roman"/>
        </w:rPr>
        <w:t>, Laura Baracaldo</w:t>
      </w:r>
      <w:r w:rsidR="00776F0D">
        <w:rPr>
          <w:rFonts w:ascii="Times New Roman" w:hAnsi="Times New Roman" w:cs="Times New Roman"/>
          <w:vertAlign w:val="superscript"/>
        </w:rPr>
        <w:t>1</w:t>
      </w:r>
      <w:r w:rsidR="00C82703" w:rsidRPr="00C82703">
        <w:rPr>
          <w:rFonts w:ascii="Times New Roman" w:hAnsi="Times New Roman" w:cs="Times New Roman"/>
        </w:rPr>
        <w:t>, Sandra Allison</w:t>
      </w:r>
      <w:r w:rsidR="00776F0D">
        <w:rPr>
          <w:rFonts w:ascii="Times New Roman" w:hAnsi="Times New Roman" w:cs="Times New Roman"/>
          <w:vertAlign w:val="superscript"/>
        </w:rPr>
        <w:t>3</w:t>
      </w:r>
      <w:r w:rsidR="00C82703" w:rsidRPr="00C82703">
        <w:rPr>
          <w:rFonts w:ascii="Times New Roman" w:hAnsi="Times New Roman" w:cs="Times New Roman"/>
        </w:rPr>
        <w:t>, Daniel J. Kruger</w:t>
      </w:r>
      <w:r w:rsidR="00776F0D">
        <w:rPr>
          <w:rFonts w:ascii="Times New Roman" w:hAnsi="Times New Roman" w:cs="Times New Roman"/>
          <w:vertAlign w:val="superscript"/>
        </w:rPr>
        <w:t>4</w:t>
      </w:r>
      <w:r w:rsidR="00C82703" w:rsidRPr="00C82703">
        <w:rPr>
          <w:rFonts w:ascii="Times New Roman" w:hAnsi="Times New Roman" w:cs="Times New Roman"/>
        </w:rPr>
        <w:t>, Zach Walsh</w:t>
      </w:r>
      <w:r w:rsidR="00776F0D">
        <w:rPr>
          <w:rFonts w:ascii="Times New Roman" w:hAnsi="Times New Roman" w:cs="Times New Roman"/>
          <w:vertAlign w:val="superscript"/>
        </w:rPr>
        <w:t>5</w:t>
      </w:r>
      <w:r w:rsidR="00C82703" w:rsidRPr="00C82703">
        <w:rPr>
          <w:rFonts w:ascii="Times New Roman" w:hAnsi="Times New Roman" w:cs="Times New Roman"/>
        </w:rPr>
        <w:t>, Shannon Dames</w:t>
      </w:r>
      <w:r w:rsidR="00776F0D">
        <w:rPr>
          <w:rFonts w:ascii="Times New Roman" w:hAnsi="Times New Roman" w:cs="Times New Roman"/>
          <w:vertAlign w:val="superscript"/>
        </w:rPr>
        <w:t>6</w:t>
      </w:r>
      <w:r w:rsidR="00C82703" w:rsidRPr="00C82703">
        <w:rPr>
          <w:rFonts w:ascii="Times New Roman" w:hAnsi="Times New Roman" w:cs="Times New Roman"/>
        </w:rPr>
        <w:t>, Cecilia Benoit</w:t>
      </w:r>
      <w:r w:rsidR="00776F0D">
        <w:rPr>
          <w:rFonts w:ascii="Times New Roman" w:hAnsi="Times New Roman" w:cs="Times New Roman"/>
          <w:vertAlign w:val="superscript"/>
        </w:rPr>
        <w:t>7</w:t>
      </w:r>
      <w:r w:rsidR="00C82703" w:rsidRPr="00C82703">
        <w:rPr>
          <w:rFonts w:ascii="Times New Roman" w:hAnsi="Times New Roman" w:cs="Times New Roman"/>
        </w:rPr>
        <w:t>, Kiffer G. Card</w:t>
      </w:r>
      <w:r w:rsidR="00C82703" w:rsidRPr="00C82703">
        <w:rPr>
          <w:rFonts w:ascii="Times New Roman" w:hAnsi="Times New Roman" w:cs="Times New Roman"/>
          <w:vertAlign w:val="superscript"/>
        </w:rPr>
        <w:t>1</w:t>
      </w:r>
    </w:p>
    <w:p w14:paraId="112309E8" w14:textId="69D39948"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Faculty of Health Sciences, Simon Fraser University, Burnaby, Canada</w:t>
      </w:r>
    </w:p>
    <w:p w14:paraId="2AE49F46" w14:textId="1FBF0717"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5563A0B" w14:textId="57FD731D"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07B74BB" w14:textId="1B39D1A6"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BE203FC" w14:textId="3EC24FEF" w:rsidR="00C82703" w:rsidRDefault="00FF1F05" w:rsidP="00C82703">
      <w:pPr>
        <w:pStyle w:val="ListParagraph"/>
        <w:numPr>
          <w:ilvl w:val="0"/>
          <w:numId w:val="1"/>
        </w:numPr>
        <w:rPr>
          <w:rFonts w:ascii="Times New Roman" w:hAnsi="Times New Roman" w:cs="Times New Roman"/>
        </w:rPr>
      </w:pPr>
      <w:r>
        <w:rPr>
          <w:rFonts w:ascii="Times New Roman" w:hAnsi="Times New Roman" w:cs="Times New Roman"/>
        </w:rPr>
        <w:t xml:space="preserve"> </w:t>
      </w:r>
    </w:p>
    <w:p w14:paraId="5F216961" w14:textId="0F3C8C3A" w:rsidR="00FF1F05" w:rsidRDefault="00FF1F05" w:rsidP="00C82703">
      <w:pPr>
        <w:pStyle w:val="ListParagraph"/>
        <w:numPr>
          <w:ilvl w:val="0"/>
          <w:numId w:val="1"/>
        </w:numPr>
        <w:rPr>
          <w:rFonts w:ascii="Times New Roman" w:hAnsi="Times New Roman" w:cs="Times New Roman"/>
        </w:rPr>
      </w:pPr>
      <w:r>
        <w:rPr>
          <w:rFonts w:ascii="Times New Roman" w:hAnsi="Times New Roman" w:cs="Times New Roman"/>
        </w:rPr>
        <w:t xml:space="preserve"> </w:t>
      </w:r>
    </w:p>
    <w:p w14:paraId="3D40458C" w14:textId="77777777" w:rsidR="00FF1F05" w:rsidRPr="00C82703" w:rsidRDefault="00FF1F05" w:rsidP="00C82703">
      <w:pPr>
        <w:pStyle w:val="ListParagraph"/>
        <w:numPr>
          <w:ilvl w:val="0"/>
          <w:numId w:val="1"/>
        </w:numPr>
        <w:rPr>
          <w:rFonts w:ascii="Times New Roman" w:hAnsi="Times New Roman" w:cs="Times New Roman"/>
        </w:rPr>
      </w:pPr>
    </w:p>
    <w:p w14:paraId="1726945C" w14:textId="77777777" w:rsidR="00C82703" w:rsidRDefault="00C82703">
      <w:pPr>
        <w:rPr>
          <w:rFonts w:ascii="Times New Roman" w:eastAsiaTheme="majorEastAsia" w:hAnsi="Times New Roman" w:cs="Times New Roman"/>
          <w:b/>
          <w:bCs/>
        </w:rPr>
      </w:pPr>
      <w:r>
        <w:rPr>
          <w:rFonts w:ascii="Times New Roman" w:hAnsi="Times New Roman" w:cs="Times New Roman"/>
          <w:b/>
          <w:bCs/>
        </w:rPr>
        <w:br w:type="page"/>
      </w:r>
    </w:p>
    <w:p w14:paraId="711026F8" w14:textId="0FC51796" w:rsidR="00DF66C2" w:rsidRPr="00C82703" w:rsidRDefault="00DF66C2" w:rsidP="00DF66C2">
      <w:pPr>
        <w:pStyle w:val="Heading1"/>
        <w:rPr>
          <w:rFonts w:ascii="Times New Roman" w:hAnsi="Times New Roman" w:cs="Times New Roman"/>
          <w:b/>
          <w:bCs/>
          <w:color w:val="auto"/>
          <w:sz w:val="24"/>
          <w:szCs w:val="24"/>
        </w:rPr>
      </w:pPr>
      <w:r w:rsidRPr="00C82703">
        <w:rPr>
          <w:rFonts w:ascii="Times New Roman" w:hAnsi="Times New Roman" w:cs="Times New Roman"/>
          <w:b/>
          <w:bCs/>
          <w:color w:val="auto"/>
          <w:sz w:val="24"/>
          <w:szCs w:val="24"/>
        </w:rPr>
        <w:lastRenderedPageBreak/>
        <w:t>Abstract</w:t>
      </w:r>
    </w:p>
    <w:p w14:paraId="790C0EF8" w14:textId="77777777" w:rsidR="00C82703" w:rsidRDefault="001F3E6D" w:rsidP="001F3E6D">
      <w:pPr>
        <w:rPr>
          <w:rFonts w:ascii="Times New Roman" w:hAnsi="Times New Roman" w:cs="Times New Roman"/>
        </w:rPr>
      </w:pPr>
      <w:r w:rsidRPr="00C82703">
        <w:rPr>
          <w:rFonts w:ascii="Times New Roman" w:hAnsi="Times New Roman" w:cs="Times New Roman"/>
        </w:rPr>
        <w:t>A growing body of evidence suggests that psilocybin improves mental health outcomes. Clinical trials have shown sustained benefits comparable to standard care but with limited generalisability, while observational studies capture broader populations but with shorter follow-up periods (typically months). This study addressed both issues by examining changes in psychological distress in an online cohort of Canadian adults assessed across three timepoints who had never used psilocybin at baseline (n = 110).</w:t>
      </w:r>
      <w:r w:rsidR="00CE19C5" w:rsidRPr="00C82703">
        <w:rPr>
          <w:rFonts w:ascii="Times New Roman" w:hAnsi="Times New Roman" w:cs="Times New Roman"/>
        </w:rPr>
        <w:t xml:space="preserve"> </w:t>
      </w:r>
      <w:r w:rsidRPr="00C82703">
        <w:rPr>
          <w:rFonts w:ascii="Times New Roman" w:hAnsi="Times New Roman" w:cs="Times New Roman"/>
        </w:rPr>
        <w:t>During the first year, 28 participants reported using psilocybin, while 82 did not. Of the non-users, 40 continued to abstain during follow-up, 1 initiated use in the second year, and 41 were lost to follow-up (50.0%). Among the 28 users, 11 reported repeated use at follow-up, while 17 were lost to follow-up (60.7%).</w:t>
      </w:r>
      <w:r w:rsidR="00CE19C5" w:rsidRPr="00C82703">
        <w:rPr>
          <w:rFonts w:ascii="Times New Roman" w:hAnsi="Times New Roman" w:cs="Times New Roman"/>
        </w:rPr>
        <w:t xml:space="preserve"> </w:t>
      </w:r>
      <w:r w:rsidRPr="00C82703">
        <w:rPr>
          <w:rFonts w:ascii="Times New Roman" w:hAnsi="Times New Roman" w:cs="Times New Roman"/>
        </w:rPr>
        <w:t>A lagged dependent variable model showed that psilocybin use was associated with a 2.63-point reduction in Kessler-6 distress scores (95% CI: −4.70 to −0.56), adjusting for baseline levels and confounders. Within-person analyses showed an average 3.82-point reduction (95% CI: −5.80 to −1.84). Pairwise comparisons indicated that reductions were sustained one year later among a subset of users (n = 14), whereas no significant changes were observed in controls who provided second-year follow-up data (n = 40). These findings suggest that psilocybin use is associated with sustained reductions in psychological distress in a naturalistic adult cohort. These results also highlight a regulatory gap, suggesting a need to re-evaluate access frameworks to safely expand availability for individuals experiencing psychological distress.</w:t>
      </w:r>
    </w:p>
    <w:p w14:paraId="5265C941" w14:textId="77777777" w:rsidR="00C82703" w:rsidRDefault="00C82703" w:rsidP="001F3E6D">
      <w:pPr>
        <w:rPr>
          <w:rFonts w:ascii="Times New Roman" w:hAnsi="Times New Roman" w:cs="Times New Roman"/>
        </w:rPr>
      </w:pPr>
    </w:p>
    <w:p w14:paraId="7D3E598D" w14:textId="1C4BE369" w:rsidR="00DF66C2" w:rsidRPr="00371A04" w:rsidRDefault="00C82703" w:rsidP="001F3E6D">
      <w:pPr>
        <w:rPr>
          <w:rFonts w:ascii="Times New Roman" w:eastAsiaTheme="majorEastAsia" w:hAnsi="Times New Roman" w:cs="Times New Roman"/>
          <w:lang w:val="fr-FR"/>
        </w:rPr>
      </w:pPr>
      <w:proofErr w:type="gramStart"/>
      <w:r w:rsidRPr="00371A04">
        <w:rPr>
          <w:rFonts w:ascii="Times New Roman" w:hAnsi="Times New Roman" w:cs="Times New Roman"/>
          <w:b/>
          <w:bCs/>
          <w:lang w:val="fr-FR"/>
        </w:rPr>
        <w:t>Keywords</w:t>
      </w:r>
      <w:r w:rsidRPr="00371A04">
        <w:rPr>
          <w:rFonts w:ascii="Times New Roman" w:hAnsi="Times New Roman" w:cs="Times New Roman"/>
          <w:lang w:val="fr-FR"/>
        </w:rPr>
        <w:t>:</w:t>
      </w:r>
      <w:proofErr w:type="gramEnd"/>
      <w:r w:rsidRPr="00371A04">
        <w:rPr>
          <w:rFonts w:ascii="Times New Roman" w:hAnsi="Times New Roman" w:cs="Times New Roman"/>
          <w:lang w:val="fr-FR"/>
        </w:rPr>
        <w:t xml:space="preserve"> Psilocybin, Psychological Distress</w:t>
      </w:r>
      <w:r w:rsidR="00371A04" w:rsidRPr="00371A04">
        <w:rPr>
          <w:rFonts w:ascii="Times New Roman" w:hAnsi="Times New Roman" w:cs="Times New Roman"/>
          <w:lang w:val="fr-FR"/>
        </w:rPr>
        <w:t xml:space="preserve">, </w:t>
      </w:r>
      <w:r w:rsidR="00DF66C2" w:rsidRPr="00371A04">
        <w:rPr>
          <w:rFonts w:ascii="Times New Roman" w:hAnsi="Times New Roman" w:cs="Times New Roman"/>
          <w:lang w:val="fr-FR"/>
        </w:rPr>
        <w:br w:type="page"/>
      </w:r>
    </w:p>
    <w:p w14:paraId="63F60711" w14:textId="7079FCC7" w:rsidR="001E1C6B" w:rsidRPr="00C82703" w:rsidRDefault="00DF66C2" w:rsidP="00C82703">
      <w:pPr>
        <w:pStyle w:val="Heading1"/>
        <w:spacing w:line="480" w:lineRule="auto"/>
        <w:jc w:val="center"/>
        <w:rPr>
          <w:rFonts w:ascii="Times New Roman" w:hAnsi="Times New Roman" w:cs="Times New Roman"/>
          <w:b/>
          <w:bCs/>
          <w:color w:val="auto"/>
          <w:sz w:val="24"/>
          <w:szCs w:val="24"/>
        </w:rPr>
      </w:pPr>
      <w:r w:rsidRPr="00C82703">
        <w:rPr>
          <w:rFonts w:ascii="Times New Roman" w:hAnsi="Times New Roman" w:cs="Times New Roman"/>
          <w:b/>
          <w:bCs/>
          <w:color w:val="auto"/>
          <w:sz w:val="24"/>
          <w:szCs w:val="24"/>
        </w:rPr>
        <w:lastRenderedPageBreak/>
        <w:t>Introduction</w:t>
      </w:r>
    </w:p>
    <w:p w14:paraId="75056623" w14:textId="01E24B4C" w:rsidR="00601994" w:rsidRPr="00C82703" w:rsidRDefault="001B2ED8" w:rsidP="00C82703">
      <w:pPr>
        <w:spacing w:line="480" w:lineRule="auto"/>
        <w:rPr>
          <w:rFonts w:ascii="Times New Roman" w:hAnsi="Times New Roman" w:cs="Times New Roman"/>
        </w:rPr>
      </w:pPr>
      <w:r w:rsidRPr="00C82703">
        <w:rPr>
          <w:rFonts w:ascii="Times New Roman" w:hAnsi="Times New Roman" w:cs="Times New Roman"/>
        </w:rPr>
        <w:t>The analysis of h</w:t>
      </w:r>
      <w:r w:rsidR="00C40605" w:rsidRPr="00C82703">
        <w:rPr>
          <w:rFonts w:ascii="Times New Roman" w:hAnsi="Times New Roman" w:cs="Times New Roman"/>
        </w:rPr>
        <w:t xml:space="preserve">istoric data on </w:t>
      </w:r>
      <w:r w:rsidR="00601994" w:rsidRPr="00C82703">
        <w:rPr>
          <w:rFonts w:ascii="Times New Roman" w:hAnsi="Times New Roman" w:cs="Times New Roman"/>
        </w:rPr>
        <w:t xml:space="preserve">the prevalence </w:t>
      </w:r>
      <w:r w:rsidR="00C40605" w:rsidRPr="00C82703">
        <w:rPr>
          <w:rFonts w:ascii="Times New Roman" w:hAnsi="Times New Roman" w:cs="Times New Roman"/>
        </w:rPr>
        <w:t xml:space="preserve">of </w:t>
      </w:r>
      <w:r w:rsidRPr="00C82703">
        <w:rPr>
          <w:rFonts w:ascii="Times New Roman" w:hAnsi="Times New Roman" w:cs="Times New Roman"/>
        </w:rPr>
        <w:t xml:space="preserve">major </w:t>
      </w:r>
      <w:r w:rsidR="00C40605" w:rsidRPr="00C82703">
        <w:rPr>
          <w:rFonts w:ascii="Times New Roman" w:hAnsi="Times New Roman" w:cs="Times New Roman"/>
        </w:rPr>
        <w:t xml:space="preserve">depression </w:t>
      </w:r>
      <w:r w:rsidRPr="00C82703">
        <w:rPr>
          <w:rFonts w:ascii="Times New Roman" w:hAnsi="Times New Roman" w:cs="Times New Roman"/>
        </w:rPr>
        <w:t xml:space="preserve">disorder </w:t>
      </w:r>
      <w:r w:rsidR="00C40605" w:rsidRPr="00C82703">
        <w:rPr>
          <w:rFonts w:ascii="Times New Roman" w:hAnsi="Times New Roman" w:cs="Times New Roman"/>
        </w:rPr>
        <w:t xml:space="preserve">and </w:t>
      </w:r>
      <w:r w:rsidRPr="00C82703">
        <w:rPr>
          <w:rFonts w:ascii="Times New Roman" w:hAnsi="Times New Roman" w:cs="Times New Roman"/>
        </w:rPr>
        <w:t xml:space="preserve">general </w:t>
      </w:r>
      <w:r w:rsidR="00C40605" w:rsidRPr="00C82703">
        <w:rPr>
          <w:rFonts w:ascii="Times New Roman" w:hAnsi="Times New Roman" w:cs="Times New Roman"/>
        </w:rPr>
        <w:t xml:space="preserve">anxiety </w:t>
      </w:r>
      <w:r w:rsidRPr="00C82703">
        <w:rPr>
          <w:rFonts w:ascii="Times New Roman" w:hAnsi="Times New Roman" w:cs="Times New Roman"/>
        </w:rPr>
        <w:t>reveal</w:t>
      </w:r>
      <w:r w:rsidR="00601994" w:rsidRPr="00C82703">
        <w:rPr>
          <w:rFonts w:ascii="Times New Roman" w:hAnsi="Times New Roman" w:cs="Times New Roman"/>
        </w:rPr>
        <w:t xml:space="preserve"> an upward trend in diagnosis worldwide</w:t>
      </w:r>
      <w:r w:rsidRPr="00C82703">
        <w:rPr>
          <w:rFonts w:ascii="Times New Roman" w:hAnsi="Times New Roman" w:cs="Times New Roman"/>
        </w:rPr>
        <w:t xml:space="preserve"> </w:t>
      </w:r>
      <w:r w:rsidR="00601994"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{"citationID":"vz6eouFo","properties":{"formattedCitation":"(1,2)","plainCitation":"(1,2)","noteIndex":0},"citationItems":[{"id":1139,"uris":["http://zotero.org/users/1546863/items/K3A95QDL"],"itemData":{"id":1139,"type":"article-journal","container-title":"BMC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id":1140,"uris":["http://zotero.org/users/1546863/items/VSD3MULE"],"itemData":{"id":1140,"type":"article-journal","container-title":"The Lancet","DOI":"10.1016/S0140-6736(21)02143-7","ISSN":"01406736","issue":"10312","journalAbbreviation":"The Lancet","language":"en","page":"1700-1712","source":"DOI.org (Crossref)","title":"Global prevalence and burden of depressive and anxiety disorders in 204 countries and territories in 2020 due to the COVID-19 pandemic","volume":"398","author":[{"family":"Santomauro","given":"Damian F"},{"family":"Mantilla Herrera","given":"Ana M"},{"family":"Shadid","given":"Jamileh"},{"family":"Zheng","given":"Peng"},{"family":"Ashbaugh","given":"Charlie"},{"family":"Pigott","given":"David M"},{"family":"Abbafati","given":"Cristiana"},{"family":"Adolph","given":"Christopher"},{"family":"Amlag","given":"Joanne O"},{"family":"Aravkin","given":"Aleksandr Y"},{"family":"Bang-Jensen","given":"Bree L"},{"family":"Bertolacci","given":"Gregory J"},{"family":"Bloom","given":"Sabina S"},{"family":"Castellano","given":"Rachel"},{"family":"Castro","given":"Emma"},{"family":"Chakrabarti","given":"Suman"},{"family":"Chattopadhyay","given":"Jhilik"},{"family":"Cogen","given":"Rebecca M"},{"family":"Collins","given":"James K"},{"family":"Dai","given":"Xiaochen"},{"family":"Dangel","given":"William James"},{"family":"Dapper","given":"Carolyn"},{"family":"Deen","given":"Amanda"},{"family":"Erickson","given":"Megan"},{"family":"Ewald","given":"Samuel B"},{"family":"Flaxman","given":"Abraham D"},{"family":"Frostad","given":"Joseph Jon"},{"family":"Fullman","given":"Nancy"},{"family":"Giles","given":"John R"},{"family":"Giref","given":"Ababi Zergaw"},{"family":"Guo","given":"Gaorui"},{"family":"He","given":"Jiawei"},{"family":"Helak","given":"Monika"},{"family":"Hulland","given":"Erin N"},{"family":"Idrisov","given":"Bulat"},{"family":"Lindstrom","given":"Akiaja"},{"family":"Linebarger","given":"Emily"},{"family":"Lotufo","given":"Paulo A"},{"family":"Lozano","given":"Rafael"},{"family":"Magistro","given":"Beatrice"},{"family":"Malta","given":"Deborah Carvalho"},{"family":"Månsson","given":"Johan C"},{"family":"Marinho","given":"Fatima"},{"family":"Mokdad","given":"Ali H"},{"family":"Monasta","given":"Lorenzo"},{"family":"Naik","given":"Paulami"},{"family":"Nomura","given":"Shuhei"},{"family":"O'Halloran","given":"James Kevin"},{"family":"Ostroff","given":"Samuel M"},{"family":"Pasovic","given":"Maja"},{"family":"Penberthy","given":"Louise"},{"family":"Reiner Jr","given":"Robert C"},{"family":"Reinke","given":"Grace"},{"family":"Ribeiro","given":"Antonio Luiz P"},{"family":"Sholokhov","given":"Aleksei"},{"family":"Sorensen","given":"Reed J D"},{"family":"Varavikova","given":"Elena"},{"family":"Vo","given":"Anh Truc"},{"family":"Walcott","given":"Rebecca"},{"family":"Watson","given":"Stefanie"},{"family":"Wiysonge","given":"Charles Shey"},{"family":"Zigler","given":"Bethany"},{"family":"Hay","given":"Simon I"},{"family":"Vos","given":"Theo"},{"family":"Murray","given":"Christopher J L"},{"family":"Whiteford","given":"Harvey A"},{"family":"Ferrari","given":"Alize J"}],"issued":{"date-parts":[["2021",11]]}}}],"schema":"https://github.com/citation-style-language/schema/raw/master/csl-citation.json"} </w:instrText>
      </w:r>
      <w:r w:rsidR="00601994" w:rsidRPr="00C82703">
        <w:rPr>
          <w:rFonts w:ascii="Times New Roman" w:hAnsi="Times New Roman" w:cs="Times New Roman"/>
        </w:rPr>
        <w:fldChar w:fldCharType="separate"/>
      </w:r>
      <w:r w:rsidR="00843B2C" w:rsidRPr="00C82703">
        <w:rPr>
          <w:rFonts w:ascii="Times New Roman" w:hAnsi="Times New Roman" w:cs="Times New Roman"/>
        </w:rPr>
        <w:t>(1,2)</w:t>
      </w:r>
      <w:r w:rsidR="00601994" w:rsidRPr="00C82703">
        <w:rPr>
          <w:rFonts w:ascii="Times New Roman" w:hAnsi="Times New Roman" w:cs="Times New Roman"/>
        </w:rPr>
        <w:fldChar w:fldCharType="end"/>
      </w:r>
      <w:r w:rsidR="00601994" w:rsidRPr="00C82703">
        <w:rPr>
          <w:rFonts w:ascii="Times New Roman" w:hAnsi="Times New Roman" w:cs="Times New Roman"/>
        </w:rPr>
        <w:t xml:space="preserve">. The most recent available </w:t>
      </w:r>
      <w:r w:rsidR="00C40605" w:rsidRPr="00C82703">
        <w:rPr>
          <w:rFonts w:ascii="Times New Roman" w:hAnsi="Times New Roman" w:cs="Times New Roman"/>
        </w:rPr>
        <w:t xml:space="preserve">global </w:t>
      </w:r>
      <w:r w:rsidR="00601994" w:rsidRPr="00C82703">
        <w:rPr>
          <w:rFonts w:ascii="Times New Roman" w:hAnsi="Times New Roman" w:cs="Times New Roman"/>
        </w:rPr>
        <w:t xml:space="preserve">estimates </w:t>
      </w:r>
      <w:r w:rsidR="00C40605" w:rsidRPr="00C82703">
        <w:rPr>
          <w:rFonts w:ascii="Times New Roman" w:hAnsi="Times New Roman" w:cs="Times New Roman"/>
        </w:rPr>
        <w:t xml:space="preserve">(2021) </w:t>
      </w:r>
      <w:r w:rsidR="00601994" w:rsidRPr="00C82703">
        <w:rPr>
          <w:rFonts w:ascii="Times New Roman" w:hAnsi="Times New Roman" w:cs="Times New Roman"/>
        </w:rPr>
        <w:t>show that</w:t>
      </w:r>
      <w:r w:rsidRPr="00C82703">
        <w:rPr>
          <w:rFonts w:ascii="Times New Roman" w:hAnsi="Times New Roman" w:cs="Times New Roman"/>
        </w:rPr>
        <w:t xml:space="preserve"> these </w:t>
      </w:r>
      <w:r w:rsidR="00C40605" w:rsidRPr="00C82703">
        <w:rPr>
          <w:rFonts w:ascii="Times New Roman" w:hAnsi="Times New Roman" w:cs="Times New Roman"/>
        </w:rPr>
        <w:t xml:space="preserve">mood disorders </w:t>
      </w:r>
      <w:r w:rsidR="00601994" w:rsidRPr="00C82703">
        <w:rPr>
          <w:rFonts w:ascii="Times New Roman" w:hAnsi="Times New Roman" w:cs="Times New Roman"/>
        </w:rPr>
        <w:t xml:space="preserve">account for approximately 11% of all global years lost due to disability </w:t>
      </w:r>
      <w:r w:rsidR="00601994"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{"citationID":"TJwx8126","properties":{"formattedCitation":"(1)","plainCitation":"(1)","noteIndex":0},"citationItems":[{"id":1139,"uris":["http://zotero.org/users/1546863/items/K3A95QDL"],"itemData":{"id":1139,"type":"article-journal","container-title":"BMC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schema":"https://github.com/citation-style-language/schema/raw/master/csl-citation.json"} </w:instrText>
      </w:r>
      <w:r w:rsidR="00601994" w:rsidRPr="00C82703">
        <w:rPr>
          <w:rFonts w:ascii="Times New Roman" w:hAnsi="Times New Roman" w:cs="Times New Roman"/>
        </w:rPr>
        <w:fldChar w:fldCharType="separate"/>
      </w:r>
      <w:r w:rsidR="00843B2C" w:rsidRPr="00C82703">
        <w:rPr>
          <w:rFonts w:ascii="Times New Roman" w:hAnsi="Times New Roman" w:cs="Times New Roman"/>
        </w:rPr>
        <w:t>(1)</w:t>
      </w:r>
      <w:r w:rsidR="00601994" w:rsidRPr="00C82703">
        <w:rPr>
          <w:rFonts w:ascii="Times New Roman" w:hAnsi="Times New Roman" w:cs="Times New Roman"/>
        </w:rPr>
        <w:fldChar w:fldCharType="end"/>
      </w:r>
      <w:r w:rsidR="00601994" w:rsidRPr="00C82703">
        <w:rPr>
          <w:rFonts w:ascii="Times New Roman" w:hAnsi="Times New Roman" w:cs="Times New Roman"/>
        </w:rPr>
        <w:t xml:space="preserve">. </w:t>
      </w:r>
      <w:r w:rsidRPr="00C82703">
        <w:rPr>
          <w:rFonts w:ascii="Times New Roman" w:hAnsi="Times New Roman" w:cs="Times New Roman"/>
        </w:rPr>
        <w:t xml:space="preserve">Post-pandemic </w:t>
      </w:r>
      <w:r w:rsidR="00601994" w:rsidRPr="00C82703">
        <w:rPr>
          <w:rFonts w:ascii="Times New Roman" w:hAnsi="Times New Roman" w:cs="Times New Roman"/>
        </w:rPr>
        <w:t xml:space="preserve">reports suggest this trend worsened </w:t>
      </w:r>
      <w:r w:rsidRPr="00C82703">
        <w:rPr>
          <w:rFonts w:ascii="Times New Roman" w:hAnsi="Times New Roman" w:cs="Times New Roman"/>
        </w:rPr>
        <w:t xml:space="preserve">through </w:t>
      </w:r>
      <w:r w:rsidR="00601994" w:rsidRPr="00C82703">
        <w:rPr>
          <w:rFonts w:ascii="Times New Roman" w:hAnsi="Times New Roman" w:cs="Times New Roman"/>
        </w:rPr>
        <w:t>COVID-19</w:t>
      </w:r>
      <w:r w:rsidR="00C40605" w:rsidRPr="00C82703">
        <w:rPr>
          <w:rFonts w:ascii="Times New Roman" w:hAnsi="Times New Roman" w:cs="Times New Roman"/>
        </w:rPr>
        <w:t xml:space="preserve"> and </w:t>
      </w:r>
      <w:r w:rsidRPr="00C82703">
        <w:rPr>
          <w:rFonts w:ascii="Times New Roman" w:hAnsi="Times New Roman" w:cs="Times New Roman"/>
        </w:rPr>
        <w:t xml:space="preserve">will </w:t>
      </w:r>
      <w:r w:rsidR="00C40605" w:rsidRPr="00C82703">
        <w:rPr>
          <w:rFonts w:ascii="Times New Roman" w:hAnsi="Times New Roman" w:cs="Times New Roman"/>
        </w:rPr>
        <w:t xml:space="preserve">likely have long-lasting impacts </w:t>
      </w:r>
      <w:r w:rsidRPr="00C82703">
        <w:rPr>
          <w:rFonts w:ascii="Times New Roman" w:hAnsi="Times New Roman" w:cs="Times New Roman"/>
        </w:rPr>
        <w:t xml:space="preserve">due to the </w:t>
      </w:r>
      <w:r w:rsidR="00D83D18" w:rsidRPr="00C82703">
        <w:rPr>
          <w:rFonts w:ascii="Times New Roman" w:hAnsi="Times New Roman" w:cs="Times New Roman"/>
        </w:rPr>
        <w:t xml:space="preserve">interplay between </w:t>
      </w:r>
      <w:r w:rsidR="00C40605" w:rsidRPr="00C82703">
        <w:rPr>
          <w:rFonts w:ascii="Times New Roman" w:hAnsi="Times New Roman" w:cs="Times New Roman"/>
        </w:rPr>
        <w:t>pandemic-related complications (</w:t>
      </w:r>
      <w:r w:rsidR="00D83D18" w:rsidRPr="00C82703">
        <w:rPr>
          <w:rFonts w:ascii="Times New Roman" w:hAnsi="Times New Roman" w:cs="Times New Roman"/>
        </w:rPr>
        <w:t xml:space="preserve">such as </w:t>
      </w:r>
      <w:r w:rsidR="00C40605" w:rsidRPr="00C82703">
        <w:rPr>
          <w:rFonts w:ascii="Times New Roman" w:hAnsi="Times New Roman" w:cs="Times New Roman"/>
        </w:rPr>
        <w:t xml:space="preserve">long covid) and depression </w:t>
      </w:r>
      <w:r w:rsidR="00C40605"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{"citationID":"pcA0rU8e","properties":{"formattedCitation":"(3\\uc0\\u8211{}5)","plainCitation":"(3–5)","noteIndex":0},"citationItems":[{"id":1149,"uris":["http://zotero.org/users/1546863/items/E49HEUGH"],"itemData":{"id":1149,"type":"article-journal","abstract":"Abstract\n            \n              Background\n              Post COVID-19 syndrome, also known as \"Long COVID,\" is a complex and multifaceted condition that affects individuals who have recovered from SARS-CoV-2 infection. This systematic review and meta-analysis aim to comprehensively assess the global prevalence of depression, anxiety, and sleep disorder in individuals coping with Post COVID-19 syndrome.\n            \n            \n              Methods\n              A rigorous search of electronic databases was conducted to identify original studies until 24 January 2023. The inclusion criteria comprised studies employing previously validated assessment tools for depression, anxiety, and sleep disorders, reporting prevalence rates, and encompassing patients of all age groups and geographical regions for subgroup analysis Random effects model was utilized for the meta-analysis. Meta-regression analysis was done.\n            \n            \n              Results\n              \n                The pooled prevalence of depression and anxiety among patients coping with Post COVID-19 syndrome was estimated to be 23% (95% CI: 20%—26%; I2 = 99.9%) based on data from 143 studies with 7,782,124 participants and 132 studies with 9,320,687 participants, respectively. The pooled prevalence of sleep disorder among these patients, derived from 27 studies with 15,362 participants, was estimated to be 45% (95% CI: 37%—53%; I2 = 98.7%). Subgroup analyses based on geographical regions and assessment scales revealed significant variations in prevalence rates. Meta-regression analysis showed significant correlations between the prevalence and total sample size of studies, the age of participants, and the percentage of male participants. Publication bias was assessed using Doi plot visualization and the Peters test, revealing a potential source of publication bias for depression (\n                p\n                 = 0.0085) and sleep disorder (\n                p\n                 = 0.02). However, no evidence of publication bias was found for anxiety (\n                p\n                 = 0.11).\n              \n            \n            \n              Conclusion\n              This systematic review and meta-analysis demonstrate a considerable burden of mental health issues, including depression, anxiety, and sleep disorders, among individuals recovering from COVID-19. The findings emphasize the need for comprehensive mental health support and tailored interventions for patients experiencing persistent symptoms after COVID-19 recovery.","container-title":"BMC Psychiatry","DOI":"10.1186/s12888-023-05481-6","ISSN":"1471-244X","issue":"1","journalAbbreviation":"BMC Psychiatry","language":"en","page":"105","source":"DOI.org (Crossref)","title":"The global prevalence of depression, anxiety, and sleep disorder among patients coping with Post COVID-19 syndrome (long COVID): a systematic review and meta-analysis","title-short":"The global prevalence of depression, anxiety, and sleep disorder among patients coping with Post COVID-19 syndrome (long COVID)","volume":"24","author":[{"family":"Seighali","given":"Niloofar"},{"family":"Abdollahi","given":"Abolfazl"},{"family":"Shafiee","given":"Arman"},{"family":"Amini","given":"Mohammad Javad"},{"family":"Teymouri Athar","given":"Mohammad Mobin"},{"family":"Safari","given":"Omid"},{"family":"Faghfouri","given":"Parsa"},{"family":"Eskandari","given":"Alireza"},{"family":"Rostaii","given":"Omid"},{"family":"Salehi","given":"Amir Hossein"},{"family":"Soltani","given":"Hedieh"},{"family":"Hosseini","given":"Mahsa"},{"family":"Abhari","given":"Faeze Soltani"},{"family":"Maghsoudi","given":"Mohammad Reza"},{"family":"Jahanbakhshi","given":"Bahar"},{"family":"Bakhtiyari","given":"Mahmood"}],"issued":{"date-parts":[["2024",2,6]]}}},{"id":1148,"uris":["http://zotero.org/users/1546863/items/N23MD2LH"],"itemData":{"id":1148,"type":"article-journal","container-title":"Journal of Psychosomatic Research","DOI":"10.1016/j.jpsychores.2024.111961","ISSN":"00223999","journalAbbreviation":"Journal of Psychosomatic Research","language":"en","page":"111961","source":"DOI.org (Crossref)","title":"Dissecting the association between long COVID and depressive symptoms in a nationally representative population from France","volume":"187","author":[{"family":"Tebeka","given":"Sarah"},{"family":"Coste","given":"Joël"},{"family":"Makovski","given":"Tatjana T."},{"family":"Alleaume","given":"Caroline"},{"family":"Delpierre","given":"Cyrille"},{"family":"Gallay","given":"Anne"},{"family":"Pignon","given":"Baptiste"},{"family":"Gouraud","given":"Clément"},{"family":"Ouazana Vedrines","given":"Charles"},{"family":"Pitron","given":"Victor"},{"family":"Robineau","given":"Olivier"},{"family":"Steichen","given":"Olivier"},{"family":"Lemogne","given":"Cédric"}],"issued":{"date-parts":[["2024",12]]}}},{"id":1142,"uris":["http://zotero.org/users/1546863/items/7R7EUPLQ"],"itemData":{"id":1142,"type":"article-journal","abstract":"Background The purpose of this report is to examine to what extent the COVID-19 pandemic affected pre-existing trends in mental health, with a focus on subgroup differences across age, gender and socioeconomic status.Methods Our analysis uses data from two survey periods (HUNT4: 2017–2019 and HUNT-COVID: 2021–2023) from the Trøndelag Health Study in Norway. We estimate overall and stratified (by age, sex and educational attainment) prevalence values for above-threshold (≥8) anxiety and depression scores using the Hospital Anxiety and Depression Scale. For each outcome, we compare prevalences between HUNT-4 and HUNT-Covid within each subgroup.Results Above-threshold levels of anxiety were higher among women than men, while the opposite was true for depression. Symptoms generally decrease with age. Between HUNT4 and HUNT-COVID, for both women and men, anxiety symptoms decreased (except among women between 18–29 and 30–39) while depression symptoms increased (except for individuals over 80). Anxiety symptoms decreased across education levels between HUNT4 and HUNT-COVID while depression symptoms increased across education levels.Conclusion The findings illustrate the negative long-term effects of a shock such as a pandemic while also illustrating the potential positive effects of generous welfare benefits on inequalities in mental health.","container-title":"Journal of Epidemiology and Community Health","DOI":"10.1136/jech-2024-222626","issue":"3","journalAbbreviation":"J Epidemiol Community Health","page":"165","title":"Diverging mental health trends in the postpandemic era: results from the HUNT Study, Norway","volume":"79","author":[{"family":"Weiss","given":"Daniel"},{"family":"Lowenstein","given":"Christopher"},{"family":"Sund","given":"Erik Reidar"},{"family":"Vethe","given":"Daniel"},{"family":"Krokstad","given":"Steinar"}],"issued":{"date-parts":[["2025",3,1]]}}}],"schema":"https://github.com/citation-style-language/schema/raw/master/csl-citation.json"} </w:instrText>
      </w:r>
      <w:r w:rsidR="00C40605" w:rsidRPr="00C82703">
        <w:rPr>
          <w:rFonts w:ascii="Times New Roman" w:hAnsi="Times New Roman" w:cs="Times New Roman"/>
        </w:rPr>
        <w:fldChar w:fldCharType="separate"/>
      </w:r>
      <w:r w:rsidR="00843B2C" w:rsidRPr="00C82703">
        <w:rPr>
          <w:rFonts w:ascii="Times New Roman" w:hAnsi="Times New Roman" w:cs="Times New Roman"/>
          <w:kern w:val="0"/>
        </w:rPr>
        <w:t>(3–5)</w:t>
      </w:r>
      <w:r w:rsidR="00C40605" w:rsidRPr="00C82703">
        <w:rPr>
          <w:rFonts w:ascii="Times New Roman" w:hAnsi="Times New Roman" w:cs="Times New Roman"/>
        </w:rPr>
        <w:fldChar w:fldCharType="end"/>
      </w:r>
      <w:r w:rsidR="00601994" w:rsidRPr="00C82703">
        <w:rPr>
          <w:rFonts w:ascii="Times New Roman" w:hAnsi="Times New Roman" w:cs="Times New Roman"/>
        </w:rPr>
        <w:t>.</w:t>
      </w:r>
      <w:r w:rsidR="00C40605" w:rsidRPr="00C82703">
        <w:rPr>
          <w:rFonts w:ascii="Times New Roman" w:hAnsi="Times New Roman" w:cs="Times New Roman"/>
        </w:rPr>
        <w:t xml:space="preserve"> Taken together, these findings underscore the urgent need for scalable, evidence-based interventions to address the rising burden of </w:t>
      </w:r>
      <w:r w:rsidR="00D83D18" w:rsidRPr="00C82703">
        <w:rPr>
          <w:rFonts w:ascii="Times New Roman" w:hAnsi="Times New Roman" w:cs="Times New Roman"/>
        </w:rPr>
        <w:t>our global mental health crisis</w:t>
      </w:r>
      <w:r w:rsidR="00C40605" w:rsidRPr="00C82703">
        <w:rPr>
          <w:rFonts w:ascii="Times New Roman" w:hAnsi="Times New Roman" w:cs="Times New Roman"/>
        </w:rPr>
        <w:t>.</w:t>
      </w:r>
    </w:p>
    <w:p w14:paraId="59E44EDD" w14:textId="5B1DA446" w:rsidR="00E62315" w:rsidRPr="00C82703" w:rsidRDefault="00C40605" w:rsidP="00CD54D5">
      <w:pPr>
        <w:spacing w:line="480" w:lineRule="auto"/>
        <w:ind w:firstLine="720"/>
        <w:rPr>
          <w:rFonts w:ascii="Times New Roman" w:hAnsi="Times New Roman" w:cs="Times New Roman"/>
        </w:rPr>
      </w:pPr>
      <w:r w:rsidRPr="00C82703">
        <w:rPr>
          <w:rFonts w:ascii="Times New Roman" w:hAnsi="Times New Roman" w:cs="Times New Roman"/>
        </w:rPr>
        <w:t>A recent report by t</w:t>
      </w:r>
      <w:r w:rsidR="00262039" w:rsidRPr="00C82703">
        <w:rPr>
          <w:rFonts w:ascii="Times New Roman" w:hAnsi="Times New Roman" w:cs="Times New Roman"/>
        </w:rPr>
        <w:t xml:space="preserve">he World Health Organization </w:t>
      </w:r>
      <w:r w:rsidR="00262039"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{"citationID":"bAq2YolZ","properties":{"formattedCitation":"(6)","plainCitation":"(6)","noteIndex":0},"citationItems":[{"id":1143,"uris":["http://zotero.org/users/1546863/items/KCFAXNMB"],"itemData":{"id":1143,"type":"book","publisher":"World Health Organization","title":"World mental health today: latest data","author":[{"literal":"World Health Organization"}],"issued":{"date-parts":[["2025"]]}},"locator":"26","label":"page","suppress-author":true}],"schema":"https://github.com/citation-style-language/schema/raw/master/csl-citation.json"} </w:instrText>
      </w:r>
      <w:r w:rsidR="00262039" w:rsidRPr="00C82703">
        <w:rPr>
          <w:rFonts w:ascii="Times New Roman" w:hAnsi="Times New Roman" w:cs="Times New Roman"/>
        </w:rPr>
        <w:fldChar w:fldCharType="separate"/>
      </w:r>
      <w:r w:rsidR="00843B2C" w:rsidRPr="00C82703">
        <w:rPr>
          <w:rFonts w:ascii="Times New Roman" w:hAnsi="Times New Roman" w:cs="Times New Roman"/>
        </w:rPr>
        <w:t>(6)</w:t>
      </w:r>
      <w:r w:rsidR="00262039" w:rsidRPr="00C82703">
        <w:rPr>
          <w:rFonts w:ascii="Times New Roman" w:hAnsi="Times New Roman" w:cs="Times New Roman"/>
        </w:rPr>
        <w:fldChar w:fldCharType="end"/>
      </w:r>
      <w:r w:rsidR="00262039" w:rsidRPr="00C82703">
        <w:rPr>
          <w:rFonts w:ascii="Times New Roman" w:hAnsi="Times New Roman" w:cs="Times New Roman"/>
        </w:rPr>
        <w:t xml:space="preserve"> identified childhood sexual abuse, bullying</w:t>
      </w:r>
      <w:r w:rsidR="00E62315" w:rsidRPr="00C82703">
        <w:rPr>
          <w:rFonts w:ascii="Times New Roman" w:hAnsi="Times New Roman" w:cs="Times New Roman"/>
        </w:rPr>
        <w:t xml:space="preserve"> by peers</w:t>
      </w:r>
      <w:r w:rsidR="00262039" w:rsidRPr="00C82703">
        <w:rPr>
          <w:rFonts w:ascii="Times New Roman" w:hAnsi="Times New Roman" w:cs="Times New Roman"/>
        </w:rPr>
        <w:t xml:space="preserve">, and intimate partner violence as relevant modifiable risk factors for major depressive disorder and anxiety (accounting for over 20% of all disability-adjusted life year lost to </w:t>
      </w:r>
      <w:r w:rsidR="00E62315" w:rsidRPr="00C82703">
        <w:rPr>
          <w:rFonts w:ascii="Times New Roman" w:hAnsi="Times New Roman" w:cs="Times New Roman"/>
        </w:rPr>
        <w:t>these conditions</w:t>
      </w:r>
      <w:r w:rsidR="00262039" w:rsidRPr="00C82703">
        <w:rPr>
          <w:rFonts w:ascii="Times New Roman" w:hAnsi="Times New Roman" w:cs="Times New Roman"/>
        </w:rPr>
        <w:t>).</w:t>
      </w:r>
      <w:r w:rsidR="00E62315" w:rsidRPr="00C82703">
        <w:rPr>
          <w:rFonts w:ascii="Times New Roman" w:hAnsi="Times New Roman" w:cs="Times New Roman"/>
        </w:rPr>
        <w:t xml:space="preserve"> Framing these events as risk factors is useful to establish </w:t>
      </w:r>
      <w:r w:rsidRPr="00C82703">
        <w:rPr>
          <w:rFonts w:ascii="Times New Roman" w:hAnsi="Times New Roman" w:cs="Times New Roman"/>
        </w:rPr>
        <w:t>preventive</w:t>
      </w:r>
      <w:r w:rsidR="00D83D18" w:rsidRPr="00C82703">
        <w:rPr>
          <w:rFonts w:ascii="Times New Roman" w:hAnsi="Times New Roman" w:cs="Times New Roman"/>
        </w:rPr>
        <w:t xml:space="preserve"> policies</w:t>
      </w:r>
      <w:r w:rsidRPr="00C82703">
        <w:rPr>
          <w:rFonts w:ascii="Times New Roman" w:hAnsi="Times New Roman" w:cs="Times New Roman"/>
        </w:rPr>
        <w:t>. However</w:t>
      </w:r>
      <w:r w:rsidR="00E62315" w:rsidRPr="00C82703">
        <w:rPr>
          <w:rFonts w:ascii="Times New Roman" w:hAnsi="Times New Roman" w:cs="Times New Roman"/>
        </w:rPr>
        <w:t>, the</w:t>
      </w:r>
      <w:r w:rsidRPr="00C82703">
        <w:rPr>
          <w:rFonts w:ascii="Times New Roman" w:hAnsi="Times New Roman" w:cs="Times New Roman"/>
        </w:rPr>
        <w:t xml:space="preserve"> nature of said risk factors also </w:t>
      </w:r>
      <w:r w:rsidR="00E62315" w:rsidRPr="00C82703">
        <w:rPr>
          <w:rFonts w:ascii="Times New Roman" w:hAnsi="Times New Roman" w:cs="Times New Roman"/>
        </w:rPr>
        <w:t>illustrate</w:t>
      </w:r>
      <w:r w:rsidRPr="00C82703">
        <w:rPr>
          <w:rFonts w:ascii="Times New Roman" w:hAnsi="Times New Roman" w:cs="Times New Roman"/>
        </w:rPr>
        <w:t>s</w:t>
      </w:r>
      <w:r w:rsidR="00E62315" w:rsidRPr="00C82703">
        <w:rPr>
          <w:rFonts w:ascii="Times New Roman" w:hAnsi="Times New Roman" w:cs="Times New Roman"/>
        </w:rPr>
        <w:t xml:space="preserve"> the complexity of </w:t>
      </w:r>
      <w:r w:rsidR="00094D86" w:rsidRPr="00C82703">
        <w:rPr>
          <w:rFonts w:ascii="Times New Roman" w:hAnsi="Times New Roman" w:cs="Times New Roman"/>
        </w:rPr>
        <w:t xml:space="preserve">mood disorders as </w:t>
      </w:r>
      <w:r w:rsidR="00E62315" w:rsidRPr="00C82703">
        <w:rPr>
          <w:rFonts w:ascii="Times New Roman" w:hAnsi="Times New Roman" w:cs="Times New Roman"/>
        </w:rPr>
        <w:t xml:space="preserve">dynamic patterns of disrupted </w:t>
      </w:r>
      <w:r w:rsidR="00094D86" w:rsidRPr="00C82703">
        <w:rPr>
          <w:rFonts w:ascii="Times New Roman" w:hAnsi="Times New Roman" w:cs="Times New Roman"/>
        </w:rPr>
        <w:t xml:space="preserve">physical and emotional </w:t>
      </w:r>
      <w:r w:rsidR="00E62315" w:rsidRPr="00C82703">
        <w:rPr>
          <w:rFonts w:ascii="Times New Roman" w:hAnsi="Times New Roman" w:cs="Times New Roman"/>
        </w:rPr>
        <w:t>development, social functioning, and physiological regulation that unfold over the life course</w:t>
      </w:r>
      <w:r w:rsidR="00094D86" w:rsidRPr="00C82703">
        <w:rPr>
          <w:rFonts w:ascii="Times New Roman" w:hAnsi="Times New Roman" w:cs="Times New Roman"/>
        </w:rPr>
        <w:t xml:space="preserve"> </w:t>
      </w:r>
      <w:r w:rsidR="00094D86"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{"citationID":"fKDwEw9o","properties":{"formattedCitation":"(7)","plainCitation":"(7)","noteIndex":0},"citationItems":[{"id":1151,"uris":["http://zotero.org/users/1546863/items/5QXUJW7T"],"itemData":{"id":1151,"type":"article-journal","abstract":"ABSTRACT—\n              \n                Clinical depression is a significant mental health problem that is associated with personal suffering and impaired functioning. These effects underscore the continuing need for new approaches that can inform researchers and clinicians when designing interventions. The present article proposes that individual differences in the self‐regulation of sadness and distress provide an important link between stress, depressed mood, and the onset of depressive disorder, and that a better understanding of the ways children successfully manage dysphoric emotions will lead to improved prevention and treatment of pediatric depression. After examining the normative development of responses that children use to attenuate sadness, aspects of the neurobiological infrastructure that both enable and constrain such self‐regulatory efforts, and affect regulation of children at familial risk for depressive disorders, this article concludes by calling for integrated, developmental, multidisciplinary studies of sadness self‐regulation.","container-title":"Child Development Perspectives","DOI":"10.1111/j.1750-8606.2008.00057.x","ISSN":"1750-8592, 1750-8606","issue":"3","journalAbbreviation":"Child Dev Perspectives","language":"en","license":"http://onlinelibrary.wiley.com/termsAndConditions#vor","page":"149-155","source":"DOI.org (Crossref)","title":"Emotion (Dys)regulation and Links to Depressive Disorders","volume":"2","author":[{"family":"Kovacs","given":"Maria"},{"family":"Joormann","given":"Jutta"},{"family":"Gotlib","given":"Ian H."}],"issued":{"date-parts":[["2008",12]]}}}],"schema":"https://github.com/citation-style-language/schema/raw/master/csl-citation.json"} </w:instrText>
      </w:r>
      <w:r w:rsidR="00094D86" w:rsidRPr="00C82703">
        <w:rPr>
          <w:rFonts w:ascii="Times New Roman" w:hAnsi="Times New Roman" w:cs="Times New Roman"/>
        </w:rPr>
        <w:fldChar w:fldCharType="separate"/>
      </w:r>
      <w:r w:rsidR="00843B2C" w:rsidRPr="00C82703">
        <w:rPr>
          <w:rFonts w:ascii="Times New Roman" w:hAnsi="Times New Roman" w:cs="Times New Roman"/>
        </w:rPr>
        <w:t>(7)</w:t>
      </w:r>
      <w:r w:rsidR="00094D86" w:rsidRPr="00C82703">
        <w:rPr>
          <w:rFonts w:ascii="Times New Roman" w:hAnsi="Times New Roman" w:cs="Times New Roman"/>
        </w:rPr>
        <w:fldChar w:fldCharType="end"/>
      </w:r>
      <w:r w:rsidR="00E62315" w:rsidRPr="00C82703">
        <w:rPr>
          <w:rFonts w:ascii="Times New Roman" w:hAnsi="Times New Roman" w:cs="Times New Roman"/>
        </w:rPr>
        <w:t>.</w:t>
      </w:r>
      <w:r w:rsidR="00D83D18" w:rsidRPr="00C82703">
        <w:rPr>
          <w:rFonts w:ascii="Times New Roman" w:hAnsi="Times New Roman" w:cs="Times New Roman"/>
        </w:rPr>
        <w:t xml:space="preserve"> Such complex processes contrast with the most common approach to treat mood disorders: emphasizing chemical imbalance and prioritizing symptom relief.</w:t>
      </w:r>
    </w:p>
    <w:p w14:paraId="075F6E76" w14:textId="0426E013" w:rsidR="001E1C6B"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A psychedelic experience entails a profound and rapid re‑configuration of one’s perceptual, emotional, and self‑referential frameworks, characterised by and altered sense of </w:t>
      </w:r>
      <w:r w:rsidR="00234F0A" w:rsidRPr="00C82703">
        <w:rPr>
          <w:rFonts w:ascii="Times New Roman" w:hAnsi="Times New Roman" w:cs="Times New Roman"/>
        </w:rPr>
        <w:t xml:space="preserve">both </w:t>
      </w:r>
      <w:r w:rsidRPr="00C82703">
        <w:rPr>
          <w:rFonts w:ascii="Times New Roman" w:hAnsi="Times New Roman" w:cs="Times New Roman"/>
        </w:rPr>
        <w:t xml:space="preserve">existence and the self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{"citationID":"vofP9wUl","properties":{"formattedCitation":"(8)","plainCitation":"(8)","noteIndex":0},"citationItems":[{"id":1181,"uris":["http://zotero.org/users/1546863/items/S9U48MKL"],"itemData":{"id":1181,"type":"article-journal","abstract":"The mystical experience is a potential psychological mechanism to influence outcome in psychedelic therapy. It includes features such as oceanic boundlessness, ego dissolution, and universal interconnectedness, which have been closely linked to both symptom reduction and improved quality of life. In this review, 12 studies of psychedelic therapy utilizing psilocybin, ayahuasca, or ketamine were analyzed for association between mystical experience and symptom reduction, in areas as diverse as cancer-related distress, substance use disorder, and depressive disorders to include treatment-resistant. Ten of the twelve established a significant association of correlation, mediation, and/or prediction. A majority of the studies are limited, however, by their small sample size and lack of diversity (gender, ethnic, racial, educational, and socioeconomic), common in this newly re-emerging field. Further, 6 out of 12 studies were open-label in design and therefore susceptible to bias. Future studies of this nature should consider a larger sample size with greater diversity and thus representation by use of randomized design. More in-depth exploration into the nature of mystical experience is needed, including predictors of intensity, in order to maximize its positive effects on treatment outcome benefits and minimize concomitant anxiety.\n            \n              Systematic Review Registration:\n              PROSPERO, identifier CRD42021261752.","container-title":"Frontiers in Psychiatry","DOI":"10.3389/fpsyt.2022.917199","ISSN":"1664-0640","journalAbbreviation":"Front. Psychiatry","page":"917199","source":"DOI.org (Crossref)","title":"Psychedelics, Mystical Experience, and Therapeutic Efficacy: A Systematic Review","title-short":"Psychedelics, Mystical Experience, and Therapeutic Efficacy","volume":"13","author":[{"family":"Ko","given":"Kwonmok"},{"family":"Knight","given":"Gemma"},{"family":"Rucker","given":"James J."},{"family":"Cleare","given":"Anthony J."}],"issued":{"date-parts":[["2022",7,12]]}}}],"schema":"https://github.com/citation-style-language/schema/raw/master/csl-citation.json"}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(8)</w:t>
      </w:r>
      <w:r w:rsidRPr="00C82703">
        <w:rPr>
          <w:rFonts w:ascii="Times New Roman" w:hAnsi="Times New Roman" w:cs="Times New Roman"/>
        </w:rPr>
        <w:fldChar w:fldCharType="end"/>
      </w:r>
      <w:r w:rsidRPr="00C82703">
        <w:rPr>
          <w:rFonts w:ascii="Times New Roman" w:hAnsi="Times New Roman" w:cs="Times New Roman"/>
        </w:rPr>
        <w:t xml:space="preserve">.  A qualitative study of patients receiving psilocybin for treatment-resistant depression identified two core psychological shifts: (1) moving from a state of disconnection or disengagement—from themselves, others, and the wider world—toward </w:t>
      </w:r>
      <w:r w:rsidRPr="00C82703">
        <w:rPr>
          <w:rFonts w:ascii="Times New Roman" w:hAnsi="Times New Roman" w:cs="Times New Roman"/>
        </w:rPr>
        <w:lastRenderedPageBreak/>
        <w:t xml:space="preserve">increased connectedness, and (2) from habitual avoidance of difficult emotions toward acceptance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{"citationID":"LtsmgVXK","properties":{"formattedCitation":"(9)","plainCitation":"(9)","noteIndex":0},"citationItems":[{"id":1177,"uris":["http://zotero.org/users/1546863/items/KD9LVLC5"],"itemData":{"id":1177,"type":"article-journal","abstract":"Objective: To identify patients’ perceptions of the value of psilocybin as a treatment for depression. Method: Twenty patients enrolled in an open-label trial of psilocybin for treatment-resistant depression participated in a semistructured interview at 6-month follow-up. Thematic analysis was used to identify patients’ experiences of the treatment and how it compared with previous treatments. Results: Two main change processes were identified in relation to the treatment. The first concerned change from disconnection (from self, others, and world) to connection, and the second concerned change from avoidance (of emotion) to acceptance. A third theme concerned comparison between psilocybin and conventional treatments. Patients reported that medications and some short-term talking therapies tended to reinforce their sense of disconnection and avoidance, whereas treatment with psilocybin encouraged connection and acceptance. Conclusions: These results suggest that psilocybin treatment for depression may work via paradigmatically novel means, antithetical to antidepressant medications, and some short-term talking therapies.","container-title":"Journal of Humanistic Psychology","DOI":"10.1177/0022167817709585","ISSN":"0022-1678, 1552-650X","issue":"5","journalAbbreviation":"Journal of Humanistic Psychology","language":"en","page":"520-564","source":"DOI.org (Crossref)","title":"Patients’ Accounts of Increased “Connectedness” and “Acceptance” After Psilocybin for Treatment-Resistant Depression","volume":"57","author":[{"family":"Watts","given":"Rosalind"},{"family":"Day","given":"Camilla"},{"family":"Krzanowski","given":"Jacob"},{"family":"Nutt","given":"David"},{"family":"Carhart-Harris","given":"Robin"}],"issued":{"date-parts":[["2017",9]]}}}],"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(9)</w:t>
      </w:r>
      <w:r w:rsidRPr="00C82703">
        <w:rPr>
          <w:rFonts w:ascii="Times New Roman" w:hAnsi="Times New Roman" w:cs="Times New Roman"/>
        </w:rPr>
        <w:fldChar w:fldCharType="end"/>
      </w:r>
      <w:r w:rsidRPr="00C82703">
        <w:rPr>
          <w:rFonts w:ascii="Times New Roman" w:hAnsi="Times New Roman" w:cs="Times New Roman"/>
        </w:rPr>
        <w:t>.</w:t>
      </w:r>
    </w:p>
    <w:p w14:paraId="280F8C90" w14:textId="1335D854" w:rsidR="001E1C6B"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Although </w:t>
      </w:r>
      <w:r w:rsidR="00234F0A" w:rsidRPr="00C82703">
        <w:rPr>
          <w:rFonts w:ascii="Times New Roman" w:hAnsi="Times New Roman" w:cs="Times New Roman"/>
        </w:rPr>
        <w:t xml:space="preserve">some hypothesis have tried linking </w:t>
      </w:r>
      <w:r w:rsidRPr="00C82703">
        <w:rPr>
          <w:rFonts w:ascii="Times New Roman" w:hAnsi="Times New Roman" w:cs="Times New Roman"/>
        </w:rPr>
        <w:t xml:space="preserve">such changes to neuromodulatory effects, including serotonin receptor activity and changes in the default mode network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FUXZDeII","properties":{"formattedCitation":"(10,11)","plainCitation":"(10,11)","noteIndex":0},"citationItems":[{"id":1178,"uris":["http://zotero.org/users/1546863/items/F7D6VJP5"],"itemData":{"id":1178,"type":"article-journal","container-title":"Neuropsychopharmacology","DOI":"10.1038/npp.2017.84","ISSN":"0893-133X, 1740-634X","issue":"11","journalAbbreviation":"Neuropsychopharmacol","language":"en","page":"2105-2113","source":"DOI.org (Crossref)","title":"The Therapeutic Potential of Psychedelic Drugs: Past, Present, and Future","title-short":"The Therapeutic Potential of Psychedelic Drugs","volume":"42","author":[{"family":"Carhart-Harris","given":"Robin L"},{"family":"Goodwin","given":"Guy M"}],"issued":{"date-parts":[["2017",10]]}}},{"id":1179,"uris":["http://zotero.org/users/1546863/items/CYEZGCLS"],"itemData":{"id":1179,"type":"article-journal","abstract":"Psilocybin is a naturally occurring psychedelic compound with profound perception-, emotion- and cognition-altering properties and great potential for treating brain disorders. However, the neural mechanisms mediating its effects require in-depth investigation as there is still much to learn about how psychedelic drugs produce their profound and long-lasting effects. In this review, we outline the current understanding of the neurophysiology of psilocybin’s psychoactive properties, highlighting the need for additional preclinical studies to determine its effect on neural network dynamics. We first describe how psilocybin’s effect on brain regions associated with the default-mode network (DMN), particularly the prefrontal cortex and hippocampus, likely plays a key role in mediating its consciousness-altering properties. We then outline the specific receptor and cell types involved and discuss contradictory evidence from neuroimaging studies regarding psilocybin’s net effect on activity within these regions. We go on to argue that in vivo electrophysiology is ideally suited to provide a more holistic, neural network analysis approach to understand psilocybin’s mode of action. Thus, we integrate information about the neural bases for oscillatory activity generation with the accumulating evidence about psychedelic drug effects on neural synchrony within DMN-associated areas. This approach will help to generate important questions for future preclinical and clinical studies. Answers to these questions are vital for determining the neural mechanisms mediating psilocybin’s psychotherapeutic potential, which promises to improve outcomes for patients with severe depression and other difficulty to treat conditions.","container-title":"Journal of Psychopharmacology","DOI":"10.1177/02698811221092508","ISSN":"0269-8811, 1461-7285","issue":"7","journalAbbreviation":"J Psychopharmacol","language":"en","page":"781-793","source":"DOI.org (Crossref)","title":"Neural mechanisms underlying psilocybin’s therapeutic potential – the need for preclinical in vivo electrophysiology","volume":"36","author":[{"family":"Smausz","given":"Rebecca"},{"family":"Neill","given":"Joanna"},{"family":"Gigg","given":"John"}],"issued":{"date-parts":[["2022",7]]}}}],"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(10,11)</w:t>
      </w:r>
      <w:r w:rsidRPr="00C82703">
        <w:rPr>
          <w:rFonts w:ascii="Times New Roman" w:hAnsi="Times New Roman" w:cs="Times New Roman"/>
        </w:rPr>
        <w:fldChar w:fldCharType="end"/>
      </w:r>
      <w:r w:rsidRPr="00C82703">
        <w:rPr>
          <w:rFonts w:ascii="Times New Roman" w:hAnsi="Times New Roman" w:cs="Times New Roman"/>
        </w:rPr>
        <w:t>, such correlations</w:t>
      </w:r>
      <w:r w:rsidR="0045077D">
        <w:rPr>
          <w:rFonts w:ascii="Times New Roman" w:hAnsi="Times New Roman" w:cs="Times New Roman"/>
        </w:rPr>
        <w:t>, while relevant,</w:t>
      </w:r>
      <w:r w:rsidRPr="00C82703">
        <w:rPr>
          <w:rFonts w:ascii="Times New Roman" w:hAnsi="Times New Roman" w:cs="Times New Roman"/>
        </w:rPr>
        <w:t xml:space="preserve"> </w:t>
      </w:r>
      <w:r w:rsidR="0045077D">
        <w:rPr>
          <w:rFonts w:ascii="Times New Roman" w:hAnsi="Times New Roman" w:cs="Times New Roman"/>
        </w:rPr>
        <w:t>remain</w:t>
      </w:r>
      <w:r w:rsidRPr="00C82703">
        <w:rPr>
          <w:rFonts w:ascii="Times New Roman" w:hAnsi="Times New Roman" w:cs="Times New Roman"/>
        </w:rPr>
        <w:t xml:space="preserve"> secondary to</w:t>
      </w:r>
      <w:r w:rsidR="0045077D">
        <w:rPr>
          <w:rFonts w:ascii="Times New Roman" w:hAnsi="Times New Roman" w:cs="Times New Roman"/>
        </w:rPr>
        <w:t xml:space="preserve"> </w:t>
      </w:r>
      <w:r w:rsidRPr="00C82703">
        <w:rPr>
          <w:rFonts w:ascii="Times New Roman" w:hAnsi="Times New Roman" w:cs="Times New Roman"/>
        </w:rPr>
        <w:t xml:space="preserve">the psychedelic experience itself. </w:t>
      </w:r>
      <w:r w:rsidR="0045077D" w:rsidRPr="0045077D">
        <w:rPr>
          <w:rFonts w:ascii="Times New Roman" w:hAnsi="Times New Roman" w:cs="Times New Roman"/>
        </w:rPr>
        <w:t>Indeed, participants who report greater levels of mystical‑type experience show stronger responses after the first dose (but not necessarily after second or third doses), which supports the view of a phenomenological, rather than purely pharmacological, mechanism</w:t>
      </w:r>
      <w:r w:rsidRPr="00C82703">
        <w:rPr>
          <w:rFonts w:ascii="Times New Roman" w:hAnsi="Times New Roman" w:cs="Times New Roman"/>
        </w:rPr>
        <w:t xml:space="preserve">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{"citationID":"ZgMFOlRH","properties":{"formattedCitation":"(12)","plainCitation":"(12)","noteIndex":0},"citationItems":[{"id":1135,"uris":["http://zotero.org/users/1546863/items/Z2GVF2WI"],"itemData":{"id":1135,"type":"article-journal","abstract":"Background:\n              Psilocybin-assisted psychotherapy (PAP) is a promising treatment for various psychiatric disorders. However, the exact biological and psychological mechanisms of action of PAP remain to be determined. Examining predictors of PAP outcomes may help identify necessary processes for positive treatment outcomes. Mystical experiences are considered a key aspect of the subjective effects of ingesting psilocybin. Mystical experiences have been observed to be possibly predictive of positive outcomes in psilocybin treatments. Therefore, some argue that mystical-type experiences are necessary to achieve therapeutic benefits.\n            \n            \n              Aims:\n              The current study examines mystical experiences as a predictor of antidepressant treatment outcomes in PAP, in a complex clinical sample.\n            \n            \n              Methods:\n              Participants included 31 individuals with a primary diagnosis of major depressive disorder (MDD) or Bipolar II Disorder (BDII), with treatment resistance to symptoms of their disorder. Participants had one, two, or three PAP treatments with a fixed dose of 25 mg of psilocybin. Depressive symptoms were measured at baseline, at a pre-dose visit and at 2 weeks post-dosing. The presence of mystical experiences was measured on the dosing day after the acute effects had resolved.\n            \n            \n              Results:\n              For the first psilocybin dose, participants with greater levels of mystical experiences exhibited a greater antidepressant effect from PAP. This effect was not found at the second or third doses.\n            \n            \n              Conclusion:\n              These results provide preliminary support for the hypothesis that mystical experiences have therapeutic importance in PAP and extend the literature to include a clinical sample of individuals with treatment-resistant depression in the context of MDD or BDII.","container-title":"Journal of Psychopharmacology","DOI":"10.1177/02698811251346697","ISSN":"0269-8811, 1461-7285","issue":"9","journalAbbreviation":"J Psychopharmacol","language":"en","page":"950-956","source":"DOI.org (Crossref)","title":"Examining mystical experiences as a predictor of psilocybin-assisted psychotherapy for treatment-resistant depression","volume":"39","author":[{"family":"Brudner","given":"Ryan M"},{"family":"Kaczmarek","given":"Erica"},{"family":"Blainey","given":"Marc G"},{"family":"Schulz-Quach","given":"Christian"},{"family":"Meshkat","given":"Shakila"},{"family":"Doyle","given":"Zoe"},{"family":"Lipsitz","given":"Orly"},{"family":"Offman","given":"Hilary"},{"family":"Sethi","given":"Rickinder"},{"family":"Weiglein","given":"Geneva"},{"family":"McIntyre","given":"Roger S"},{"family":"Rosenblat","given":"Joshua D"}],"issued":{"date-parts":[["2025",9]]}}}],"schema":"https://github.com/citation-style-language/schema/raw/master/csl-citation.json"}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(12)</w:t>
      </w:r>
      <w:r w:rsidRPr="00C82703">
        <w:rPr>
          <w:rFonts w:ascii="Times New Roman" w:hAnsi="Times New Roman" w:cs="Times New Roman"/>
        </w:rPr>
        <w:fldChar w:fldCharType="end"/>
      </w:r>
      <w:r w:rsidRPr="00C82703">
        <w:rPr>
          <w:rFonts w:ascii="Times New Roman" w:hAnsi="Times New Roman" w:cs="Times New Roman"/>
        </w:rPr>
        <w:t>.</w:t>
      </w:r>
    </w:p>
    <w:p w14:paraId="5647FC3C" w14:textId="331F1064" w:rsidR="001E1C6B" w:rsidRPr="00C82703" w:rsidRDefault="00843B2C" w:rsidP="00CD54D5">
      <w:pPr>
        <w:spacing w:line="480" w:lineRule="auto"/>
        <w:ind w:firstLine="720"/>
        <w:rPr>
          <w:rFonts w:ascii="Times New Roman" w:hAnsi="Times New Roman" w:cs="Times New Roman"/>
        </w:rPr>
      </w:pPr>
      <w:r w:rsidRPr="00C82703">
        <w:rPr>
          <w:rFonts w:ascii="Times New Roman" w:hAnsi="Times New Roman" w:cs="Times New Roman"/>
        </w:rPr>
        <w:t xml:space="preserve">Psychedelic treatment has shown overall positive results for treating diverse mental health conditions, including PTSD, depression, anxiety, and substance use disorders. </w:t>
      </w:r>
      <w:r w:rsidR="00234F0A" w:rsidRPr="00C82703">
        <w:rPr>
          <w:rFonts w:ascii="Times New Roman" w:hAnsi="Times New Roman" w:cs="Times New Roman"/>
        </w:rPr>
        <w:t>However, a</w:t>
      </w:r>
      <w:r w:rsidR="001E1C6B" w:rsidRPr="00C82703">
        <w:rPr>
          <w:rFonts w:ascii="Times New Roman" w:hAnsi="Times New Roman" w:cs="Times New Roman"/>
        </w:rPr>
        <w:t xml:space="preserve">ccess to psilocybin is still heavily regulated. In Canada, it is considered illegal to possess, traffic, or produce without authorization. Its use in unregulated settings is illegal, and it has only been approved for specific conditions based on existing evidence: end-of-life distress and treatment-resistant major depressive disorder. A total of 200 patients were granted access to either psilocybin or MDMA during the first two years of Canada’s Special Access Program </w:t>
      </w:r>
      <w:r w:rsidR="001E1C6B"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{"citationID":"d26R02QU","properties":{"formattedCitation":"(13)","plainCitation":"(13)","noteIndex":0},"citationItems":[{"id":1053,"uris":["http://zotero.org/users/1546863/items/DW9PAJWC"],"itemData":{"id":1053,"type":"article-journal","container-title":"General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1E1C6B" w:rsidRPr="00C82703">
        <w:rPr>
          <w:rFonts w:ascii="Times New Roman" w:hAnsi="Times New Roman" w:cs="Times New Roman"/>
        </w:rPr>
        <w:fldChar w:fldCharType="separate"/>
      </w:r>
      <w:r w:rsidR="00BE6148" w:rsidRPr="00C82703">
        <w:rPr>
          <w:rFonts w:ascii="Times New Roman" w:hAnsi="Times New Roman" w:cs="Times New Roman"/>
        </w:rPr>
        <w:t>(13)</w:t>
      </w:r>
      <w:r w:rsidR="001E1C6B" w:rsidRPr="00C82703">
        <w:rPr>
          <w:rFonts w:ascii="Times New Roman" w:hAnsi="Times New Roman" w:cs="Times New Roman"/>
        </w:rPr>
        <w:fldChar w:fldCharType="end"/>
      </w:r>
      <w:r w:rsidR="001E1C6B" w:rsidRPr="00C82703">
        <w:rPr>
          <w:rFonts w:ascii="Times New Roman" w:hAnsi="Times New Roman" w:cs="Times New Roman"/>
        </w:rPr>
        <w:t xml:space="preserve">. Similar restrictions are often imposed on the eligibility conditions of clinical trials outside Canada </w:t>
      </w:r>
      <w:r w:rsidR="001E1C6B"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{"citationID":"LfGg71mi","properties":{"formattedCitation":"(14)","plainCitation":"(14)","noteIndex":0},"citationItems":[{"id":1065,"uris":["http://zotero.org/users/1546863/items/8WT3HMSY"],"itemData":{"id":1065,"type":"article-journal","container-title":"General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schema":"https://github.com/citation-style-language/schema/raw/master/csl-citation.json"} </w:instrText>
      </w:r>
      <w:r w:rsidR="001E1C6B" w:rsidRPr="00C82703">
        <w:rPr>
          <w:rFonts w:ascii="Times New Roman" w:hAnsi="Times New Roman" w:cs="Times New Roman"/>
        </w:rPr>
        <w:fldChar w:fldCharType="separate"/>
      </w:r>
      <w:r w:rsidR="00BE6148" w:rsidRPr="00C82703">
        <w:rPr>
          <w:rFonts w:ascii="Times New Roman" w:hAnsi="Times New Roman" w:cs="Times New Roman"/>
        </w:rPr>
        <w:t>(14)</w:t>
      </w:r>
      <w:r w:rsidR="001E1C6B" w:rsidRPr="00C82703">
        <w:rPr>
          <w:rFonts w:ascii="Times New Roman" w:hAnsi="Times New Roman" w:cs="Times New Roman"/>
        </w:rPr>
        <w:fldChar w:fldCharType="end"/>
      </w:r>
      <w:r w:rsidR="00CB7B30" w:rsidRPr="00C82703">
        <w:rPr>
          <w:rFonts w:ascii="Times New Roman" w:hAnsi="Times New Roman" w:cs="Times New Roman"/>
        </w:rPr>
        <w:t>, which limits the overall generalizability of the</w:t>
      </w:r>
      <w:r w:rsidRPr="00C82703">
        <w:rPr>
          <w:rFonts w:ascii="Times New Roman" w:hAnsi="Times New Roman" w:cs="Times New Roman"/>
        </w:rPr>
        <w:t>ir positive findings</w:t>
      </w:r>
      <w:r w:rsidR="00CB7B30" w:rsidRPr="00C82703">
        <w:rPr>
          <w:rFonts w:ascii="Times New Roman" w:hAnsi="Times New Roman" w:cs="Times New Roman"/>
        </w:rPr>
        <w:t xml:space="preserve">, both in short- and long-term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LIDZ6MsC","properties":{"formattedCitation":"(15\\uc0\\u8211{}17)","plainCitation":"(15–17)","noteIndex":0},"citationItems":[{"id":1132,"uris":["http://zotero.org/users/1546863/items/X22XJX8W"],"itemData":{"id":1132,"type":"article-journal","container-title":"Progress in Neuro-Psychopharmacology and Biological Psychiatry","DOI":"10.1016/j.pnpbp.2025.111461","ISSN":"02785846","journalAbbreviation":"Progress in Neuro-Psychopharmacology and Biological Psychiatry","language":"en","page":"111461","source":"DOI.org (Crossref)","title":"An overview of psilocybin, LSD, MDMA, and ketamine in revitalizing psychedelic-assisted therapy: Insights, limitations and future directions","title-short":"An overview of psilocybin, LSD, MDMA, and ketamine in revitalizing psychedelic-assisted therapy","volume":"141","author":[{"family":"Askariyan","given":"Kiana"},{"family":"Joghataei","given":"Mohammad Taghi"},{"family":"Dehghan","given":"Samaneh"},{"family":"Nohesara","given":"Shabnam"},{"family":"Riahi Pour","given":"Leila"},{"family":"Mohammadi","given":"Mohammad Hossein"},{"family":"Ahmadirad","given":"Nooshin"}],"issued":{"date-parts":[["2025",8]]}}},{"id":1192,"uris":["http://zotero.org/users/1546863/items/VDEJQJUZ"],"itemData":{"id":1192,"type":"article-journal","abstract":"Abstract\n            \n              Background\n              Major Depressive Disorder (MDD) is a leading cause of disability and economic loss, with high recurrence and treatment resistance. Psilocybin-assisted therapy (PAT) shows promise in reducing depressive symptoms, but long-term effects are unknown. We aimed to determine the long-term safety and efficacy of PAT for MDD over a five-year follow-up period.\n            \n            \n              Methods\n              Individuals who previously participated in an RCT studying the effects of PAT for patients with MDD were contacted for a long-term follow-up (LTFU) study. This study uses a parallel convergent mixed methods design. Of the original 24 RCT participants, 21 enrolled in the LTFU study, with 18 (75%) completing it. For the six non-completers, baseline scores were used in quantitative analyses as conservative estimates. The primary outcome was clinician-rated change in depression severity from baseline to LTFU. Secondary outcomes included anxiety, functional impairment, and qualitative assessments of participants' experiences and mental health.\n            \n            \n              Results\n              Significant and sustained reductions in depression were observed, with 67% in remission for at least five years post-treatment. Anxiety and functional impairment also improved. Qualitative interviews revealed lasting positive changes in mindset, emotional health, and relationships. Participants reported enhanced empathy, self-acceptance, and improved interpersonal relationships. No severe adverse events were reported.\n            \n            \n              Conclusion\n              This study supports the long-term efficacy and safety of PAT in reducing depressive symptoms and improving mental health in patients with MDD. Further research is needed to determine if these findings can be replicated, and to explore the mechanisms behind the sustained benefits of PAT, potentially validating an approach that could transform the treatment of MDD.","container-title":"Journal of Psychedelic Studies","DOI":"10.1556/2054.2025.00461","ISSN":"2559-9283","journalAbbreviation":"JPS","source":"DOI.org (Crossref)","title":"Five-year outcomes of psilocybin-assisted therapy for Major Depressive Disorder","URL":"https://akjournals.com/view/journals/2054/aop/article-10.1556-2054.2025.00461/article-10.1556-2054.2025.00461.xml","author":[{"family":"Davis","given":"Alan K."},{"family":"DellaCrosse","given":"Meghan A."},{"family":"Sepeda","given":"Nathan D."},{"family":"Levin","given":"Adam W."},{"family":"Cosimano","given":"Mary"},{"family":"Shaub","given":"Hillary"},{"family":"Washington","given":"Taylor"},{"family":"Gooch","given":"Peter M."},{"family":"Gilead","given":"Shoval"},{"family":"Gaughan","given":"Skylar J."},{"family":"Armstrong","given":"Stacey B."},{"family":"Barrett","given":"Frederick S."}],"accessed":{"date-parts":[["2025",11,5]]},"issued":{"date-parts":[["2025",9,4]]}}},{"id":1186,"uris":["http://zotero.org/users/1546863/items/9U9QAY6F"],"itemData":{"id":1186,"type":"article-journal","abstract":"Objectives\n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kern w:val="0"/>
        </w:rPr>
        <w:t>(15–17)</w:t>
      </w:r>
      <w:r w:rsidR="00CB7B30" w:rsidRPr="00C82703">
        <w:rPr>
          <w:rFonts w:ascii="Times New Roman" w:hAnsi="Times New Roman" w:cs="Times New Roman"/>
        </w:rPr>
        <w:fldChar w:fldCharType="end"/>
      </w:r>
      <w:r w:rsidR="001E1C6B" w:rsidRPr="00C82703">
        <w:rPr>
          <w:rFonts w:ascii="Times New Roman" w:hAnsi="Times New Roman" w:cs="Times New Roman"/>
        </w:rPr>
        <w:t xml:space="preserve">. </w:t>
      </w:r>
      <w:r w:rsidR="00CB7B30" w:rsidRPr="00C82703">
        <w:rPr>
          <w:rFonts w:ascii="Times New Roman" w:hAnsi="Times New Roman" w:cs="Times New Roman"/>
        </w:rPr>
        <w:t xml:space="preserve">For example, the youngest age of any participant was 34 years, and there is a general lack of representation of visible minorities relative to the general population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{"citationID":"XrCgRnFy","properties":{"formattedCitation":"(18)","plainCitation":"(18)","noteIndex":0},"citationItems":[{"id":1134,"uris":["http://zotero.org/users/1546863/items/5JMQBLIJ"],"itemData":{"id":1134,"type":"article-journal","abstract":"Background:\n              Although classic psychedelic trials show therapeutic potential, the limited diversity of participants raises concerns about generalizability and safety.\n            \n            \n              Aims:\n              This study assesses the representation of race, ethnicity, and sex in interventional clinical trials of psilocybin and lysergic acid diethylamide (LSD) to evaluate disparities in participant diversity.\n            \n            \n              Methods:\n              We conducted a cross-sectional analysis of interventional trials registered on ClinicalTrials.gov up to 12 January 2025 that focused on classic psychedelics (psilocybin, psilocin, LSD, DMT, 5-MeO-DMT, and mescaline). Eligible trials were phases 2–4 and targeted psychiatric disorders or symptoms. Trials involving only healthy participants were excluded. Two reviewers extracted trial-level data independently; discrepancies were resolved by consensus.\n            \n            \n              Results:\n              \n                Nine eligible trials included eight with psilocybin and one with LSD. In the psilocybin trials (\n                n\n                 = 501), the age of participants ranged from 34.3 to 56.3 years; 47.7% were women. White participants accounted for 87.2%, while Black participants accounted for 3.0%, and Asian individuals accounted for 5.0%. Ethnicity was reported in 4 of 8 psilocybin trials (\n                n\n                 = 134), with 13.4% identifying as Hispanic or Latino. In four U.S.-only trials(\n                n\n                 = 139), participation-to-population ratios (PPRs) confirmed the underrepresentation of Black (PPR = 0.317) and Asian participants (PPR = 0.799). The LSD trial (\n                n\n                 = 11) included older adults (average age: 51.7 years) who did not provide any information on race or origin.\n              \n            \n            \n              Conclusions:\n              The limited diversity in psychedelic trials demonstrates the need for broader recruitment. Without better representation, the safety and efficacy of these therapies remain uncertain. Standardized reporting and targeted strategies are essential to ensure equity.","container-title":"Journal of Psychopharmacology","DOI":"10.1177/02698811251353250","ISSN":"0269-8811, 1461-7285","issue":"9","journalAbbreviation":"J Psychopharmacol","language":"en","page":"1014-1022","source":"DOI.org (Crossref)","title":"Unequal representation? A cross-sectional analysis of age, sex, race, and ethnicity in clinical trials of classic psychedelics","title-short":"Unequal representation?","volume":"39","author":[{"family":"Swieczkowski","given":"Damian"},{"family":"Kwaśny","given":"Aleksander"},{"family":"Ciurkowska","given":"Patrycja"},{"family":"Pruc","given":"Michal"},{"family":"Szarpak","given":"Lukasz"},{"family":"Cubała","given":"Wiesław Jerzy"}],"issued":{"date-parts":[["2025",9]]}}}],"schema":"https://github.com/citation-style-language/schema/raw/master/csl-citation.json"}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rPr>
        <w:t>(18)</w:t>
      </w:r>
      <w:r w:rsidR="00CB7B30" w:rsidRPr="00C82703">
        <w:rPr>
          <w:rFonts w:ascii="Times New Roman" w:hAnsi="Times New Roman" w:cs="Times New Roman"/>
        </w:rPr>
        <w:fldChar w:fldCharType="end"/>
      </w:r>
      <w:r w:rsidR="00CB7B30" w:rsidRPr="00C82703">
        <w:rPr>
          <w:rFonts w:ascii="Times New Roman" w:hAnsi="Times New Roman" w:cs="Times New Roman"/>
        </w:rPr>
        <w:t xml:space="preserve">. Even outside trials, no studies have included adolescents up to April 2025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{"citationID":"Kh5eaxBf","properties":{"formattedCitation":"(19)","plainCitation":"(19)","noteIndex":0},"citationItems":[{"id":1124,"uris":["http://zotero.org/users/1546863/items/XAUSQMSX"],"itemData":{"id":1124,"type":"article-journal","container-title":"The Lancet Child &amp; Adolescent Health","DOI":"10.1016/S2352-4642(25)00208-1","ISSN":"23524642","issue":"10","journalAbbreviation":"The Lancet Child &amp; Adolescent Health","language":"en","page":"744-752","source":"DOI.org (Crossref)","title":"Clinical psychedelic research in adolescents: a scoping review and overview of ethical considerations","title-short":"Clinical psychedelic research in adolescents","volume":"9","author":[{"family":"Rajwani","given":"Khaleel"},{"family":"Jacobs","given":"Edward"},{"family":"Bruce","given":"Lori"},{"family":"Hokanson","given":"Jamila"},{"family":"Almonte","given":"Melanie T"},{"family":"Feroz","given":"Faisal"},{"family":"Waldman","given":"Elisha"},{"family":"Cheung","given":"Katherine"},{"family":"Levy","given":"Neil"},{"family":"Savulescu","given":"Julian"},{"family":"Singh","given":"Ilina"},{"family":"Yaden","given":"David B"},{"family":"Earp","given":"Brian D"}],"issued":{"date-parts":[["2025",10]]}}}],"schema":"https://github.com/citation-style-language/schema/raw/master/csl-citation.json"}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rPr>
        <w:t>(19)</w:t>
      </w:r>
      <w:r w:rsidR="00CB7B30" w:rsidRPr="00C82703">
        <w:rPr>
          <w:rFonts w:ascii="Times New Roman" w:hAnsi="Times New Roman" w:cs="Times New Roman"/>
        </w:rPr>
        <w:fldChar w:fldCharType="end"/>
      </w:r>
      <w:r w:rsidR="00CB7B30" w:rsidRPr="00C82703">
        <w:rPr>
          <w:rFonts w:ascii="Times New Roman" w:hAnsi="Times New Roman" w:cs="Times New Roman"/>
        </w:rPr>
        <w:t xml:space="preserve">. </w:t>
      </w:r>
    </w:p>
    <w:p w14:paraId="2AF34474" w14:textId="1838D085" w:rsidR="001D3C75" w:rsidRPr="00C82703" w:rsidRDefault="00CB7B30" w:rsidP="00CD54D5">
      <w:pPr>
        <w:spacing w:line="480" w:lineRule="auto"/>
        <w:ind w:firstLine="720"/>
        <w:rPr>
          <w:rFonts w:ascii="Times New Roman" w:hAnsi="Times New Roman" w:cs="Times New Roman"/>
        </w:rPr>
      </w:pPr>
      <w:r w:rsidRPr="00C82703">
        <w:rPr>
          <w:rFonts w:ascii="Times New Roman" w:hAnsi="Times New Roman" w:cs="Times New Roman"/>
        </w:rPr>
        <w:t>Despite the limited generalizability of randomized trials, there is a growing body of evidence studying the unregulated or “naturalistic” use of psilocybin. A</w:t>
      </w:r>
      <w:r w:rsidR="001E1C6B" w:rsidRPr="00C82703">
        <w:rPr>
          <w:rFonts w:ascii="Times New Roman" w:hAnsi="Times New Roman" w:cs="Times New Roman"/>
        </w:rPr>
        <w:t xml:space="preserve">ccess to, and consumption of, psychedelics has been </w:t>
      </w:r>
      <w:r w:rsidR="001E1C6B" w:rsidRPr="00C82703">
        <w:rPr>
          <w:rFonts w:ascii="Times New Roman" w:hAnsi="Times New Roman" w:cs="Times New Roman"/>
          <w:i/>
          <w:iCs/>
        </w:rPr>
        <w:t>de facto</w:t>
      </w:r>
      <w:r w:rsidR="001E1C6B" w:rsidRPr="00C82703">
        <w:rPr>
          <w:rFonts w:ascii="Times New Roman" w:hAnsi="Times New Roman" w:cs="Times New Roman"/>
        </w:rPr>
        <w:t xml:space="preserve"> legalized in several jurisdictions, meaning people </w:t>
      </w:r>
      <w:r w:rsidR="001E1C6B" w:rsidRPr="00C82703">
        <w:rPr>
          <w:rFonts w:ascii="Times New Roman" w:hAnsi="Times New Roman" w:cs="Times New Roman"/>
        </w:rPr>
        <w:lastRenderedPageBreak/>
        <w:t>can readily access the compounds through online or in‑person stores at reasonable prices.</w:t>
      </w:r>
      <w:r w:rsidR="00B35948" w:rsidRPr="00C82703">
        <w:rPr>
          <w:rFonts w:ascii="Times New Roman" w:hAnsi="Times New Roman" w:cs="Times New Roman"/>
        </w:rPr>
        <w:t xml:space="preserve"> Criminal prosecution due to consumption is relatively rare, too.</w:t>
      </w:r>
      <w:r w:rsidR="001E1C6B" w:rsidRPr="00C82703">
        <w:rPr>
          <w:rFonts w:ascii="Times New Roman" w:hAnsi="Times New Roman" w:cs="Times New Roman"/>
        </w:rPr>
        <w:t xml:space="preserve"> </w:t>
      </w:r>
      <w:r w:rsidR="001D3C75" w:rsidRPr="00C82703">
        <w:rPr>
          <w:rFonts w:ascii="Times New Roman" w:hAnsi="Times New Roman" w:cs="Times New Roman"/>
        </w:rPr>
        <w:t>This has prompted researchers to establish guidelines for community-based consumption for both medical professionals and the general public</w:t>
      </w:r>
      <w:r w:rsidR="00BE6148" w:rsidRPr="00C82703">
        <w:rPr>
          <w:rFonts w:ascii="Times New Roman" w:hAnsi="Times New Roman" w:cs="Times New Roman"/>
        </w:rPr>
        <w:t xml:space="preserve"> </w:t>
      </w:r>
      <w:r w:rsidR="00BE6148"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{"citationID":"gNoDu375","properties":{"formattedCitation":"(20)","plainCitation":"(20)","noteIndex":0},"citationItems":[{"id":1193,"uris":["http://zotero.org/users/1546863/items/WI59W96L"],"itemData":{"id":1193,"type":"report","abstract":"The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rsidRPr="00C82703">
        <w:rPr>
          <w:rFonts w:ascii="Times New Roman" w:hAnsi="Times New Roman" w:cs="Times New Roman"/>
        </w:rPr>
        <w:fldChar w:fldCharType="separate"/>
      </w:r>
      <w:r w:rsidR="00BE6148" w:rsidRPr="00C82703">
        <w:rPr>
          <w:rFonts w:ascii="Times New Roman" w:hAnsi="Times New Roman" w:cs="Times New Roman"/>
        </w:rPr>
        <w:t>(20)</w:t>
      </w:r>
      <w:r w:rsidR="00BE6148" w:rsidRPr="00C82703">
        <w:rPr>
          <w:rFonts w:ascii="Times New Roman" w:hAnsi="Times New Roman" w:cs="Times New Roman"/>
        </w:rPr>
        <w:fldChar w:fldCharType="end"/>
      </w:r>
      <w:r w:rsidR="001D3C75" w:rsidRPr="00C82703">
        <w:rPr>
          <w:rFonts w:ascii="Times New Roman" w:hAnsi="Times New Roman" w:cs="Times New Roman"/>
        </w:rPr>
        <w:t>.</w:t>
      </w:r>
    </w:p>
    <w:p w14:paraId="7B144777" w14:textId="2B729410" w:rsidR="00D23F13"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Examining real‐world consumption of psychedelics allows for a broader view of how these compounds perform in less controlled, more representative settings. For instance, a longitudinal cohort study </w:t>
      </w:r>
      <w:r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{"citationID":"3sJKhnF1","properties":{"formattedCitation":"(21)","plainCitation":"(21)","noteIndex":0},"citationItems":[{"id":1137,"uris":["http://zotero.org/users/1546863/items/T7HIARCG"],"itemData":{"id":1137,"type":"article-journal","abstract":"Introduction\n              The classic psychedelic psilocybin, found in some mushroom species, has received renewed interest in clinical research, showing potential mental health benefits in preliminary trials. Naturalistic use of psilocybin outside of research settings has increased in recent years, though data on the public health impact of such use remain limited.\n            \n            \n              Methods\n              This prospective, longitudinal study comprised six sequential automated web-based surveys that collected data from adults planning to take psilocybin outside clinical research: at time of consent, 2 weeks before, the day before, 1–3 days after, 2–4 weeks after, and 2–3 months after psilocybin use.\n            \n            \n              Results\n              A sample of 2,833 respondents completed all baseline assessments approximately 2 weeks before psilocybin use, 1,182 completed the 2–4 week post-use survey, and 657 completed the final follow-up survey 2–3 months after psilocybin use. Participants were primarily college-educated White men residing in the United States with a prior history of psychedelic use; mean age = 40 years. Participants primarily used dried psilocybin mushrooms (mean dose = 3.1 grams) for “self-exploration” purposes. Prospective longitudinal data collected before and after a planned psilocybin experience on average showed persisting reductions in anxiety, depression, and alcohol misuse, increased cognitive flexibility, emotion regulation, spiritual wellbeing, and extraversion, and reduced neuroticism and burnout after psilocybin use. However, a minority of participants (11% at 2–4 weeks and 7% at 2–3 months) reported persisting negative effects after psilocybin use (e.g., mood fluctuations, depressive symptoms).\n            \n            \n              Discussion\n              Results from this study, the largest prospective survey of naturalistic psilocybin use to date, support the potential for psilocybin to produce lasting improvements in mental health symptoms and general wellbeing.","container-title":"Frontiers in Psychiatry","DOI":"10.3389/fpsyt.2023.1199642","ISSN":"1664-0640","journalAbbreviation":"Front. Psychiatry","page":"1199642","source":"DOI.org (Crossref)","title":"Naturalistic psilocybin use is associated with persisting improvements in mental health and wellbeing: results from a prospective, longitudinal survey","title-short":"Naturalistic psilocybin use is associated with persisting improvements in mental health and wellbeing","volume":"14","author":[{"family":"Nayak","given":"Sandeep M."},{"family":"Jackson","given":"Hillary"},{"family":"Sepeda","given":"Nathan D."},{"family":"Mathai","given":"David S."},{"family":"So","given":"Sara"},{"family":"Yaffe","given":"Abigail"},{"family":"Zaki","given":"Hadi"},{"family":"Brasher","given":"Trey J."},{"family":"Lowe","given":"Matthew X."},{"family":"Jolly","given":"Del R. P."},{"family":"Barrett","given":"Frederick S."},{"family":"Griffiths","given":"Roland R."},{"family":"Strickland","given":"Justin C."},{"family":"Johnson","given":"Matthew W."},{"family":"Jackson","given":"Heather"},{"family":"Garcia-Romeu","given":"Albert"}],"issued":{"date-parts":[["2023",9,19]]}}}],"schema":"https://github.com/citation-style-language/schema/raw/master/csl-citation.json"} </w:instrText>
      </w:r>
      <w:r w:rsidRPr="00C82703">
        <w:rPr>
          <w:rFonts w:ascii="Times New Roman" w:hAnsi="Times New Roman" w:cs="Times New Roman"/>
        </w:rPr>
        <w:fldChar w:fldCharType="separate"/>
      </w:r>
      <w:r w:rsidR="00BE6148" w:rsidRPr="00C82703">
        <w:rPr>
          <w:rFonts w:ascii="Times New Roman" w:hAnsi="Times New Roman" w:cs="Times New Roman"/>
        </w:rPr>
        <w:t>(21)</w:t>
      </w:r>
      <w:r w:rsidRPr="00C82703">
        <w:rPr>
          <w:rFonts w:ascii="Times New Roman" w:hAnsi="Times New Roman" w:cs="Times New Roman"/>
        </w:rPr>
        <w:fldChar w:fldCharType="end"/>
      </w:r>
      <w:r w:rsidRPr="00C82703">
        <w:rPr>
          <w:rFonts w:ascii="Times New Roman" w:hAnsi="Times New Roman" w:cs="Times New Roman"/>
        </w:rPr>
        <w:t xml:space="preserve"> of psilocybin in naturalistic settings reported improvements in mental health outcomes over a three‑month period, aligning with the findings from controlled trials.</w:t>
      </w:r>
      <w:r w:rsidR="00CB7B30" w:rsidRPr="00C82703">
        <w:rPr>
          <w:rFonts w:ascii="Times New Roman" w:hAnsi="Times New Roman" w:cs="Times New Roman"/>
        </w:rPr>
        <w:t xml:space="preserve"> However, naturalistic studies that are representative of the broader population lacks information about long-term, with the typical follow-up periods being weeks or a few months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{"citationID":"VYOMQ4xy","properties":{"formattedCitation":"(22)","plainCitation":"(22)","noteIndex":0},"citationItems":[{"id":1125,"uris":["http://zotero.org/users/1546863/items/MIY3X5L4"],"itemData":{"id":1125,"type":"article-journal","abstract":"Abstract\n            \n              Background:\n              Major depressive disorder (MDD) is a significant public health concern, and current treatments often have limitations in effectiveness and adherence. Psilocybin, a psychedelic compound found in certain mushrooms, is being explored as a potential treatment for depression. It primarily acts through the serotonin 5-HT2A receptor but interacts with 5-HT1A and 5-HT2C receptors. Its precise mechanisms remain under investigation.\n            \n            \n              Objectives:\n              (1) To consolidate evidence on psilocybin’s efficacy and safety for depression and the role of 5HT2a, (2) to identify limitations in the literature, and (3) to highlight areas needing further research.\n            \n            \n              Methods:\n              This systematic review follows PRISMA guidelines and analyses 22 studies, including randomised controlled trials (RCTs) and open-label studies. The studies cover various populations, including individuals with treatment-resistant depression, different dosing regimens, and adjunctive therapies.\n            \n            \n              Results:\n              Psilocybin therapy shows substantial and rapid antidepressant effects, often after one or two sessions with psychological support. Improvements are sustained for weeks or months in many cases. Psilocybin is generally well-tolerated, with mild adverse effects such as anxiety during administration and transient headaches, which are manageable in controlled settings.\n            \n            \n              Conclusions:\n              Psilocybin demonstrates promise as a novel treatment for depression, especially for individuals unresponsive to conventional antidepressants. Further research is needed to refine dosing, explore long-term effects, and understand its mechanisms of action.","container-title":"Acta Neuropsychiatrica","DOI":"10.1017/neu.2025.10039","ISSN":"0924-2708, 1601-5215","journalAbbreviation":"Acta Neuropsychiatr.","language":"en","page":"e86","source":"DOI.org (Crossref)","title":"Therapeutic Use of Psilocybin in Depression: a Systematic Review of Clinical Evidence","title-short":"Therapeutic Use of Psilocybin in Depression","volume":"37","author":[{"family":"Andrade","given":"Filipe Reis Teodoro"},{"family":"Buchborn","given":"Tobias"},{"family":"Thalheimer","given":"Gabriel"},{"family":"Meinhardt","given":"Marcus W."},{"family":"Joca","given":"Samia"},{"family":"De Almeida","given":"Rosa Maria Martins"}],"issued":{"date-parts":[["2025"]]}}}],"schema":"https://github.com/citation-style-language/schema/raw/master/csl-citation.json"}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rPr>
        <w:t>(22)</w:t>
      </w:r>
      <w:r w:rsidR="00CB7B30" w:rsidRPr="00C82703">
        <w:rPr>
          <w:rFonts w:ascii="Times New Roman" w:hAnsi="Times New Roman" w:cs="Times New Roman"/>
        </w:rPr>
        <w:fldChar w:fldCharType="end"/>
      </w:r>
      <w:r w:rsidR="00CB7B30" w:rsidRPr="00C82703">
        <w:rPr>
          <w:rFonts w:ascii="Times New Roman" w:hAnsi="Times New Roman" w:cs="Times New Roman"/>
        </w:rPr>
        <w:t>.</w:t>
      </w:r>
    </w:p>
    <w:p w14:paraId="647E3EEE" w14:textId="307DB611" w:rsidR="00BF6E1F" w:rsidRPr="00C82703" w:rsidRDefault="00C51743" w:rsidP="00CD54D5">
      <w:pPr>
        <w:spacing w:line="480" w:lineRule="auto"/>
        <w:ind w:firstLine="720"/>
        <w:rPr>
          <w:rFonts w:ascii="Times New Roman" w:hAnsi="Times New Roman" w:cs="Times New Roman"/>
        </w:rPr>
      </w:pPr>
      <w:r w:rsidRPr="00C82703">
        <w:rPr>
          <w:rFonts w:ascii="Times New Roman" w:hAnsi="Times New Roman" w:cs="Times New Roman"/>
        </w:rPr>
        <w:t xml:space="preserve">Our research seeks to contribute to this growing body of evidence by examining the </w:t>
      </w:r>
      <w:r w:rsidR="00D23F13" w:rsidRPr="00C82703">
        <w:rPr>
          <w:rFonts w:ascii="Times New Roman" w:hAnsi="Times New Roman" w:cs="Times New Roman"/>
        </w:rPr>
        <w:t xml:space="preserve">benefits and </w:t>
      </w:r>
      <w:r w:rsidRPr="00C82703">
        <w:rPr>
          <w:rFonts w:ascii="Times New Roman" w:hAnsi="Times New Roman" w:cs="Times New Roman"/>
        </w:rPr>
        <w:t>long-term effects of psylocibin use</w:t>
      </w:r>
      <w:r w:rsidR="00D23F13" w:rsidRPr="00C82703">
        <w:rPr>
          <w:rFonts w:ascii="Times New Roman" w:hAnsi="Times New Roman" w:cs="Times New Roman"/>
        </w:rPr>
        <w:t xml:space="preserve"> in a</w:t>
      </w:r>
      <w:r w:rsidR="00234F0A" w:rsidRPr="00C82703">
        <w:rPr>
          <w:rFonts w:ascii="Times New Roman" w:hAnsi="Times New Roman" w:cs="Times New Roman"/>
        </w:rPr>
        <w:t xml:space="preserve">n online </w:t>
      </w:r>
      <w:r w:rsidR="00D23F13" w:rsidRPr="00C82703">
        <w:rPr>
          <w:rFonts w:ascii="Times New Roman" w:hAnsi="Times New Roman" w:cs="Times New Roman"/>
        </w:rPr>
        <w:t>sample</w:t>
      </w:r>
      <w:r w:rsidR="00234F0A" w:rsidRPr="00C82703">
        <w:rPr>
          <w:rFonts w:ascii="Times New Roman" w:hAnsi="Times New Roman" w:cs="Times New Roman"/>
        </w:rPr>
        <w:t xml:space="preserve"> of Canadians which reported psylocibin use </w:t>
      </w:r>
      <w:r w:rsidRPr="00C82703">
        <w:rPr>
          <w:rFonts w:ascii="Times New Roman" w:hAnsi="Times New Roman" w:cs="Times New Roman"/>
        </w:rPr>
        <w:t xml:space="preserve">from 2023 to 2025. </w:t>
      </w:r>
      <w:r w:rsidR="001D335E" w:rsidRPr="00C82703">
        <w:rPr>
          <w:rFonts w:ascii="Times New Roman" w:hAnsi="Times New Roman" w:cs="Times New Roman"/>
        </w:rPr>
        <w:t xml:space="preserve">Our primary objective </w:t>
      </w:r>
      <w:r w:rsidRPr="00C82703">
        <w:rPr>
          <w:rFonts w:ascii="Times New Roman" w:hAnsi="Times New Roman" w:cs="Times New Roman"/>
        </w:rPr>
        <w:t xml:space="preserve">on this study </w:t>
      </w:r>
      <w:r w:rsidR="001D335E" w:rsidRPr="00C82703">
        <w:rPr>
          <w:rFonts w:ascii="Times New Roman" w:hAnsi="Times New Roman" w:cs="Times New Roman"/>
        </w:rPr>
        <w:t xml:space="preserve">was </w:t>
      </w:r>
      <w:r w:rsidR="00C62639" w:rsidRPr="00C82703">
        <w:rPr>
          <w:rFonts w:ascii="Times New Roman" w:hAnsi="Times New Roman" w:cs="Times New Roman"/>
        </w:rPr>
        <w:t xml:space="preserve">to quantify the effect of psilocybin use on the psychological distress levels of Canadian adults. </w:t>
      </w:r>
      <w:r w:rsidR="0008750F" w:rsidRPr="00C82703">
        <w:rPr>
          <w:rFonts w:ascii="Times New Roman" w:hAnsi="Times New Roman" w:cs="Times New Roman"/>
        </w:rPr>
        <w:t xml:space="preserve">We hypothesized that psilocybin use would lower psychological distress based on previous evidence of psychedelic use on other mental health outcomes. </w:t>
      </w:r>
      <w:r w:rsidR="001D335E" w:rsidRPr="00C82703">
        <w:rPr>
          <w:rFonts w:ascii="Times New Roman" w:hAnsi="Times New Roman" w:cs="Times New Roman"/>
        </w:rPr>
        <w:t xml:space="preserve">Our secondary objective was </w:t>
      </w:r>
      <w:r w:rsidR="00C62639" w:rsidRPr="00C82703">
        <w:rPr>
          <w:rFonts w:ascii="Times New Roman" w:hAnsi="Times New Roman" w:cs="Times New Roman"/>
        </w:rPr>
        <w:t xml:space="preserve">to determine whether said changes </w:t>
      </w:r>
      <w:r w:rsidR="00BF6E1F" w:rsidRPr="00C82703">
        <w:rPr>
          <w:rFonts w:ascii="Times New Roman" w:hAnsi="Times New Roman" w:cs="Times New Roman"/>
        </w:rPr>
        <w:t>were sustained over time.</w:t>
      </w:r>
      <w:r w:rsidR="0008750F" w:rsidRPr="00C82703">
        <w:rPr>
          <w:rFonts w:ascii="Times New Roman" w:hAnsi="Times New Roman" w:cs="Times New Roman"/>
        </w:rPr>
        <w:t xml:space="preserve"> We hypothesized </w:t>
      </w:r>
      <w:r w:rsidR="001D335E" w:rsidRPr="00C82703">
        <w:rPr>
          <w:rFonts w:ascii="Times New Roman" w:hAnsi="Times New Roman" w:cs="Times New Roman"/>
        </w:rPr>
        <w:t xml:space="preserve">they </w:t>
      </w:r>
      <w:r w:rsidR="0008750F" w:rsidRPr="00C82703">
        <w:rPr>
          <w:rFonts w:ascii="Times New Roman" w:hAnsi="Times New Roman" w:cs="Times New Roman"/>
        </w:rPr>
        <w:t xml:space="preserve">would </w:t>
      </w:r>
      <w:r w:rsidR="001D335E" w:rsidRPr="00C82703">
        <w:rPr>
          <w:rFonts w:ascii="Times New Roman" w:hAnsi="Times New Roman" w:cs="Times New Roman"/>
        </w:rPr>
        <w:t xml:space="preserve">because </w:t>
      </w:r>
      <w:r w:rsidR="001E6654" w:rsidRPr="00C82703">
        <w:rPr>
          <w:rFonts w:ascii="Times New Roman" w:hAnsi="Times New Roman" w:cs="Times New Roman"/>
        </w:rPr>
        <w:t>of their long-lasting</w:t>
      </w:r>
      <w:r w:rsidR="0008750F" w:rsidRPr="00C82703">
        <w:rPr>
          <w:rFonts w:ascii="Times New Roman" w:hAnsi="Times New Roman" w:cs="Times New Roman"/>
        </w:rPr>
        <w:t xml:space="preserve"> impact </w:t>
      </w:r>
      <w:r w:rsidR="001E6654" w:rsidRPr="00C82703">
        <w:rPr>
          <w:rFonts w:ascii="Times New Roman" w:hAnsi="Times New Roman" w:cs="Times New Roman"/>
        </w:rPr>
        <w:t xml:space="preserve">on </w:t>
      </w:r>
      <w:r w:rsidR="0008750F" w:rsidRPr="00C82703">
        <w:rPr>
          <w:rFonts w:ascii="Times New Roman" w:hAnsi="Times New Roman" w:cs="Times New Roman"/>
        </w:rPr>
        <w:t>the sense of self and reality.</w:t>
      </w:r>
    </w:p>
    <w:p w14:paraId="61FF9A58" w14:textId="7156739A" w:rsidR="00C62639" w:rsidRPr="00CD54D5" w:rsidRDefault="00C62639"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Methods</w:t>
      </w:r>
    </w:p>
    <w:p w14:paraId="4B0B2EF3" w14:textId="1F35E707"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Study design</w:t>
      </w:r>
    </w:p>
    <w:p w14:paraId="674EA149" w14:textId="246713E3" w:rsidR="001D335E" w:rsidRPr="00C82703" w:rsidRDefault="001D335E" w:rsidP="00C82703">
      <w:pPr>
        <w:spacing w:line="480" w:lineRule="auto"/>
        <w:rPr>
          <w:rFonts w:ascii="Times New Roman" w:hAnsi="Times New Roman" w:cs="Times New Roman"/>
        </w:rPr>
      </w:pPr>
      <w:r w:rsidRPr="00C82703">
        <w:rPr>
          <w:rFonts w:ascii="Times New Roman" w:hAnsi="Times New Roman" w:cs="Times New Roman"/>
        </w:rPr>
        <w:t xml:space="preserve">We </w:t>
      </w:r>
      <w:r w:rsidR="003F339F" w:rsidRPr="00C82703">
        <w:rPr>
          <w:rFonts w:ascii="Times New Roman" w:hAnsi="Times New Roman" w:cs="Times New Roman"/>
        </w:rPr>
        <w:t xml:space="preserve">employed </w:t>
      </w:r>
      <w:r w:rsidRPr="00C82703">
        <w:rPr>
          <w:rFonts w:ascii="Times New Roman" w:hAnsi="Times New Roman" w:cs="Times New Roman"/>
        </w:rPr>
        <w:t>a closed cohort design</w:t>
      </w:r>
      <w:r w:rsidR="0023435C" w:rsidRPr="00C82703">
        <w:rPr>
          <w:rFonts w:ascii="Times New Roman" w:hAnsi="Times New Roman" w:cs="Times New Roman"/>
        </w:rPr>
        <w:t xml:space="preserve"> nested within the larger Tips and Recommendations for the Ingestion of Psilocybin study </w:t>
      </w:r>
      <w:r w:rsidR="0023435C"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{"citationID":"weV7RP31","properties":{"formattedCitation":"(23)","plainCitation":"(23)","noteIndex":0},"citationItems":[{"id":1052,"uris":["http://zotero.org/users/1546863/items/GI3RVW7I"],"itemData":{"id":1052,"type":"article-journal","container-title":"Journal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3435C" w:rsidRPr="00C82703">
        <w:rPr>
          <w:rFonts w:ascii="Times New Roman" w:hAnsi="Times New Roman" w:cs="Times New Roman"/>
        </w:rPr>
        <w:fldChar w:fldCharType="separate"/>
      </w:r>
      <w:r w:rsidR="00BE6148" w:rsidRPr="00C82703">
        <w:rPr>
          <w:rFonts w:ascii="Times New Roman" w:hAnsi="Times New Roman" w:cs="Times New Roman"/>
        </w:rPr>
        <w:t>(23)</w:t>
      </w:r>
      <w:r w:rsidR="0023435C" w:rsidRPr="00C82703">
        <w:rPr>
          <w:rFonts w:ascii="Times New Roman" w:hAnsi="Times New Roman" w:cs="Times New Roman"/>
        </w:rPr>
        <w:fldChar w:fldCharType="end"/>
      </w:r>
      <w:r w:rsidRPr="00C82703">
        <w:rPr>
          <w:rFonts w:ascii="Times New Roman" w:hAnsi="Times New Roman" w:cs="Times New Roman"/>
        </w:rPr>
        <w:t xml:space="preserve">. </w:t>
      </w:r>
      <w:r w:rsidR="0023435C" w:rsidRPr="00C82703">
        <w:rPr>
          <w:rFonts w:ascii="Times New Roman" w:hAnsi="Times New Roman" w:cs="Times New Roman"/>
        </w:rPr>
        <w:t xml:space="preserve">Participants were selected </w:t>
      </w:r>
      <w:r w:rsidR="00264E97" w:rsidRPr="00C82703">
        <w:rPr>
          <w:rFonts w:ascii="Times New Roman" w:hAnsi="Times New Roman" w:cs="Times New Roman"/>
        </w:rPr>
        <w:t xml:space="preserve">if they have not consumed </w:t>
      </w:r>
      <w:r w:rsidR="0023435C" w:rsidRPr="00C82703">
        <w:rPr>
          <w:rFonts w:ascii="Times New Roman" w:hAnsi="Times New Roman" w:cs="Times New Roman"/>
        </w:rPr>
        <w:t xml:space="preserve">psylocibin </w:t>
      </w:r>
      <w:r w:rsidR="00264E97" w:rsidRPr="00C82703">
        <w:rPr>
          <w:rFonts w:ascii="Times New Roman" w:hAnsi="Times New Roman" w:cs="Times New Roman"/>
        </w:rPr>
        <w:t xml:space="preserve">during their lifetime </w:t>
      </w:r>
      <w:r w:rsidR="0023435C" w:rsidRPr="00C82703">
        <w:rPr>
          <w:rFonts w:ascii="Times New Roman" w:hAnsi="Times New Roman" w:cs="Times New Roman"/>
        </w:rPr>
        <w:t>at the start of the study period</w:t>
      </w:r>
      <w:r w:rsidR="00264E97" w:rsidRPr="00C82703">
        <w:rPr>
          <w:rFonts w:ascii="Times New Roman" w:hAnsi="Times New Roman" w:cs="Times New Roman"/>
        </w:rPr>
        <w:t xml:space="preserve"> (2023)</w:t>
      </w:r>
      <w:r w:rsidR="0023435C" w:rsidRPr="00C82703">
        <w:rPr>
          <w:rFonts w:ascii="Times New Roman" w:hAnsi="Times New Roman" w:cs="Times New Roman"/>
        </w:rPr>
        <w:t xml:space="preserve">. </w:t>
      </w:r>
      <w:r w:rsidR="00264E97" w:rsidRPr="00C82703">
        <w:rPr>
          <w:rFonts w:ascii="Times New Roman" w:hAnsi="Times New Roman" w:cs="Times New Roman"/>
        </w:rPr>
        <w:t xml:space="preserve">The study size was determined by the number of participants who provided data for the first follow-up period </w:t>
      </w:r>
      <w:r w:rsidR="0023435C" w:rsidRPr="00C82703">
        <w:rPr>
          <w:rFonts w:ascii="Times New Roman" w:hAnsi="Times New Roman" w:cs="Times New Roman"/>
        </w:rPr>
        <w:t>(</w:t>
      </w:r>
      <w:r w:rsidR="00264E97" w:rsidRPr="00C82703">
        <w:rPr>
          <w:rFonts w:ascii="Times New Roman" w:hAnsi="Times New Roman" w:cs="Times New Roman"/>
        </w:rPr>
        <w:t>2024</w:t>
      </w:r>
      <w:r w:rsidR="0023435C" w:rsidRPr="00C82703">
        <w:rPr>
          <w:rFonts w:ascii="Times New Roman" w:hAnsi="Times New Roman" w:cs="Times New Roman"/>
        </w:rPr>
        <w:t>)</w:t>
      </w:r>
      <w:r w:rsidR="00264E97" w:rsidRPr="00C82703">
        <w:rPr>
          <w:rFonts w:ascii="Times New Roman" w:hAnsi="Times New Roman" w:cs="Times New Roman"/>
        </w:rPr>
        <w:t xml:space="preserve">, some of which also provided data in </w:t>
      </w:r>
      <w:r w:rsidR="0023435C" w:rsidRPr="00C82703">
        <w:rPr>
          <w:rFonts w:ascii="Times New Roman" w:hAnsi="Times New Roman" w:cs="Times New Roman"/>
        </w:rPr>
        <w:t>2025 (wave 3).</w:t>
      </w:r>
      <w:r w:rsidR="008327EB" w:rsidRPr="00C82703">
        <w:rPr>
          <w:rFonts w:ascii="Times New Roman" w:hAnsi="Times New Roman" w:cs="Times New Roman"/>
        </w:rPr>
        <w:t xml:space="preserve"> Exposure and outcome data were collected during all three waves.</w:t>
      </w:r>
      <w:r w:rsidR="00CF3FE0" w:rsidRPr="00C82703">
        <w:rPr>
          <w:rFonts w:ascii="Times New Roman" w:hAnsi="Times New Roman" w:cs="Times New Roman"/>
        </w:rPr>
        <w:t xml:space="preserve"> This study was approved by the Research Ethics Board of Simon Fraser University (#30001311).</w:t>
      </w:r>
    </w:p>
    <w:p w14:paraId="22830CCC" w14:textId="0E3CCB15"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Setting</w:t>
      </w:r>
    </w:p>
    <w:p w14:paraId="4A607D97" w14:textId="265FFADA" w:rsidR="00AB243E" w:rsidRPr="00C82703" w:rsidRDefault="00AB243E" w:rsidP="00C82703">
      <w:pPr>
        <w:spacing w:line="480" w:lineRule="auto"/>
        <w:rPr>
          <w:rFonts w:ascii="Times New Roman" w:hAnsi="Times New Roman" w:cs="Times New Roman"/>
        </w:rPr>
      </w:pPr>
      <w:r w:rsidRPr="00C82703">
        <w:rPr>
          <w:rFonts w:ascii="Times New Roman" w:hAnsi="Times New Roman" w:cs="Times New Roman"/>
        </w:rPr>
        <w:t>Participants were recruited through Meta via paid advertisements and through organic posts on Twitter, Reddit, and LinkedIn. Email distribution campaigns were also used. All available venues offered a 1:100 chance of winning a $100 cash prize</w:t>
      </w:r>
      <w:r w:rsidR="00264E97" w:rsidRPr="00C82703">
        <w:rPr>
          <w:rFonts w:ascii="Times New Roman" w:hAnsi="Times New Roman" w:cs="Times New Roman"/>
        </w:rPr>
        <w:t xml:space="preserve"> </w:t>
      </w:r>
      <w:r w:rsidR="00264E97"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{"citationID":"gNHPQWK2","properties":{"formattedCitation":"(23)","plainCitation":"(23)","noteIndex":0},"citationItems":[{"id":1052,"uris":["http://zotero.org/users/1546863/items/GI3RVW7I"],"itemData":{"id":1052,"type":"article-journal","container-title":"Journal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64E97" w:rsidRPr="00C82703">
        <w:rPr>
          <w:rFonts w:ascii="Times New Roman" w:hAnsi="Times New Roman" w:cs="Times New Roman"/>
        </w:rPr>
        <w:fldChar w:fldCharType="separate"/>
      </w:r>
      <w:r w:rsidR="00BE6148" w:rsidRPr="00C82703">
        <w:rPr>
          <w:rFonts w:ascii="Times New Roman" w:hAnsi="Times New Roman" w:cs="Times New Roman"/>
        </w:rPr>
        <w:t>(23)</w:t>
      </w:r>
      <w:r w:rsidR="00264E97" w:rsidRPr="00C82703">
        <w:rPr>
          <w:rFonts w:ascii="Times New Roman" w:hAnsi="Times New Roman" w:cs="Times New Roman"/>
        </w:rPr>
        <w:fldChar w:fldCharType="end"/>
      </w:r>
      <w:r w:rsidRPr="00C82703">
        <w:rPr>
          <w:rFonts w:ascii="Times New Roman" w:hAnsi="Times New Roman" w:cs="Times New Roman"/>
        </w:rPr>
        <w:t xml:space="preserve">. </w:t>
      </w:r>
      <w:r w:rsidR="00EC34F4" w:rsidRPr="00C82703">
        <w:rPr>
          <w:rFonts w:ascii="Times New Roman" w:hAnsi="Times New Roman" w:cs="Times New Roman"/>
        </w:rPr>
        <w:t>Participants who showed interest were directed to a website with information about the study, including eligibility criteria (residing in Canada and being 16 or older)</w:t>
      </w:r>
      <w:r w:rsidR="0014069B" w:rsidRPr="00C82703">
        <w:rPr>
          <w:rFonts w:ascii="Times New Roman" w:hAnsi="Times New Roman" w:cs="Times New Roman"/>
        </w:rPr>
        <w:t xml:space="preserve">, which later </w:t>
      </w:r>
      <w:r w:rsidR="00EC34F4" w:rsidRPr="00C82703">
        <w:rPr>
          <w:rFonts w:ascii="Times New Roman" w:hAnsi="Times New Roman" w:cs="Times New Roman"/>
        </w:rPr>
        <w:t>link</w:t>
      </w:r>
      <w:r w:rsidR="0014069B" w:rsidRPr="00C82703">
        <w:rPr>
          <w:rFonts w:ascii="Times New Roman" w:hAnsi="Times New Roman" w:cs="Times New Roman"/>
        </w:rPr>
        <w:t>ed</w:t>
      </w:r>
      <w:r w:rsidR="00EC34F4" w:rsidRPr="00C82703">
        <w:rPr>
          <w:rFonts w:ascii="Times New Roman" w:hAnsi="Times New Roman" w:cs="Times New Roman"/>
        </w:rPr>
        <w:t xml:space="preserve"> to a consent form. </w:t>
      </w:r>
      <w:r w:rsidR="0014069B" w:rsidRPr="00C82703">
        <w:rPr>
          <w:rFonts w:ascii="Times New Roman" w:hAnsi="Times New Roman" w:cs="Times New Roman"/>
        </w:rPr>
        <w:t xml:space="preserve">Upon consenting to being considered for participation, they were directed to </w:t>
      </w:r>
      <w:r w:rsidRPr="00C82703">
        <w:rPr>
          <w:rFonts w:ascii="Times New Roman" w:hAnsi="Times New Roman" w:cs="Times New Roman"/>
        </w:rPr>
        <w:t>Qualtrics, a</w:t>
      </w:r>
      <w:r w:rsidR="0014069B" w:rsidRPr="00C82703">
        <w:rPr>
          <w:rFonts w:ascii="Times New Roman" w:hAnsi="Times New Roman" w:cs="Times New Roman"/>
        </w:rPr>
        <w:t xml:space="preserve"> secure</w:t>
      </w:r>
      <w:r w:rsidRPr="00C82703">
        <w:rPr>
          <w:rFonts w:ascii="Times New Roman" w:hAnsi="Times New Roman" w:cs="Times New Roman"/>
        </w:rPr>
        <w:t xml:space="preserve"> online platform specialized in online surveys.</w:t>
      </w:r>
      <w:r w:rsidR="000B5C67" w:rsidRPr="00C82703">
        <w:rPr>
          <w:rFonts w:ascii="Times New Roman" w:hAnsi="Times New Roman" w:cs="Times New Roman"/>
        </w:rPr>
        <w:t xml:space="preserve"> </w:t>
      </w:r>
      <w:r w:rsidR="005362BE" w:rsidRPr="00C82703">
        <w:rPr>
          <w:rFonts w:ascii="Times New Roman" w:hAnsi="Times New Roman" w:cs="Times New Roman"/>
        </w:rPr>
        <w:t>Bot detection and enhanced control for ballot box stuffing were enabled to prevent to prevent fraud.</w:t>
      </w:r>
    </w:p>
    <w:p w14:paraId="6807AAAB" w14:textId="0823113A" w:rsidR="00BF6E1F" w:rsidRPr="00CD54D5" w:rsidRDefault="006D23F3"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 xml:space="preserve">Survey </w:t>
      </w:r>
      <w:r w:rsidR="00F2739D" w:rsidRPr="00CD54D5">
        <w:rPr>
          <w:rFonts w:ascii="Times New Roman" w:hAnsi="Times New Roman" w:cs="Times New Roman"/>
          <w:b/>
          <w:bCs/>
          <w:color w:val="auto"/>
          <w:sz w:val="24"/>
          <w:szCs w:val="24"/>
        </w:rPr>
        <w:t>and data integrity</w:t>
      </w:r>
    </w:p>
    <w:p w14:paraId="1A6356F6" w14:textId="2F3B6387" w:rsidR="006D23F3" w:rsidRPr="00C82703" w:rsidRDefault="006D23F3" w:rsidP="00C82703">
      <w:pPr>
        <w:spacing w:line="480" w:lineRule="auto"/>
        <w:rPr>
          <w:rFonts w:ascii="Times New Roman" w:hAnsi="Times New Roman" w:cs="Times New Roman"/>
        </w:rPr>
      </w:pPr>
      <w:r w:rsidRPr="00C82703">
        <w:rPr>
          <w:rFonts w:ascii="Times New Roman" w:hAnsi="Times New Roman" w:cs="Times New Roman"/>
        </w:rPr>
        <w:t>The baseline survey</w:t>
      </w:r>
      <w:r w:rsidR="009650E6" w:rsidRPr="00C82703">
        <w:rPr>
          <w:rFonts w:ascii="Times New Roman" w:hAnsi="Times New Roman" w:cs="Times New Roman"/>
        </w:rPr>
        <w:t xml:space="preserve"> </w:t>
      </w:r>
      <w:r w:rsidR="005362BE" w:rsidRPr="00C82703">
        <w:rPr>
          <w:rFonts w:ascii="Times New Roman" w:hAnsi="Times New Roman" w:cs="Times New Roman"/>
        </w:rPr>
        <w:t xml:space="preserve">was developed in consultation with academic advisors and </w:t>
      </w:r>
      <w:r w:rsidRPr="00C82703">
        <w:rPr>
          <w:rFonts w:ascii="Times New Roman" w:hAnsi="Times New Roman" w:cs="Times New Roman"/>
        </w:rPr>
        <w:t>contained around 250 items asking about opinion, use, and experience of psychedelics</w:t>
      </w:r>
      <w:r w:rsidR="00264E97" w:rsidRPr="00C82703">
        <w:rPr>
          <w:rFonts w:ascii="Times New Roman" w:hAnsi="Times New Roman" w:cs="Times New Roman"/>
        </w:rPr>
        <w:t xml:space="preserve">. It also assessed mental health constructs through </w:t>
      </w:r>
      <w:r w:rsidRPr="00C82703">
        <w:rPr>
          <w:rFonts w:ascii="Times New Roman" w:hAnsi="Times New Roman" w:cs="Times New Roman"/>
        </w:rPr>
        <w:t xml:space="preserve">validated instruments. </w:t>
      </w:r>
      <w:r w:rsidR="00264E97" w:rsidRPr="00C82703">
        <w:rPr>
          <w:rFonts w:ascii="Times New Roman" w:hAnsi="Times New Roman" w:cs="Times New Roman"/>
        </w:rPr>
        <w:t>B</w:t>
      </w:r>
      <w:r w:rsidR="005362BE" w:rsidRPr="00C82703">
        <w:rPr>
          <w:rFonts w:ascii="Times New Roman" w:hAnsi="Times New Roman" w:cs="Times New Roman"/>
        </w:rPr>
        <w:t xml:space="preserve">ranching logic </w:t>
      </w:r>
      <w:r w:rsidR="00264E97" w:rsidRPr="00C82703">
        <w:rPr>
          <w:rFonts w:ascii="Times New Roman" w:hAnsi="Times New Roman" w:cs="Times New Roman"/>
        </w:rPr>
        <w:t xml:space="preserve">helped </w:t>
      </w:r>
      <w:r w:rsidR="005362BE" w:rsidRPr="00C82703">
        <w:rPr>
          <w:rFonts w:ascii="Times New Roman" w:hAnsi="Times New Roman" w:cs="Times New Roman"/>
        </w:rPr>
        <w:t xml:space="preserve">reduce the burden of </w:t>
      </w:r>
      <w:r w:rsidR="005362BE" w:rsidRPr="00C82703">
        <w:rPr>
          <w:rFonts w:ascii="Times New Roman" w:hAnsi="Times New Roman" w:cs="Times New Roman"/>
        </w:rPr>
        <w:lastRenderedPageBreak/>
        <w:t>response</w:t>
      </w:r>
      <w:r w:rsidR="00264E97" w:rsidRPr="00C82703">
        <w:rPr>
          <w:rFonts w:ascii="Times New Roman" w:hAnsi="Times New Roman" w:cs="Times New Roman"/>
        </w:rPr>
        <w:t xml:space="preserve">, particularly for users, who had a longer questionnaire. The survey </w:t>
      </w:r>
      <w:r w:rsidR="005362BE" w:rsidRPr="00C82703">
        <w:rPr>
          <w:rFonts w:ascii="Times New Roman" w:hAnsi="Times New Roman" w:cs="Times New Roman"/>
        </w:rPr>
        <w:t xml:space="preserve">was tested among a group of students and </w:t>
      </w:r>
      <w:r w:rsidR="009650E6" w:rsidRPr="00C82703">
        <w:rPr>
          <w:rFonts w:ascii="Times New Roman" w:hAnsi="Times New Roman" w:cs="Times New Roman"/>
        </w:rPr>
        <w:t>researchers and</w:t>
      </w:r>
      <w:r w:rsidR="00264E97" w:rsidRPr="00C82703">
        <w:rPr>
          <w:rFonts w:ascii="Times New Roman" w:hAnsi="Times New Roman" w:cs="Times New Roman"/>
        </w:rPr>
        <w:t xml:space="preserve"> iteratively adjusted</w:t>
      </w:r>
      <w:r w:rsidR="005362BE" w:rsidRPr="00C82703">
        <w:rPr>
          <w:rFonts w:ascii="Times New Roman" w:hAnsi="Times New Roman" w:cs="Times New Roman"/>
        </w:rPr>
        <w:t xml:space="preserve"> before launch</w:t>
      </w:r>
      <w:r w:rsidR="009650E6" w:rsidRPr="00C82703">
        <w:rPr>
          <w:rFonts w:ascii="Times New Roman" w:hAnsi="Times New Roman" w:cs="Times New Roman"/>
        </w:rPr>
        <w:t xml:space="preserve"> for Wave 1 (Feb 4 to Apr 4, 2023)</w:t>
      </w:r>
      <w:r w:rsidR="005362BE" w:rsidRPr="00C82703">
        <w:rPr>
          <w:rFonts w:ascii="Times New Roman" w:hAnsi="Times New Roman" w:cs="Times New Roman"/>
        </w:rPr>
        <w:t xml:space="preserve">. </w:t>
      </w:r>
      <w:r w:rsidRPr="00C82703">
        <w:rPr>
          <w:rFonts w:ascii="Times New Roman" w:hAnsi="Times New Roman" w:cs="Times New Roman"/>
        </w:rPr>
        <w:t xml:space="preserve">The follow-up surveys for </w:t>
      </w:r>
      <w:r w:rsidR="009650E6" w:rsidRPr="00C82703">
        <w:rPr>
          <w:rFonts w:ascii="Times New Roman" w:hAnsi="Times New Roman" w:cs="Times New Roman"/>
        </w:rPr>
        <w:t>W</w:t>
      </w:r>
      <w:r w:rsidRPr="00C82703">
        <w:rPr>
          <w:rFonts w:ascii="Times New Roman" w:hAnsi="Times New Roman" w:cs="Times New Roman"/>
        </w:rPr>
        <w:t xml:space="preserve">aves 2 (Feb 2 to Mar 23, 2024) and 3 (May 27 to July 4, 2025) were shorter, with approximately 200 and 100 items, respectively. </w:t>
      </w:r>
      <w:r w:rsidR="00BF7FA6" w:rsidRPr="00C82703">
        <w:rPr>
          <w:rFonts w:ascii="Times New Roman" w:hAnsi="Times New Roman" w:cs="Times New Roman"/>
        </w:rPr>
        <w:t>Participants who provided logically inconsistent responses</w:t>
      </w:r>
      <w:r w:rsidR="00B35948" w:rsidRPr="00C82703">
        <w:rPr>
          <w:rFonts w:ascii="Times New Roman" w:hAnsi="Times New Roman" w:cs="Times New Roman"/>
        </w:rPr>
        <w:t xml:space="preserve"> (e.g., reporting no previous use at baseline and use in the past five years after one-year follow-up)</w:t>
      </w:r>
      <w:r w:rsidR="00BF7FA6" w:rsidRPr="00C82703">
        <w:rPr>
          <w:rFonts w:ascii="Times New Roman" w:hAnsi="Times New Roman" w:cs="Times New Roman"/>
        </w:rPr>
        <w:t xml:space="preserve"> or who lacked outcome data were excluded. </w:t>
      </w:r>
    </w:p>
    <w:p w14:paraId="063D052F" w14:textId="77777777" w:rsidR="00F2739D" w:rsidRPr="00CD54D5" w:rsidRDefault="00F2739D"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Variables</w:t>
      </w:r>
    </w:p>
    <w:p w14:paraId="1E7B962D" w14:textId="0DCCABAD" w:rsidR="00F2739D" w:rsidRPr="00C82703" w:rsidRDefault="00316AEE" w:rsidP="00C82703">
      <w:pPr>
        <w:spacing w:line="480" w:lineRule="auto"/>
        <w:rPr>
          <w:rFonts w:ascii="Times New Roman" w:hAnsi="Times New Roman" w:cs="Times New Roman"/>
        </w:rPr>
      </w:pPr>
      <w:r w:rsidRPr="00C82703">
        <w:rPr>
          <w:rFonts w:ascii="Times New Roman" w:hAnsi="Times New Roman" w:cs="Times New Roman"/>
        </w:rPr>
        <w:t xml:space="preserve">The Kessler Psychological Distress Scale (K6) was </w:t>
      </w:r>
      <w:r w:rsidR="00D63894" w:rsidRPr="00C82703">
        <w:rPr>
          <w:rFonts w:ascii="Times New Roman" w:hAnsi="Times New Roman" w:cs="Times New Roman"/>
        </w:rPr>
        <w:t xml:space="preserve">our main outcome. This six-item scale was </w:t>
      </w:r>
      <w:r w:rsidRPr="00C82703">
        <w:rPr>
          <w:rFonts w:ascii="Times New Roman" w:hAnsi="Times New Roman" w:cs="Times New Roman"/>
        </w:rPr>
        <w:t>designed to measure serious mental illness and has been thoroughly tested for validity and reliability in the general population</w:t>
      </w:r>
      <w:r w:rsidR="00264E97" w:rsidRPr="00C82703">
        <w:rPr>
          <w:rFonts w:ascii="Times New Roman" w:hAnsi="Times New Roman" w:cs="Times New Roman"/>
        </w:rPr>
        <w:t xml:space="preserve"> across multiple countries</w:t>
      </w:r>
      <w:r w:rsidRPr="00C82703">
        <w:rPr>
          <w:rFonts w:ascii="Times New Roman" w:hAnsi="Times New Roman" w:cs="Times New Roman"/>
        </w:rPr>
        <w:t xml:space="preserve"> </w:t>
      </w:r>
      <w:r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{"citationID":"lJxPakPv","properties":{"formattedCitation":"(24,25)","plainCitation":"(24,25)","noteIndex":0},"citationItems":[{"id":1068,"uris":["http://zotero.org/users/1546863/items/QJYUZJYE"],"itemData":{"id":1068,"type":"article-journal","abstract":"Background.\n              A 10-question screening scale of psychological distress and a six-question short-form scale embedded within the 10-question scale were developed for the redesigned US National Health Interview Survey (NHIS).\n            \n            \n              Methods.\n              Initial pilot questions were administered in a US national mail survey (\n              N\n              = 1401). A reduced set of questions was subsequently administered in a US national telephone survey (\n              N\n              = 1574). The 10-question and six-question scales, which we refer to as the K10 and K6, were constructed from the reduced set of questions based on Item Response Theory models. The scales were subsequently validated in a two-stage clinical reappraisal survey (\n              N\n              = 1000 telephone screening interviews in the first stage followed by\n              N\n              = 153 face-to-face clinical interviews in the second stage that oversampled first-stage respondents who screened positive for emotional problems) in a local convenience sample. The second-stage sample was administered the screening scales along with the Structured Clinical Interview for DSM-IV (SCID). The K6 was subsequently included in the 1997 (\n              N\n              = 36116) and 1998 (\n              N\n              = 32440) US National Health Interview Survey, while the K10 was included in the 1997 (\n              N\n              = 10641) Australian National Survey of Mental Health and Well-Being.\n            \n            \n              Results.\n              Both the K10 and K6 have good precision in the 90th–99th percentile range of the population distribution (standard errors of standardized scores in the range 0·20–0·25) as well as consistent psychometric properties across major sociodemographic subsamples. The scales strongly discriminate between community cases and non-cases of DSM-IV/SCID disorders, with areas under the Receiver Operating Characteristic (ROC) curve of 0·87–0·88 for disorders having Global Assessment of Functioning (GAF) scores of 0–70 and 0·95–0·96 for disorders having GAF scores of 0–50.\n            \n            \n              Conclusions.\n              The brevity, strong psychometric properties, and ability to discriminate DSM-IV cases from non-cases make the K10 and K6 attractive for use in general-purpose health surveys. The scales are already being used in annual government health surveys in the US and Canada as well as in the WHO World Mental Health Surveys. Routine inclusion of either the K10 or K6 in clinical studies would create an important, and heretofore missing, crosswalk between community and clinical epidemiology.","container-title":"Psychological Medicine","DOI":"10.1017/S0033291702006074","ISSN":"0033-2917, 1469-8978","issue":"6","journalAbbreviation":"Psychol. Med.","language":"en","license":"https://www.cambridge.org/core/terms","page":"959-976","source":"DOI.org (Crossref)","title":"Short screening scales to monitor population prevalences and trends in non-specific psychological distress","volume":"32","author":[{"family":"Kessler","given":"R. C."},{"family":"Andrews","given":"G."},{"family":"Colpe","given":"L. J."},{"family":"Hiripi","given":"E."},{"family":"Mroczek","given":"D. K."},{"family":"Normand","given":"S.-L. T."},{"family":"Walters","given":"E. E."},{"family":"Zaslavsky","given":"A. M."}],"issued":{"date-parts":[["2002",8]]}}},{"id":1069,"uris":["http://zotero.org/users/1546863/items/IHAFS22C"],"itemData":{"id":1069,"type":"article-journal","abstract":"Abstract\n            \n              Data are reported on the background and performance of the K6 screening scale for serious mental illness (SMI) in the World Health Organization (WHO) World Mental Health (WMH) surveys. The K6 is a six‐item scale developed to provide a brief valid screen for Diagnostic and Statistical Manual of Mental Disorders 4th edition (DSM‐IV) SMI based on the criteria in the US ADAMHA Reorganization Act. Although methodological studies have documented good K6 validity in a number of countries, optimal scoring rules have never been proposed. Such rules are presented here based on analysis of K6 data in nationally or regionally representative WMH surveys in 14 countries (combined\n              N\n              = 41,770 respondents). Twelve‐month prevalence of DSM‐IV SMI was assessed with the fully‐structured WHO Composite International Diagnostic Interview. Nested logistic regression analysis was used to generate estimates of the predicted probability of SMI for each respondent from K6 scores, taking into consideration the possibility of variable concordance as a function of respondent age, gender, education, and country. Concordance, assessed by calculating the area under the receiver operating characteristic curve, was generally substantial (median 0.83; range 0.76–0.89; inter‐quartile range 0.81–0.85). Based on this result, optimal scaling rules are presented for use by investigators working with the K6 scale in the countries studied.\n              Copyright\n              ©\n              2010 John Wiley &amp; Sons, Ltd.","container-title":"International Journal of Methods in Psychiatric Research","DOI":"10.1002/mpr.310","ISSN":"1049-8931, 1557-0657","issue":"S1","journalAbbreviation":"Int J Methods Psych Res","language":"en","license":"http://onlinelibrary.wiley.com/termsAndConditions#vor","page":"4-22","source":"DOI.org (Crossref)","title":"Screening for serious mental illness in the general population with the K6 screening scale: results from the WHO World Mental Health (WMH) survey initiative","title-short":"Screening for serious mental illness in the general population with the K6 screening scale","volume":"19","author":[{"family":"Kessler","given":"Ronald C."},{"family":"Green","given":"Jennifer Greif"},{"family":"Gruber","given":"Michael J."},{"family":"Sampson","given":"Nancy A."},{"family":"Bromet","given":"Evelyn"},{"family":"Cuitan","given":"Marius"},{"family":"Furukawa","given":"Toshi A."},{"family":"Gureje","given":"Oye"},{"family":"Hinkov","given":"Hristo"},{"family":"Hu","given":"Chi‐Yi"},{"family":"Lara","given":"Carmen"},{"family":"Lee","given":"Sing"},{"family":"Mneimneh","given":"Zeina"},{"family":"Myer","given":"Landon"},{"family":"Oakley‐Browne","given":"Mark"},{"family":"Posada‐Villa","given":"Jose"},{"family":"Sagar","given":"Rajesh"},{"family":"Viana","given":"Maria Carmen"},{"family":"Zaslavsky","given":"Alan M."}],"issued":{"date-parts":[["2010",6]]}}}],"schema":"https://github.com/citation-style-language/schema/raw/master/csl-citation.json"} </w:instrText>
      </w:r>
      <w:r w:rsidRPr="00C82703">
        <w:rPr>
          <w:rFonts w:ascii="Times New Roman" w:hAnsi="Times New Roman" w:cs="Times New Roman"/>
        </w:rPr>
        <w:fldChar w:fldCharType="separate"/>
      </w:r>
      <w:r w:rsidR="00BE6148" w:rsidRPr="00C82703">
        <w:rPr>
          <w:rFonts w:ascii="Times New Roman" w:hAnsi="Times New Roman" w:cs="Times New Roman"/>
        </w:rPr>
        <w:t>(24,25)</w:t>
      </w:r>
      <w:r w:rsidRPr="00C82703">
        <w:rPr>
          <w:rFonts w:ascii="Times New Roman" w:hAnsi="Times New Roman" w:cs="Times New Roman"/>
        </w:rPr>
        <w:fldChar w:fldCharType="end"/>
      </w:r>
      <w:r w:rsidRPr="00C82703">
        <w:rPr>
          <w:rFonts w:ascii="Times New Roman" w:hAnsi="Times New Roman" w:cs="Times New Roman"/>
        </w:rPr>
        <w:t xml:space="preserve">. </w:t>
      </w:r>
      <w:r w:rsidR="00D63894" w:rsidRPr="00C82703">
        <w:rPr>
          <w:rFonts w:ascii="Times New Roman" w:hAnsi="Times New Roman" w:cs="Times New Roman"/>
        </w:rPr>
        <w:t>Subjects are asked about feeling: (1) nervous, (2) hopeless, (3) restless or fidgety, (4) so depressed that nothing could cheer you up, (5) that everything was an effort, and (6) worthless, during the past 30 days. The available responses (“None of the time,” “A little of the time,” “Some of the time,” “Most of the time,” and “All of the time”) are each scored from 0 to 4 and then summed, yielding a possible total score range of 0 to 24.</w:t>
      </w:r>
    </w:p>
    <w:p w14:paraId="3F13BAB4" w14:textId="6DACA854" w:rsidR="00CF3FE0" w:rsidRPr="006150E6" w:rsidRDefault="00CF3FE0" w:rsidP="006150E6">
      <w:pPr>
        <w:spacing w:line="480" w:lineRule="auto"/>
        <w:rPr>
          <w:rFonts w:ascii="Times New Roman" w:hAnsi="Times New Roman" w:cs="Times New Roman"/>
        </w:rPr>
      </w:pPr>
      <w:r w:rsidRPr="006150E6">
        <w:rPr>
          <w:rFonts w:ascii="Times New Roman" w:hAnsi="Times New Roman" w:cs="Times New Roman"/>
        </w:rPr>
        <w:t xml:space="preserve">Participants were asked to indicate the recency of their psilocybin use, with response options ranging from “in the past week” to “more than 5 years ago” or “never used psilocybin.” A secondary variable was created to assert whether the participants had consumed psilocybin within the last year based on their responses, and this was our main exposure for </w:t>
      </w:r>
      <w:r w:rsidR="009650E6" w:rsidRPr="006150E6">
        <w:rPr>
          <w:rFonts w:ascii="Times New Roman" w:hAnsi="Times New Roman" w:cs="Times New Roman"/>
        </w:rPr>
        <w:t>W</w:t>
      </w:r>
      <w:r w:rsidRPr="006150E6">
        <w:rPr>
          <w:rFonts w:ascii="Times New Roman" w:hAnsi="Times New Roman" w:cs="Times New Roman"/>
        </w:rPr>
        <w:t>aves 2 and 3.</w:t>
      </w:r>
      <w:r w:rsidR="00E21D02" w:rsidRPr="006150E6">
        <w:rPr>
          <w:rFonts w:ascii="Times New Roman" w:hAnsi="Times New Roman" w:cs="Times New Roman"/>
        </w:rPr>
        <w:t xml:space="preserve"> </w:t>
      </w:r>
    </w:p>
    <w:p w14:paraId="3D579A2C" w14:textId="4CD5542C" w:rsidR="00CF3FE0" w:rsidRPr="00C82703" w:rsidRDefault="00CF3FE0" w:rsidP="00C82703">
      <w:pPr>
        <w:spacing w:line="480" w:lineRule="auto"/>
        <w:rPr>
          <w:rFonts w:ascii="Times New Roman" w:hAnsi="Times New Roman" w:cs="Times New Roman"/>
        </w:rPr>
      </w:pPr>
      <w:r w:rsidRPr="00C82703">
        <w:rPr>
          <w:rFonts w:ascii="Times New Roman" w:hAnsi="Times New Roman" w:cs="Times New Roman"/>
        </w:rPr>
        <w:t xml:space="preserve">Other variables </w:t>
      </w:r>
      <w:r w:rsidR="00E21D02" w:rsidRPr="00C82703">
        <w:rPr>
          <w:rFonts w:ascii="Times New Roman" w:hAnsi="Times New Roman" w:cs="Times New Roman"/>
        </w:rPr>
        <w:t xml:space="preserve">included in our </w:t>
      </w:r>
      <w:r w:rsidR="00264E97" w:rsidRPr="00C82703">
        <w:rPr>
          <w:rFonts w:ascii="Times New Roman" w:hAnsi="Times New Roman" w:cs="Times New Roman"/>
        </w:rPr>
        <w:t xml:space="preserve">study were </w:t>
      </w:r>
      <w:r w:rsidR="00E21D02" w:rsidRPr="00C82703">
        <w:rPr>
          <w:rFonts w:ascii="Times New Roman" w:hAnsi="Times New Roman" w:cs="Times New Roman"/>
        </w:rPr>
        <w:t xml:space="preserve">age (collected as continuous), gender (men, women, non-binary), education (grouped as “less than bachelor” and “bachelor or higher”), past use of </w:t>
      </w:r>
      <w:r w:rsidR="00264E97" w:rsidRPr="00C82703">
        <w:rPr>
          <w:rFonts w:ascii="Times New Roman" w:hAnsi="Times New Roman" w:cs="Times New Roman"/>
        </w:rPr>
        <w:t>“</w:t>
      </w:r>
      <w:r w:rsidR="00E21D02" w:rsidRPr="00C82703">
        <w:rPr>
          <w:rFonts w:ascii="Times New Roman" w:hAnsi="Times New Roman" w:cs="Times New Roman"/>
        </w:rPr>
        <w:t>prescription medication for emotional, psychological, or mental health concerns</w:t>
      </w:r>
      <w:r w:rsidR="00264E97" w:rsidRPr="00C82703">
        <w:rPr>
          <w:rFonts w:ascii="Times New Roman" w:hAnsi="Times New Roman" w:cs="Times New Roman"/>
        </w:rPr>
        <w:t>”</w:t>
      </w:r>
      <w:r w:rsidR="00E21D02" w:rsidRPr="00C82703">
        <w:rPr>
          <w:rFonts w:ascii="Times New Roman" w:hAnsi="Times New Roman" w:cs="Times New Roman"/>
        </w:rPr>
        <w:t xml:space="preserve"> (yes, no). </w:t>
      </w:r>
      <w:r w:rsidR="00C66C71" w:rsidRPr="00C82703">
        <w:rPr>
          <w:rFonts w:ascii="Times New Roman" w:hAnsi="Times New Roman" w:cs="Times New Roman"/>
        </w:rPr>
        <w:lastRenderedPageBreak/>
        <w:t xml:space="preserve">Data on the number of doses </w:t>
      </w:r>
      <w:r w:rsidR="00E45466" w:rsidRPr="00C82703">
        <w:rPr>
          <w:rFonts w:ascii="Times New Roman" w:hAnsi="Times New Roman" w:cs="Times New Roman"/>
        </w:rPr>
        <w:t xml:space="preserve">(range 0 to 50 or more) </w:t>
      </w:r>
      <w:r w:rsidR="00BF7FA6" w:rsidRPr="00C82703">
        <w:rPr>
          <w:rFonts w:ascii="Times New Roman" w:hAnsi="Times New Roman" w:cs="Times New Roman"/>
        </w:rPr>
        <w:t xml:space="preserve">by approximate weight/size </w:t>
      </w:r>
      <w:r w:rsidR="00E45466" w:rsidRPr="00C82703">
        <w:rPr>
          <w:rFonts w:ascii="Times New Roman" w:hAnsi="Times New Roman" w:cs="Times New Roman"/>
        </w:rPr>
        <w:t xml:space="preserve">(micro, light, medium, strong, hero) </w:t>
      </w:r>
      <w:r w:rsidR="00C66C71" w:rsidRPr="00C82703">
        <w:rPr>
          <w:rFonts w:ascii="Times New Roman" w:hAnsi="Times New Roman" w:cs="Times New Roman"/>
        </w:rPr>
        <w:t>w</w:t>
      </w:r>
      <w:r w:rsidR="00CF07DC" w:rsidRPr="00C82703">
        <w:rPr>
          <w:rFonts w:ascii="Times New Roman" w:hAnsi="Times New Roman" w:cs="Times New Roman"/>
        </w:rPr>
        <w:t>ere</w:t>
      </w:r>
      <w:r w:rsidR="00C66C71" w:rsidRPr="00C82703">
        <w:rPr>
          <w:rFonts w:ascii="Times New Roman" w:hAnsi="Times New Roman" w:cs="Times New Roman"/>
        </w:rPr>
        <w:t xml:space="preserve"> collected </w:t>
      </w:r>
      <w:r w:rsidR="00BF7FA6" w:rsidRPr="00C82703">
        <w:rPr>
          <w:rFonts w:ascii="Times New Roman" w:hAnsi="Times New Roman" w:cs="Times New Roman"/>
        </w:rPr>
        <w:t xml:space="preserve">from some participants </w:t>
      </w:r>
      <w:r w:rsidR="00C66C71" w:rsidRPr="00C82703">
        <w:rPr>
          <w:rFonts w:ascii="Times New Roman" w:hAnsi="Times New Roman" w:cs="Times New Roman"/>
        </w:rPr>
        <w:t xml:space="preserve">but not included in the </w:t>
      </w:r>
      <w:r w:rsidR="00CF07DC" w:rsidRPr="00C82703">
        <w:rPr>
          <w:rFonts w:ascii="Times New Roman" w:hAnsi="Times New Roman" w:cs="Times New Roman"/>
        </w:rPr>
        <w:t xml:space="preserve">main </w:t>
      </w:r>
      <w:r w:rsidR="00C66C71" w:rsidRPr="00C82703">
        <w:rPr>
          <w:rFonts w:ascii="Times New Roman" w:hAnsi="Times New Roman" w:cs="Times New Roman"/>
        </w:rPr>
        <w:t>analysis.</w:t>
      </w:r>
      <w:r w:rsidR="00CF07DC" w:rsidRPr="00C82703">
        <w:rPr>
          <w:rFonts w:ascii="Times New Roman" w:hAnsi="Times New Roman" w:cs="Times New Roman"/>
        </w:rPr>
        <w:t xml:space="preserve"> </w:t>
      </w:r>
    </w:p>
    <w:p w14:paraId="3668FD05" w14:textId="6A54980E" w:rsidR="00BF6E1F" w:rsidRPr="00CD54D5" w:rsidRDefault="00CD54D5" w:rsidP="00C82703">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Other </w:t>
      </w:r>
      <w:r w:rsidR="006150E6">
        <w:rPr>
          <w:rFonts w:ascii="Times New Roman" w:hAnsi="Times New Roman" w:cs="Times New Roman"/>
          <w:b/>
          <w:bCs/>
          <w:color w:val="auto"/>
          <w:sz w:val="24"/>
          <w:szCs w:val="24"/>
        </w:rPr>
        <w:t>v</w:t>
      </w:r>
      <w:r>
        <w:rPr>
          <w:rFonts w:ascii="Times New Roman" w:hAnsi="Times New Roman" w:cs="Times New Roman"/>
          <w:b/>
          <w:bCs/>
          <w:color w:val="auto"/>
          <w:sz w:val="24"/>
          <w:szCs w:val="24"/>
        </w:rPr>
        <w:t>ariables</w:t>
      </w:r>
    </w:p>
    <w:p w14:paraId="3E5A29B0" w14:textId="77777777" w:rsidR="00CF07DC" w:rsidRPr="00C82703" w:rsidRDefault="00BF7FA6" w:rsidP="00CD54D5">
      <w:pPr>
        <w:spacing w:line="480" w:lineRule="auto"/>
        <w:ind w:firstLine="720"/>
        <w:rPr>
          <w:rFonts w:ascii="Times New Roman" w:hAnsi="Times New Roman" w:cs="Times New Roman"/>
        </w:rPr>
      </w:pPr>
      <w:r w:rsidRPr="00C82703">
        <w:rPr>
          <w:rFonts w:ascii="Times New Roman" w:hAnsi="Times New Roman" w:cs="Times New Roman"/>
        </w:rPr>
        <w:t xml:space="preserve">Observational data are susceptible to confounding and other biases that can distort causal inference. To clarify these relationships and inform analytic decisions, we developed a directed acyclic graph (DAG) to represent </w:t>
      </w:r>
      <w:r w:rsidR="006600D6" w:rsidRPr="00C82703">
        <w:rPr>
          <w:rFonts w:ascii="Times New Roman" w:hAnsi="Times New Roman" w:cs="Times New Roman"/>
        </w:rPr>
        <w:t>the relationships between sociodemographic characteristics, mental health treatment, psilocybin use, and psychological distress over time</w:t>
      </w:r>
      <w:r w:rsidR="00CF07DC" w:rsidRPr="00C82703">
        <w:rPr>
          <w:rFonts w:ascii="Times New Roman" w:hAnsi="Times New Roman" w:cs="Times New Roman"/>
        </w:rPr>
        <w:t>, including some unobserved variables</w:t>
      </w:r>
      <w:r w:rsidR="006600D6" w:rsidRPr="00C82703">
        <w:rPr>
          <w:rFonts w:ascii="Times New Roman" w:hAnsi="Times New Roman" w:cs="Times New Roman"/>
        </w:rPr>
        <w:t xml:space="preserve"> (Figure 1). </w:t>
      </w:r>
    </w:p>
    <w:p w14:paraId="181ED536" w14:textId="1FFDAFB5" w:rsidR="003B7976" w:rsidRPr="00C82703" w:rsidRDefault="006600D6" w:rsidP="00CD54D5">
      <w:pPr>
        <w:spacing w:line="480" w:lineRule="auto"/>
        <w:ind w:firstLine="720"/>
        <w:rPr>
          <w:rFonts w:ascii="Times New Roman" w:hAnsi="Times New Roman" w:cs="Times New Roman"/>
          <w:lang w:val="fr-FR"/>
        </w:rPr>
      </w:pPr>
      <w:r w:rsidRPr="00C82703">
        <w:rPr>
          <w:rFonts w:ascii="Times New Roman" w:hAnsi="Times New Roman" w:cs="Times New Roman"/>
        </w:rPr>
        <w:t>Gender, age, income, and education are upstream determinants: they influence health-seeking behavior, as evidence suggests that men, younger individuals, and those with lower education are less likely to seek professional mental health care</w:t>
      </w:r>
      <w:r w:rsidR="00973642" w:rsidRPr="00C82703">
        <w:rPr>
          <w:rFonts w:ascii="Times New Roman" w:hAnsi="Times New Roman" w:cs="Times New Roman"/>
        </w:rPr>
        <w:t xml:space="preserve"> </w:t>
      </w:r>
      <w:r w:rsidR="00973642"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{"citationID":"084zaLMr","properties":{"formattedCitation":"(26,27)","plainCitation":"(26,27)","noteIndex":0},"citationItems":[{"id":1057,"uris":["http://zotero.org/users/1546863/items/F69FNQ68"],"itemData":{"id":1057,"type":"article-journal","abstract":"Background:\n              Understanding health-seeking behaviors and determining factors help governments to adequately allocate and manage existing health resources. The aim of the study was to examine the health-seeking behaviors of people in using public and private health facilities and to assess the factors that influence healthcare utilization in Northern Cyprus.\n              Methods:\n              A cross-sectional study was conducted in 2 polyclinics among 507 people using a structured intervieweradministered questionnaire. Health-seeking behaviors were measured using four indicators including routine medical check-ups, preferences of healthcare facilities, admission while having health problems, and refusal of health services while ill. Descriptive statistics and multivariable logistic regression analyses were done to explore factors influencing the use of health services.\n              Results:\n              About 77.3% of the participants reported to have visited health centers while they had any health problems. More than half (51.7%) of them had a routine medical check-up during the previous year, while 12.2% of them had refused to seek healthcare when they felt ill during the last five years. Of all, 39.1% of them reported preferring private health services. Current smokers (adjusted odds ratio [AOR]=1.92, 95% CI: 1.17-3.14), having chronic diseases (AOR=2.05, 95% CI: 1.95-2.16), having poor perceptions on health (AOR=2.33; 95% CI: 1.563.48), and spending less on health during the last three months (AOR=2.08, 95% CI: 1.43- 3.01) had about twice the odds of having routine checkups. Higher education (AOR=1.87, 95% CI: 1.38-2.55) was shown to be a positive predictor for the health-seeking behaviors, whereas having self-care problems (AOR=0.18, 95% CI: 0.08-0.40) and having a moderate-income (AOR=0.68, 95% CI: 0.57-0.81) were inversely associated with seeking healthcare.\n              Conclusion:\n              The utilization of public and private health sectors revealed evident disparities in the socio-economic characteristics of participants. The health-seeking behaviors were determined by need factors including chronic disease status and having poor health perception and also by enabling factors such as education, income, insurance status and ability to pay by oneself. These findings highlight the need for further nationwide studies and provide evidence for specific strategies to reduce the socioeconomic inequalities in the use of healthcare services.","container-title":"International Journal of Health Policy and Management","DOI":"10.15171/ijhpm.2019.106","ISSN":"2322-5939","journalAbbreviation":"Int J Health Policy Manag","language":"en","page":"1","source":"DOI.org (Crossref)","title":"Health-Seeking Behaviors and its Determinants: A Facility-Based Cross-Sectional Study in the Turkish Republic of Northern Cyprus","title-short":"Health-Seeking Behaviors and its Determinants","author":[{"family":"Abuduxike","given":"Gulifeiya"},{"family":"Aşut","given":"Özen"},{"family":"Vaizoğlu","given":"Songül Acar"},{"family":"Cali","given":"Sanda"}],"issued":{"date-parts":[["2019",11,23]]}}},{"id":1056,"uris":["http://zotero.org/users/1546863/items/QHFX2GZM"],"itemData":{"id":1056,"type":"article-journal","abstract":"Objectives\n              Findings have shown that many people do not seek help when experiencing psychological distress. The main aim of this paper is to examine the socio‐demographic and health status factors that predict help seeking for self‐reported mental health problems for males and females from a general practitioner (GP).\n            \n            \n              Design\n              The analysis used data from the HRB National Psychological Wellbeing and Distress Survey – a telephone survey of the population aged 18 years and over.\n            \n            \n              Methods\n              Telephone numbers were selected on a random probability basis. An initial set of random clusters was selected from the Geodirectory. Using these sampling areas, random digit dialling was used to generate a random telephone sample. Data were weighted on key variables. Respondents who reported mental health problems in the previous year were included in the current study (382/2,674).\n            \n            \n              Results\n              The findings showed gender differences in the models of predictors between males and females with more factors influencing attendance at the GP for males than for females. While only social limitations and access to free health care predicted female attendance, a range of socio‐demographic and psychological factors influenced male attendance.\n            \n            \n              Conclusions\n              Findings suggest that a ‘gender sensitive approach’ should be applied to mental health policies and mental health promotion and prevention programmes. Acknowledgement and awareness of the factors that influence help seeking will aid the design of gender specific promotion, prevention, and treatment programmes at primary care level.","container-title":"British Journal of Health Psychology","DOI":"10.1348/135910709X457423","ISSN":"1359-107X, 2044-8287","issue":"1","journalAbbreviation":"British J Health Psychol","language":"en","license":"http://onlinelibrary.wiley.com/termsAndConditions#vor","page":"213-228","source":"DOI.org (Crossref)","title":"Gender and self‐reported mental health problems: Predictors of help seeking from a general practitioner","title-short":"Gender and self‐reported mental health problems","volume":"15","author":[{"family":"Doherty","given":"D. Tedstone"},{"family":"Kartalova‐O'Doherty","given":"Y."}],"issued":{"date-parts":[["2010",2]]}}}],"schema":"https://github.com/citation-style-language/schema/raw/master/csl-citation.json"} </w:instrText>
      </w:r>
      <w:r w:rsidR="00973642" w:rsidRPr="00C82703">
        <w:rPr>
          <w:rFonts w:ascii="Times New Roman" w:hAnsi="Times New Roman" w:cs="Times New Roman"/>
        </w:rPr>
        <w:fldChar w:fldCharType="separate"/>
      </w:r>
      <w:r w:rsidR="00BE6148" w:rsidRPr="00C82703">
        <w:rPr>
          <w:rFonts w:ascii="Times New Roman" w:hAnsi="Times New Roman" w:cs="Times New Roman"/>
        </w:rPr>
        <w:t>(26,27)</w:t>
      </w:r>
      <w:r w:rsidR="00973642" w:rsidRPr="00C82703">
        <w:rPr>
          <w:rFonts w:ascii="Times New Roman" w:hAnsi="Times New Roman" w:cs="Times New Roman"/>
        </w:rPr>
        <w:fldChar w:fldCharType="end"/>
      </w:r>
      <w:r w:rsidRPr="00C82703">
        <w:rPr>
          <w:rFonts w:ascii="Times New Roman" w:hAnsi="Times New Roman" w:cs="Times New Roman"/>
        </w:rPr>
        <w:t>. These sociodemographic factors also affect baseline psychological distress</w:t>
      </w:r>
      <w:r w:rsidR="00B352D7" w:rsidRPr="00C82703">
        <w:rPr>
          <w:rFonts w:ascii="Times New Roman" w:hAnsi="Times New Roman" w:cs="Times New Roman"/>
        </w:rPr>
        <w:t xml:space="preserve"> </w:t>
      </w:r>
      <w:r w:rsidR="00B352D7"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{"citationID":"Z5a3ha7j","properties":{"formattedCitation":"(28)","plainCitation":"(28)","noteIndex":0},"citationItems":[{"id":1054,"uris":["http://zotero.org/users/1546863/items/J2IK8A58"],"itemData":{"id":1054,"type":"article-journal","abstract":"Abstract\n            The prevalence of stress and distress has been increasing and being important public health issues; nevertheless, few studies have assessed the factors associated at the population level. This study identified factors associated and how they differentially influence stress and distress. A total of 35,105 individuals aged 19 years and older using nationally representative data from the Korea National Health and Nutrition Examination Survey (2007–2012) were included in the study. Subjects were differentiated by gender and psychological state (no symptoms, stress, distress). The associations of socio-demographics, psychosocial factors, health behaviours, and chronic illness with psychological states were analysed by gender. Socio-demographics and psychosocial factors such as lower household income, lower education level, living alone or negative outcome of marriage, and unemployment were associated with distress in both genders. Male and female educated higher and with short sleep duration, male living alone and with higher household income, and female married and with a lower household income was associated with stress. A perceived body image of slim or fat was associated with distress and stress in both genders. Behavioural factors, such as smoking, higher alcohol consumption, and abnormal calorie intake, were associated with stress and distress in both genders, with the exception of alcohol consumption in distress and abnormal calorie intake in stress of male. Socio-economic deprivation and negative psychosocial and behavioural factors were differently associated with psychological distress or stress by gender. Intervention strategies for distress and stress should be specifically tailored regarding these differences.","container-title":"Scientific Reports","DOI":"10.1038/s41598-020-71789-y","ISSN":"2045-2322","issue":"1","journalAbbreviation":"Sci Rep","language":"en","page":"15134","source":"DOI.org (Crossref)","title":"Factors associated with psychological stress and distress among Korean adults: the results from Korea National Health and Nutrition Examination Survey","title-short":"Factors associated with psychological stress and distress among Korean adults","volume":"10","author":[{"family":"Cheon","given":"Yejin"},{"family":"Park","given":"Jinju"},{"family":"Jeong","given":"Bo Yoon"},{"family":"Park","given":"Eun Young"},{"family":"Oh","given":"Jin-Kyoung"},{"family":"Yun","given":"E Hwa"},{"family":"Lim","given":"Min Kyung"}],"issued":{"date-parts":[["2020",9,15]]}}}],"schema":"https://github.com/citation-style-language/schema/raw/master/csl-citation.json"} </w:instrText>
      </w:r>
      <w:r w:rsidR="00B352D7" w:rsidRPr="00C82703">
        <w:rPr>
          <w:rFonts w:ascii="Times New Roman" w:hAnsi="Times New Roman" w:cs="Times New Roman"/>
        </w:rPr>
        <w:fldChar w:fldCharType="separate"/>
      </w:r>
      <w:r w:rsidR="00BE6148" w:rsidRPr="00C82703">
        <w:rPr>
          <w:rFonts w:ascii="Times New Roman" w:hAnsi="Times New Roman" w:cs="Times New Roman"/>
        </w:rPr>
        <w:t>(28)</w:t>
      </w:r>
      <w:r w:rsidR="00B352D7" w:rsidRPr="00C82703">
        <w:rPr>
          <w:rFonts w:ascii="Times New Roman" w:hAnsi="Times New Roman" w:cs="Times New Roman"/>
        </w:rPr>
        <w:fldChar w:fldCharType="end"/>
      </w:r>
      <w:r w:rsidR="00BE2481" w:rsidRPr="00C82703">
        <w:rPr>
          <w:rFonts w:ascii="Times New Roman" w:hAnsi="Times New Roman" w:cs="Times New Roman"/>
        </w:rPr>
        <w:t>.</w:t>
      </w:r>
      <w:r w:rsidRPr="00C82703">
        <w:rPr>
          <w:rFonts w:ascii="Times New Roman" w:hAnsi="Times New Roman" w:cs="Times New Roman"/>
        </w:rPr>
        <w:t xml:space="preserve"> </w:t>
      </w:r>
      <w:r w:rsidR="00BE2481" w:rsidRPr="00C82703">
        <w:rPr>
          <w:rFonts w:ascii="Times New Roman" w:hAnsi="Times New Roman" w:cs="Times New Roman"/>
        </w:rPr>
        <w:t xml:space="preserve">They also </w:t>
      </w:r>
      <w:r w:rsidRPr="00C82703">
        <w:rPr>
          <w:rFonts w:ascii="Times New Roman" w:hAnsi="Times New Roman" w:cs="Times New Roman"/>
        </w:rPr>
        <w:t>shape psilocybin use through both risk aversion (e.g., women and older adults are generally more cautious) and differences in access linked to socioeconomic status</w:t>
      </w:r>
      <w:r w:rsidR="00BE2481" w:rsidRPr="00C82703">
        <w:rPr>
          <w:rFonts w:ascii="Times New Roman" w:hAnsi="Times New Roman" w:cs="Times New Roman"/>
        </w:rPr>
        <w:t xml:space="preserve"> </w:t>
      </w:r>
      <w:r w:rsidR="00BE2481"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{"citationID":"xnMlj8oe","properties":{"formattedCitation":"(29)","plainCitation":"(29)","noteIndex":0},"citationItems":[{"id":1061,"uris":["http://zotero.org/users/1546863/items/MYF6GHCG"],"itemData":{"id":1061,"type":"article-journal","container-title":"International Journal of Drug Policy","DOI":"10.1016/j.drugpo.2021.103326","ISSN":"09553959","journalAbbreviation":"International Journal of Drug Policy","language":"en","page":"103326","source":"DOI.org (Crossref)","title":"Risk perception and risk aversion among people who use New Psychoactive Substances","volume":"97","author":[{"family":"Bujalski","given":"Michał"},{"family":"Wieczorek","given":"Łukasz"},{"family":"Sierosławski","given":"Janusz"}],"issued":{"date-parts":[["2021",11]]}}}],"schema":"https://github.com/citation-style-language/schema/raw/master/csl-citation.json"} </w:instrText>
      </w:r>
      <w:r w:rsidR="00BE2481" w:rsidRPr="00C82703">
        <w:rPr>
          <w:rFonts w:ascii="Times New Roman" w:hAnsi="Times New Roman" w:cs="Times New Roman"/>
        </w:rPr>
        <w:fldChar w:fldCharType="separate"/>
      </w:r>
      <w:r w:rsidR="00BE6148" w:rsidRPr="00C82703">
        <w:rPr>
          <w:rFonts w:ascii="Times New Roman" w:hAnsi="Times New Roman" w:cs="Times New Roman"/>
        </w:rPr>
        <w:t>(29)</w:t>
      </w:r>
      <w:r w:rsidR="00BE2481" w:rsidRPr="00C82703">
        <w:rPr>
          <w:rFonts w:ascii="Times New Roman" w:hAnsi="Times New Roman" w:cs="Times New Roman"/>
        </w:rPr>
        <w:fldChar w:fldCharType="end"/>
      </w:r>
      <w:r w:rsidRPr="00C82703">
        <w:rPr>
          <w:rFonts w:ascii="Times New Roman" w:hAnsi="Times New Roman" w:cs="Times New Roman"/>
        </w:rPr>
        <w:t xml:space="preserve">. Health-seeking behavior </w:t>
      </w:r>
      <w:r w:rsidR="00CF07DC" w:rsidRPr="00C82703">
        <w:rPr>
          <w:rFonts w:ascii="Times New Roman" w:hAnsi="Times New Roman" w:cs="Times New Roman"/>
        </w:rPr>
        <w:t xml:space="preserve">was assumed as </w:t>
      </w:r>
      <w:r w:rsidRPr="00C82703">
        <w:rPr>
          <w:rFonts w:ascii="Times New Roman" w:hAnsi="Times New Roman" w:cs="Times New Roman"/>
        </w:rPr>
        <w:t xml:space="preserve">a parent of ever having been prescribed medication for emotional, psychological, or mental health concerns, since prescriptions require prior professional contact. Past prescription use, in turn, </w:t>
      </w:r>
      <w:r w:rsidR="00CF07DC" w:rsidRPr="00C82703">
        <w:rPr>
          <w:rFonts w:ascii="Times New Roman" w:hAnsi="Times New Roman" w:cs="Times New Roman"/>
        </w:rPr>
        <w:t xml:space="preserve">was assumed to lead to </w:t>
      </w:r>
      <w:r w:rsidRPr="00C82703">
        <w:rPr>
          <w:rFonts w:ascii="Times New Roman" w:hAnsi="Times New Roman" w:cs="Times New Roman"/>
        </w:rPr>
        <w:t>psilocybin use, reflecting the Canadian Special Access Program’s requirement for a diagnosis of treatment-resistant depressive disorder and evidence of prior treatment</w:t>
      </w:r>
      <w:r w:rsidR="00B352D7" w:rsidRPr="00C82703">
        <w:rPr>
          <w:rFonts w:ascii="Times New Roman" w:hAnsi="Times New Roman" w:cs="Times New Roman"/>
        </w:rPr>
        <w:t xml:space="preserve"> </w:t>
      </w:r>
      <w:r w:rsidR="00B352D7"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{"citationID":"8s1HWLe0","properties":{"formattedCitation":"(13)","plainCitation":"(13)","noteIndex":0},"citationItems":[{"id":1053,"uris":["http://zotero.org/users/1546863/items/DW9PAJWC"],"itemData":{"id":1053,"type":"article-journal","container-title":"General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B352D7" w:rsidRPr="00C82703">
        <w:rPr>
          <w:rFonts w:ascii="Times New Roman" w:hAnsi="Times New Roman" w:cs="Times New Roman"/>
        </w:rPr>
        <w:fldChar w:fldCharType="separate"/>
      </w:r>
      <w:r w:rsidR="00BE6148" w:rsidRPr="00C82703">
        <w:rPr>
          <w:rFonts w:ascii="Times New Roman" w:hAnsi="Times New Roman" w:cs="Times New Roman"/>
        </w:rPr>
        <w:t>(13)</w:t>
      </w:r>
      <w:r w:rsidR="00B352D7" w:rsidRPr="00C82703">
        <w:rPr>
          <w:rFonts w:ascii="Times New Roman" w:hAnsi="Times New Roman" w:cs="Times New Roman"/>
        </w:rPr>
        <w:fldChar w:fldCharType="end"/>
      </w:r>
      <w:r w:rsidRPr="00C82703">
        <w:rPr>
          <w:rFonts w:ascii="Times New Roman" w:hAnsi="Times New Roman" w:cs="Times New Roman"/>
        </w:rPr>
        <w:t>. Finally, both baseline psychological distress and psilocybin use are assumed to influence psychological distress at follow-up</w:t>
      </w:r>
      <w:r w:rsidR="00BE2481" w:rsidRPr="00C82703">
        <w:rPr>
          <w:rFonts w:ascii="Times New Roman" w:hAnsi="Times New Roman" w:cs="Times New Roman"/>
        </w:rPr>
        <w:t xml:space="preserve">, </w:t>
      </w:r>
      <w:r w:rsidR="00973642" w:rsidRPr="00C82703">
        <w:rPr>
          <w:rFonts w:ascii="Times New Roman" w:hAnsi="Times New Roman" w:cs="Times New Roman"/>
        </w:rPr>
        <w:t xml:space="preserve">consistent with previous research on other mental health outcomes </w:t>
      </w:r>
      <w:r w:rsidR="00973642"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qCtpHY3I","properties":{"formattedCitation":"(14,23,30\\uc0\\u8211{}32)","plainCitation":"(14,23,30–32)","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id":1059,"uris":["http://zotero.org/users/1546863/items/RVJQM5S5"],"itemData":{"id":1059,"type":"article-journal","container-title":"eClinicalMedicine","DOI":"10.1016/j.eclinm.2024.102799","ISSN":"25895370","journalAbbreviation":"eClinicalMedicine","language":"en","page":"102799","source":"DOI.org (Crossref)","title":"Effect of psilocybin versus escitalopram on depression symptom severity in patients with moderate-to-severe major depressive disorder: observational 6-month follow-up of a phase 2, double-blind, randomised, controlled trial","title-short":"Effect of psilocybin versus escitalopram on depression symptom severity in patients with moderate-to-severe major depressive disorder","volume":"76","author":[{"family":"Erritzoe","given":"David"},{"family":"Barba","given":"Tommaso"},{"family":"Greenway","given":"Kyle T."},{"family":"Murphy","given":"Roberta"},{"family":"Martell","given":"Jonny"},{"family":"Giribaldi","given":"Bruna"},{"family":"Timmermann","given":"Christopher"},{"family":"Murphy-Beiner","given":"Ashleigh"},{"family":"Jones","given":"Michelle Baker"},{"family":"Nutt","given":"David"},{"family":"Weiss","given":"Brandon"},{"family":"Carhart-Harris","given":"Robin"}],"issued":{"date-parts":[["2024",10]]}}},{"id":1066,"uris":["http://zotero.org/users/1546863/items/RZ85YBTN"],"itemData":{"id":1066,"type":"article-journal","abstract":"OBJECTIVE: This systematic review aims to evaluate the impact of psilocybin on patients experiencing psychiatric symptoms, with a focus on health-related quality of life (HRQoL) and safety.\nMETHOD OF RESEARCH: Following the Preferred Reporting Items for Systematic Reviews and Meta-Analyses (PRISMA) guidelines, we searched the PubMed database and identified studies published from January 2011 to December 2021 pertaining to the impact of psilocybin on psychiatric symptoms. Two authors independently conducted a focused analysis and reached a final consensus on five studies meeting the specific selection criteria. Study bias was addressed using the Cochrane risk of bias tool.\nRESULTS: The impact of psilocybin on psychiatric symptoms was examined in five randomized controlled trials (RCTs). Four studies administered 1 to 2 doses of psilocybin, with doses ranging from 14mg/70kg to 30mg/70kg, and one study administered a fixed dose of 25mg to all participants. Administration of psilocybin resulted in significant and sustained reduction in symptoms of anxiety and depression, enhanced sense of wellbeing, life satisfaction, and positive mood immediately after psilocybin administration and up to six months after conclusion of treatment. All studies included some form of psychotherapy, and none reported serious adverse effects.\nCONCLUSION: RCTs show the efficacy of psilocybin in the treatment of anxiety and depression symptoms, as well as improvement in HRQoL, and no serious side effects. However, additional research is necessary to characterize predictors of treatment response, patient screening requirements, effectiveness in broader clinical populations, and guidelines for psilocybin-assisted psychotherapy.","container-title":"Innovations in Clinical Neuroscience","ISSN":"2158-8333","issue":"4-6","journalAbbreviation":"Innov Clin Neurosci","language":"eng","note":"PMID: 37387703\nPMCID: PMC10306375","page":"39-48","source":"PubMed","title":"The Impact of Psilocybin on Patients Experiencing Psychiatric Symptoms: A Systematic Review of Randomized Clinical Trials","title-short":"The Impact of Psilocybin on Patients Experiencing Psychiatric Symptoms","volume":"20","author":[{"family":"IsHak","given":"Waguih William"},{"family":"Garcia","given":"Paloma"},{"family":"Pearl","given":"Rachel"},{"family":"Dang","given":"Jonathan"},{"family":"William","given":"Catherine"},{"family":"Totlani","given":"Jayant"},{"family":"Danovitch","given":"Itai"}],"issued":{"date-parts":[["2023"]]}}},{"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id":1062,"uris":["http://zotero.org/users/1546863/items/MXCYEUG9"],"itemData":{"id":1062,"type":"article-journal","abstract":"Background:\n              Suicidal ideation, attempts, and deaths present a major and tragic public health concern. Recent trials of psilocybin therapy (PT) have shown promise in treating treatment-resistant depression and have found a reduction in suicidal ideation. Given the growth of PT research, there is a need to further understand its effect on suicidal ideation, attempts, and deaths.\n            \n            \n              Objective:\n              To assess and synthesize evidence on the effects of PT on suicidal ideation, attempts, and deaths in psychiatric patients.\n            \n            \n              Design:\n              PRISMA-compliant systematic review and meta-analysis.\n            \n            \n              Data source:\n              MEDLINE, EMBASE, Cochrane, and PsychINFO.\n            \n            \n              Method:\n              Databases were searched for randomized controlled trials of PT in adults with psychiatric diagnoses that reported suicide outcomes (ideation, attempts, and deaths). Abstract and full-text screening were conducted, and suicide outcomes were extracted. Meta-analysis was performed with a random effects model to assess changes in suicide outcomes compared to control through the standardized mean difference (SMD). Assessment of heterogeneity, risk of bias, and subgroup analysis was completed.\n            \n            \n              Results:\n              \n                Nine studies were included (\n                N\n                 = 593; 335 psilocybin &amp; 258 control). Two studies were excluded from meta-analysis because suicide-related outcomes data were not available. Participants with PT experienced a small and significant decrease in suicidal ideation compared to control (\n                k\n                 = 7, SMD = −0.24, 95% CI −0.42 to −0.06,\n                p\n                 = 0.008,\n                I\n                2\n                 = 0%). There was no publication bias found. Subgroup analysis found no significant differences between groups. No study reported suicide attempts or suicide deaths. Two studies had a high risk of bias.\n              \n            \n            \n              Conclusion:\n              Psilocybin therapy may reduce suicidal ideation in adults with psychiatric diagnoses. Current studies are limited by small sample size, lack of follow-up data, and assessment of blinding.\n            \n            \n              Trial registration:\n              CRD42023445706.\n            \n          , \n            Plain language summary\n            \n              The effects of psilocybin on suicidal ideation, attempts, and deaths\n            \n            1. This systematic review and meta-analysis evaluated the effects of psilocybin therapy (PT) suicidal ideations, attempts, and deaths in people living with a psychiatric disorder.\n            2. Nine studies involved 593 adults, comparing those who received PT (335 people) to those who did not and were in a control group (258 people).\n            3. PT led to a small but significant reduction in suicidal ideation. There were no instances of suicide attempts or completed suicides reported. However, most studies did not report on suicide attempts or completed suicides.\n            4. Current studies had limitations, such as low number of participants, lack of long-term follow-up, and issues with how the participants were blinded in a study.\n            5. PT may help reduce suicidal ideation in people with a psychiatric disorder, but more higher quality research is needed to confirm these findings.","container-title":"Therapeutic Advances in Psychopharmacology","DOI":"10.1177/20451253251372449","ISSN":"2045-1253, 2045-1261","journalAbbreviation":"Therapeutic Advances in Psychopharmacology","language":"en","page":"20451253251372449","source":"DOI.org (Crossref)","title":"Effect of psilocybin therapy on suicidal ideation, attempts, and deaths in people with psychiatric diagnoses: a systematic review and meta-analysis","title-short":"Effect of psilocybin therapy on suicidal ideation, attempts, and deaths in people with psychiatric diagnoses","volume":"15","author":[{"family":"Wong","given":"Stanley"},{"family":"Meckling","given":"Gray"},{"family":"Fabiano","given":"Nicholas"},{"family":"Lee","given":"Sanghun"},{"family":"Jones","given":"Brett D. M."},{"family":"Shorr","given":"Risa"},{"family":"Dargel","given":"Aroldo"},{"family":"Davis","given":"Alan K."},{"family":"Fiedorowicz","given":"Jess G."},{"family":"Solmi","given":"Marco"},{"family":"Rosenblat","given":"Joshua D."},{"family":"Mulsant","given":"Benoit H."},{"family":"Blumberger","given":"Daniel M."},{"family":"Husain","given":"Muhammad Ishrat"}],"issued":{"date-parts":[["2025",9]]}}}],"schema":"https://github.com/citation-style-language/schema/raw/master/csl-citation.json"} </w:instrText>
      </w:r>
      <w:r w:rsidR="00973642" w:rsidRPr="00C82703">
        <w:rPr>
          <w:rFonts w:ascii="Times New Roman" w:hAnsi="Times New Roman" w:cs="Times New Roman"/>
        </w:rPr>
        <w:fldChar w:fldCharType="separate"/>
      </w:r>
      <w:r w:rsidR="00BE6148" w:rsidRPr="00C82703">
        <w:rPr>
          <w:rFonts w:ascii="Times New Roman" w:hAnsi="Times New Roman" w:cs="Times New Roman"/>
          <w:kern w:val="0"/>
        </w:rPr>
        <w:t>(14,23,30–32)</w:t>
      </w:r>
      <w:r w:rsidR="00973642" w:rsidRPr="00C82703">
        <w:rPr>
          <w:rFonts w:ascii="Times New Roman" w:hAnsi="Times New Roman" w:cs="Times New Roman"/>
        </w:rPr>
        <w:fldChar w:fldCharType="end"/>
      </w:r>
      <w:r w:rsidRPr="00C82703">
        <w:rPr>
          <w:rFonts w:ascii="Times New Roman" w:hAnsi="Times New Roman" w:cs="Times New Roman"/>
          <w:lang w:val="fr-FR"/>
        </w:rPr>
        <w:t>.</w:t>
      </w:r>
    </w:p>
    <w:p w14:paraId="5189F983" w14:textId="77777777" w:rsidR="00E45466" w:rsidRPr="00C82703" w:rsidRDefault="003B7976" w:rsidP="00C82703">
      <w:pPr>
        <w:keepNext/>
        <w:spacing w:line="480" w:lineRule="auto"/>
        <w:jc w:val="center"/>
        <w:rPr>
          <w:rFonts w:ascii="Times New Roman" w:hAnsi="Times New Roman" w:cs="Times New Roman"/>
        </w:rPr>
      </w:pPr>
      <w:r w:rsidRPr="00C82703">
        <w:rPr>
          <w:rFonts w:ascii="Times New Roman" w:hAnsi="Times New Roman" w:cs="Times New Roman"/>
          <w:noProof/>
        </w:rPr>
        <w:lastRenderedPageBreak/>
        <w:drawing>
          <wp:inline distT="0" distB="0" distL="0" distR="0" wp14:anchorId="18C5E7E2" wp14:editId="046FC376">
            <wp:extent cx="4264230" cy="2647950"/>
            <wp:effectExtent l="0" t="0" r="3175" b="0"/>
            <wp:docPr id="9344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4649"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4" t="-1065" r="15069" b="21937"/>
                    <a:stretch>
                      <a:fillRect/>
                    </a:stretch>
                  </pic:blipFill>
                  <pic:spPr bwMode="auto">
                    <a:xfrm>
                      <a:off x="0" y="0"/>
                      <a:ext cx="4277907" cy="2656443"/>
                    </a:xfrm>
                    <a:prstGeom prst="rect">
                      <a:avLst/>
                    </a:prstGeom>
                    <a:noFill/>
                    <a:ln>
                      <a:noFill/>
                    </a:ln>
                    <a:extLst>
                      <a:ext uri="{53640926-AAD7-44D8-BBD7-CCE9431645EC}">
                        <a14:shadowObscured xmlns:a14="http://schemas.microsoft.com/office/drawing/2010/main"/>
                      </a:ext>
                    </a:extLst>
                  </pic:spPr>
                </pic:pic>
              </a:graphicData>
            </a:graphic>
          </wp:inline>
        </w:drawing>
      </w:r>
    </w:p>
    <w:p w14:paraId="220C4E90" w14:textId="7126C77A" w:rsidR="00E45466" w:rsidRPr="00776F0D" w:rsidRDefault="00E45466" w:rsidP="00C82703">
      <w:pPr>
        <w:pStyle w:val="Caption"/>
        <w:spacing w:line="480" w:lineRule="auto"/>
        <w:jc w:val="center"/>
        <w:rPr>
          <w:rFonts w:ascii="Times New Roman" w:hAnsi="Times New Roman" w:cs="Times New Roman"/>
          <w:b/>
          <w:bCs/>
          <w:color w:val="auto"/>
          <w:sz w:val="24"/>
          <w:szCs w:val="24"/>
        </w:rPr>
      </w:pPr>
      <w:r w:rsidRPr="00776F0D">
        <w:rPr>
          <w:rFonts w:ascii="Times New Roman" w:hAnsi="Times New Roman" w:cs="Times New Roman"/>
          <w:b/>
          <w:bCs/>
          <w:color w:val="auto"/>
          <w:sz w:val="24"/>
          <w:szCs w:val="24"/>
        </w:rPr>
        <w:t xml:space="preserve">Figure </w:t>
      </w:r>
      <w:r w:rsidRPr="00776F0D">
        <w:rPr>
          <w:rFonts w:ascii="Times New Roman" w:hAnsi="Times New Roman" w:cs="Times New Roman"/>
          <w:b/>
          <w:bCs/>
          <w:color w:val="auto"/>
          <w:sz w:val="24"/>
          <w:szCs w:val="24"/>
        </w:rPr>
        <w:fldChar w:fldCharType="begin"/>
      </w:r>
      <w:r w:rsidRPr="00776F0D">
        <w:rPr>
          <w:rFonts w:ascii="Times New Roman" w:hAnsi="Times New Roman" w:cs="Times New Roman"/>
          <w:b/>
          <w:bCs/>
          <w:color w:val="auto"/>
          <w:sz w:val="24"/>
          <w:szCs w:val="24"/>
        </w:rPr>
        <w:instrText xml:space="preserve"> SEQ Figure \* ARABIC </w:instrText>
      </w:r>
      <w:r w:rsidRPr="00776F0D">
        <w:rPr>
          <w:rFonts w:ascii="Times New Roman" w:hAnsi="Times New Roman" w:cs="Times New Roman"/>
          <w:b/>
          <w:bCs/>
          <w:color w:val="auto"/>
          <w:sz w:val="24"/>
          <w:szCs w:val="24"/>
        </w:rPr>
        <w:fldChar w:fldCharType="separate"/>
      </w:r>
      <w:r w:rsidR="006150E6">
        <w:rPr>
          <w:rFonts w:ascii="Times New Roman" w:hAnsi="Times New Roman" w:cs="Times New Roman"/>
          <w:b/>
          <w:bCs/>
          <w:noProof/>
          <w:color w:val="auto"/>
          <w:sz w:val="24"/>
          <w:szCs w:val="24"/>
        </w:rPr>
        <w:t>1</w:t>
      </w:r>
      <w:r w:rsidRPr="00776F0D">
        <w:rPr>
          <w:rFonts w:ascii="Times New Roman" w:hAnsi="Times New Roman" w:cs="Times New Roman"/>
          <w:b/>
          <w:bCs/>
          <w:noProof/>
          <w:color w:val="auto"/>
          <w:sz w:val="24"/>
          <w:szCs w:val="24"/>
        </w:rPr>
        <w:fldChar w:fldCharType="end"/>
      </w:r>
      <w:r w:rsidRPr="00776F0D">
        <w:rPr>
          <w:rFonts w:ascii="Times New Roman" w:hAnsi="Times New Roman" w:cs="Times New Roman"/>
          <w:b/>
          <w:bCs/>
          <w:color w:val="auto"/>
          <w:sz w:val="24"/>
          <w:szCs w:val="24"/>
        </w:rPr>
        <w:t>. Directed Acyclic Graph showing the assumed relationship between variables in the cohort study.</w:t>
      </w:r>
    </w:p>
    <w:p w14:paraId="518D5D91" w14:textId="112AEB2B" w:rsidR="003B7976" w:rsidRPr="00C82703" w:rsidRDefault="00E45466" w:rsidP="00CD54D5">
      <w:pPr>
        <w:spacing w:line="480" w:lineRule="auto"/>
        <w:ind w:firstLine="720"/>
        <w:rPr>
          <w:rFonts w:ascii="Times New Roman" w:hAnsi="Times New Roman" w:cs="Times New Roman"/>
        </w:rPr>
      </w:pPr>
      <w:r w:rsidRPr="00C82703">
        <w:rPr>
          <w:rFonts w:ascii="Times New Roman" w:hAnsi="Times New Roman" w:cs="Times New Roman"/>
        </w:rPr>
        <w:t>The temporal relationship between variables also risks confounding. For example, a few respondents selected their last consumption was “in the past week” while the outcome asks about the past 30 days. However, we worked under the assumption that the exposure preceded the outcome because an early exposure may have occurred for these participants</w:t>
      </w:r>
      <w:r w:rsidR="00CF07DC" w:rsidRPr="00C82703">
        <w:rPr>
          <w:rFonts w:ascii="Times New Roman" w:hAnsi="Times New Roman" w:cs="Times New Roman"/>
        </w:rPr>
        <w:t xml:space="preserve"> because they reported multiple doses during the last year in all cases</w:t>
      </w:r>
      <w:r w:rsidRPr="00C82703">
        <w:rPr>
          <w:rFonts w:ascii="Times New Roman" w:hAnsi="Times New Roman" w:cs="Times New Roman"/>
        </w:rPr>
        <w:t>. Finally, it is also possible for some participants to first have tried psilocybin before other prescribed psychiatric drug (as this question was asked concurrently). However, we worked under the assumption that past psychiatric use led to psilocybin use based on the structure of the special access program and the broader language used to ask about prescription medication</w:t>
      </w:r>
      <w:r w:rsidR="00CF07DC" w:rsidRPr="00C82703">
        <w:rPr>
          <w:rFonts w:ascii="Times New Roman" w:hAnsi="Times New Roman" w:cs="Times New Roman"/>
        </w:rPr>
        <w:t xml:space="preserve"> (“ever used”)</w:t>
      </w:r>
      <w:r w:rsidRPr="00C82703">
        <w:rPr>
          <w:rFonts w:ascii="Times New Roman" w:hAnsi="Times New Roman" w:cs="Times New Roman"/>
        </w:rPr>
        <w:t>.</w:t>
      </w:r>
    </w:p>
    <w:p w14:paraId="31C77683" w14:textId="68A62357"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Statistical methods</w:t>
      </w:r>
    </w:p>
    <w:p w14:paraId="21A3F7FB" w14:textId="3F7033D5" w:rsidR="008B607C" w:rsidRPr="00C82703" w:rsidRDefault="008B607C" w:rsidP="00C82703">
      <w:pPr>
        <w:spacing w:line="480" w:lineRule="auto"/>
        <w:rPr>
          <w:rFonts w:ascii="Times New Roman" w:hAnsi="Times New Roman" w:cs="Times New Roman"/>
        </w:rPr>
      </w:pPr>
      <w:r w:rsidRPr="00C82703">
        <w:rPr>
          <w:rFonts w:ascii="Times New Roman" w:hAnsi="Times New Roman" w:cs="Times New Roman"/>
        </w:rPr>
        <w:t xml:space="preserve">All statistical analyses were performed using R version 4.5.1 </w:t>
      </w:r>
      <w:r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{"citationID":"c68WvCUt","properties":{"formattedCitation":"(33)","plainCitation":"(33)","noteIndex":0},"citationItems":[{"id":383,"uris":["http://zotero.org/users/1546863/items/C874ZF4T"],"itemData":{"id":383,"type":"book","event-place":"Vienna,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Pr="00C82703">
        <w:rPr>
          <w:rFonts w:ascii="Times New Roman" w:hAnsi="Times New Roman" w:cs="Times New Roman"/>
        </w:rPr>
        <w:fldChar w:fldCharType="separate"/>
      </w:r>
      <w:r w:rsidR="00BE6148" w:rsidRPr="00C82703">
        <w:rPr>
          <w:rFonts w:ascii="Times New Roman" w:hAnsi="Times New Roman" w:cs="Times New Roman"/>
        </w:rPr>
        <w:t>(33)</w:t>
      </w:r>
      <w:r w:rsidRPr="00C82703">
        <w:rPr>
          <w:rFonts w:ascii="Times New Roman" w:hAnsi="Times New Roman" w:cs="Times New Roman"/>
        </w:rPr>
        <w:fldChar w:fldCharType="end"/>
      </w:r>
      <w:r w:rsidRPr="00C82703">
        <w:rPr>
          <w:rFonts w:ascii="Times New Roman" w:hAnsi="Times New Roman" w:cs="Times New Roman"/>
        </w:rPr>
        <w:t xml:space="preserve">. Data about psilocybin use was described using counts and proportions. </w:t>
      </w:r>
      <w:r w:rsidR="00963F7E" w:rsidRPr="00C82703">
        <w:rPr>
          <w:rFonts w:ascii="Times New Roman" w:hAnsi="Times New Roman" w:cs="Times New Roman"/>
        </w:rPr>
        <w:t xml:space="preserve">Differences between exposed and unexposed groups </w:t>
      </w:r>
      <w:r w:rsidR="00963F7E" w:rsidRPr="00C82703">
        <w:rPr>
          <w:rFonts w:ascii="Times New Roman" w:hAnsi="Times New Roman" w:cs="Times New Roman"/>
        </w:rPr>
        <w:lastRenderedPageBreak/>
        <w:t xml:space="preserve">were inspected using chi-square and t-tests. </w:t>
      </w:r>
      <w:r w:rsidRPr="00C82703">
        <w:rPr>
          <w:rFonts w:ascii="Times New Roman" w:hAnsi="Times New Roman" w:cs="Times New Roman"/>
        </w:rPr>
        <w:t>Given o</w:t>
      </w:r>
      <w:r w:rsidR="00CB6CF2" w:rsidRPr="00C82703">
        <w:rPr>
          <w:rFonts w:ascii="Times New Roman" w:hAnsi="Times New Roman" w:cs="Times New Roman"/>
        </w:rPr>
        <w:t>nly one</w:t>
      </w:r>
      <w:r w:rsidR="00963F7E" w:rsidRPr="00C82703">
        <w:rPr>
          <w:rFonts w:ascii="Times New Roman" w:hAnsi="Times New Roman" w:cs="Times New Roman"/>
        </w:rPr>
        <w:t xml:space="preserve"> </w:t>
      </w:r>
      <w:r w:rsidR="00CB6CF2" w:rsidRPr="00C82703">
        <w:rPr>
          <w:rFonts w:ascii="Times New Roman" w:hAnsi="Times New Roman" w:cs="Times New Roman"/>
        </w:rPr>
        <w:t xml:space="preserve">participant tried psilocybin during </w:t>
      </w:r>
      <w:r w:rsidR="009650E6" w:rsidRPr="00C82703">
        <w:rPr>
          <w:rFonts w:ascii="Times New Roman" w:hAnsi="Times New Roman" w:cs="Times New Roman"/>
        </w:rPr>
        <w:t>W</w:t>
      </w:r>
      <w:r w:rsidR="00CB6CF2" w:rsidRPr="00C82703">
        <w:rPr>
          <w:rFonts w:ascii="Times New Roman" w:hAnsi="Times New Roman" w:cs="Times New Roman"/>
        </w:rPr>
        <w:t>ave 3</w:t>
      </w:r>
      <w:r w:rsidR="00963F7E" w:rsidRPr="00C82703">
        <w:rPr>
          <w:rFonts w:ascii="Times New Roman" w:hAnsi="Times New Roman" w:cs="Times New Roman"/>
        </w:rPr>
        <w:t xml:space="preserve"> for the first time</w:t>
      </w:r>
      <w:r w:rsidR="00CB6CF2" w:rsidRPr="00C82703">
        <w:rPr>
          <w:rFonts w:ascii="Times New Roman" w:hAnsi="Times New Roman" w:cs="Times New Roman"/>
        </w:rPr>
        <w:t xml:space="preserve">, we chose to use data from </w:t>
      </w:r>
      <w:r w:rsidR="009650E6" w:rsidRPr="00C82703">
        <w:rPr>
          <w:rFonts w:ascii="Times New Roman" w:hAnsi="Times New Roman" w:cs="Times New Roman"/>
        </w:rPr>
        <w:t>W</w:t>
      </w:r>
      <w:r w:rsidR="00CB6CF2" w:rsidRPr="00C82703">
        <w:rPr>
          <w:rFonts w:ascii="Times New Roman" w:hAnsi="Times New Roman" w:cs="Times New Roman"/>
        </w:rPr>
        <w:t xml:space="preserve">aves 1 and 2 to estimate the effect of psilocybin use on psychological distress. </w:t>
      </w:r>
    </w:p>
    <w:p w14:paraId="4CD27EFC" w14:textId="517D71F6" w:rsidR="0035086C" w:rsidRPr="00C82703" w:rsidRDefault="001535CC" w:rsidP="00CD54D5">
      <w:pPr>
        <w:spacing w:line="480" w:lineRule="auto"/>
        <w:ind w:firstLine="720"/>
        <w:rPr>
          <w:rFonts w:ascii="Times New Roman" w:hAnsi="Times New Roman" w:cs="Times New Roman"/>
        </w:rPr>
      </w:pPr>
      <w:r w:rsidRPr="00C82703">
        <w:rPr>
          <w:rFonts w:ascii="Times New Roman" w:hAnsi="Times New Roman" w:cs="Times New Roman"/>
        </w:rPr>
        <w:t>Several analytical approaches were tested to ensure robustness and account for both observed and unobserved confounding. First, w</w:t>
      </w:r>
      <w:r w:rsidR="00CB6CF2" w:rsidRPr="00C82703">
        <w:rPr>
          <w:rFonts w:ascii="Times New Roman" w:hAnsi="Times New Roman" w:cs="Times New Roman"/>
        </w:rPr>
        <w:t>e fitted a lagged dependent variable (LDV) model</w:t>
      </w:r>
      <w:r w:rsidRPr="00C82703">
        <w:rPr>
          <w:rFonts w:ascii="Times New Roman" w:hAnsi="Times New Roman" w:cs="Times New Roman"/>
        </w:rPr>
        <w:t xml:space="preserve"> in a wide format dataset</w:t>
      </w:r>
      <w:r w:rsidR="00CB6CF2" w:rsidRPr="00C82703">
        <w:rPr>
          <w:rFonts w:ascii="Times New Roman" w:hAnsi="Times New Roman" w:cs="Times New Roman"/>
        </w:rPr>
        <w:t xml:space="preserve">, adjusting for </w:t>
      </w:r>
      <w:r w:rsidR="00CF07DC" w:rsidRPr="00C82703">
        <w:rPr>
          <w:rFonts w:ascii="Times New Roman" w:hAnsi="Times New Roman" w:cs="Times New Roman"/>
        </w:rPr>
        <w:t xml:space="preserve">the K6 score at baseline </w:t>
      </w:r>
      <w:r w:rsidR="00CB6CF2" w:rsidRPr="00C82703">
        <w:rPr>
          <w:rFonts w:ascii="Times New Roman" w:hAnsi="Times New Roman" w:cs="Times New Roman"/>
        </w:rPr>
        <w:t>and time-invariant covariates (i.e., age, gender, and education)</w:t>
      </w:r>
      <w:r w:rsidR="00CF07DC" w:rsidRPr="00C82703">
        <w:rPr>
          <w:rFonts w:ascii="Times New Roman" w:hAnsi="Times New Roman" w:cs="Times New Roman"/>
        </w:rPr>
        <w:t>. These set of covariates provided sufficient adjustment to prevent bias based on observables covariates</w:t>
      </w:r>
      <w:r w:rsidR="00B35948" w:rsidRPr="00C82703">
        <w:rPr>
          <w:rFonts w:ascii="Times New Roman" w:hAnsi="Times New Roman" w:cs="Times New Roman"/>
        </w:rPr>
        <w:t xml:space="preserve"> </w:t>
      </w:r>
      <w:r w:rsidR="00B35948"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{"citationID":"eA8Y6M3W","properties":{"formattedCitation":"(34)","plainCitation":"(34)","noteIndex":0},"citationItems":[{"id":1191,"uris":["http://zotero.org/users/1546863/items/KIVE2E32"],"itemData":{"id":1191,"type":"article-journal","abstract":"Abstract\n            \n              Motivation\n              Directed acyclic graphs (DAGs) are causal diagrams that can be used to identify confounding or selection bias in observational studies, and are increasingly used in many areas of medical research. In the add-on package dagR for the statistical software R, a set of simple graphical rules was implemented to identify minimal sufficient adjustment sets or harmful adjustment.\n            \n            \n              General features\n              The dagR package allows an automated approach for realistic causal structures featuring numerous variables and dependencies, where a manual approach may be too tedious and error-prone. The algorithmic adherence to the graphical step-by-step approach often used in DAG theory introductory courses, together with functionalities for plotting and simulating data conforming to the causal structure of an arbitrary DAG, renders the dagR package particularly useful for both teaching purposes and methodological research.\n            \n            \n              Availability\n              dagR is available under the GNU general public licence (GPL-2) from within R or by download at [https://CRAN-R-project.org/package=dagR].","container-title":"International Journal of Epidemiology","DOI":"10.1093/ije/dyab167","ISSN":"0300-5771, 1464-3685","issue":"6","language":"en","license":"https://academic.oup.com/journals/pages/open_access/funder_policies/chorus/standard_publication_model","page":"1772-1777","source":"DOI.org (Crossref)","title":"Using dagR to identify minimal sufficient adjustment sets and to simulate data based on directed acyclic graphs","volume":"50","author":[{"family":"Breitling","given":"Lutz P"},{"family":"Duan","given":"Chongyang"},{"family":"Dragomir","given":"Anca D"},{"family":"Luta","given":"George"}],"issued":{"date-parts":[["2022",1,6]]}}}],"schema":"https://github.com/citation-style-language/schema/raw/master/csl-citation.json"} </w:instrText>
      </w:r>
      <w:r w:rsidR="00B35948" w:rsidRPr="00C82703">
        <w:rPr>
          <w:rFonts w:ascii="Times New Roman" w:hAnsi="Times New Roman" w:cs="Times New Roman"/>
        </w:rPr>
        <w:fldChar w:fldCharType="separate"/>
      </w:r>
      <w:r w:rsidR="00BE6148" w:rsidRPr="00C82703">
        <w:rPr>
          <w:rFonts w:ascii="Times New Roman" w:hAnsi="Times New Roman" w:cs="Times New Roman"/>
        </w:rPr>
        <w:t>(34)</w:t>
      </w:r>
      <w:r w:rsidR="00B35948" w:rsidRPr="00C82703">
        <w:rPr>
          <w:rFonts w:ascii="Times New Roman" w:hAnsi="Times New Roman" w:cs="Times New Roman"/>
        </w:rPr>
        <w:fldChar w:fldCharType="end"/>
      </w:r>
      <w:r w:rsidR="00CB6CF2" w:rsidRPr="00C82703">
        <w:rPr>
          <w:rFonts w:ascii="Times New Roman" w:hAnsi="Times New Roman" w:cs="Times New Roman"/>
        </w:rPr>
        <w:t xml:space="preserve">. </w:t>
      </w:r>
      <w:r w:rsidR="00A33B3D" w:rsidRPr="00C82703">
        <w:rPr>
          <w:rFonts w:ascii="Times New Roman" w:hAnsi="Times New Roman" w:cs="Times New Roman"/>
        </w:rPr>
        <w:t xml:space="preserve"> </w:t>
      </w:r>
      <w:r w:rsidR="0035086C" w:rsidRPr="00C82703">
        <w:rPr>
          <w:rFonts w:ascii="Times New Roman" w:hAnsi="Times New Roman" w:cs="Times New Roman"/>
        </w:rPr>
        <w:t xml:space="preserve">LDV is useful when allocation is based on real-world effect rather than randomization and the method of choice above alternatives like change in scores when the outcome at baseline is a competing exposure </w:t>
      </w:r>
      <w:r w:rsidR="0035086C"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{"citationID":"CLqipV9Y","properties":{"formattedCitation":"(35,36)","plainCitation":"(35,36)","noteIndex":0},"citationItems":[{"id":1073,"uris":["http://zotero.org/users/1546863/items/X8Y4JU79"],"itemData":{"id":1073,"type":"article-journal","abstract":"A lagged dependent variable in an OLS regression is often used as a means of capturing dynamic effects in political processes and as a method for ridding the model of autocorrelation. But recent work contends that the lagged dependent variable specification is too problematic for use in most situations. More specifically, if residual autocorrelation is present, the lagged dependent variable causes the coefficients for explanatory variables to be biased downward. We use a Monte Carlo analysis to assess empirically how much bias is present when a lagged dependent variable is used under a wide variety of circumstances. In our analysis, we compare the performance of the lagged dependent variable model to several other time series models. We show that while the lagged dependent variable is inappropriate in some circumstances, it remains an appropriate model for the dynamic theories often tested by applied analysts. From the analysis, we develop several practical suggestions on when and how to use lagged dependent variables on the right-hand side of a model.","container-title":"Political Analysis","ISSN":"10471987, 14764989","issue":"2","note":"publisher: [Oxford University Press, Society for Political Methodology]","page":"186–205","title":"Dynamic Models for Dynamic Theories: The Ins and Outs of Lagged Dependent Variables","volume":"14","author":[{"family":"Keele","given":"Luke"},{"family":"Kelly","given":"Nathan J."}],"issued":{"date-parts":[["2006"]]}}},{"id":1071,"uris":["http://zotero.org/users/1546863/items/7IVFAU4W"],"itemData":{"id":1071,"type":"article-journal","abstract":"Abstract\n            \n              Background\n              In longitudinal data, it is common to create ‘change scores’ by subtracting measurements taken at baseline from those taken at follow-up, and then to analyse the resulting ‘change’ as the outcome variable. In observational data, this approach can produce misleading causal-effect estimates. The present article uses directed acyclic graphs (DAGs) and simple simulations to provide an accessible explanation for why change scores do not estimate causal effects in observational data.\n            \n            \n              Methods\n              Data were simulated to match three general scenarios in which the outcome variable at baseline was a (i) ‘competing exposure’ (i.e. a cause of the outcome that is neither caused by nor causes the exposure), (ii) confounder or (iii) mediator for the total causal effect of the exposure variable at baseline on the outcome variable at follow-up. Regression coefficients were compared between change-score analyses and the appropriate estimator(s) for the total and/or direct causal effect(s).\n            \n            \n              Results\n              Change-score analyses do not provide meaningful causal-effect estimates unless the baseline outcome variable is a ‘competing exposure’ for the effect of the exposure on the outcome at follow-up. Where the baseline outcome is a confounder or mediator, change-score analyses evaluate obscure estimands, which may diverge substantially in magnitude and direction from the total and direct causal effects.\n            \n            \n              Conclusion\n              Future observational studies that seek causal-effect estimates should avoid analysing change scores and adopt alternative analytical strategies.","container-title":"International Journal of Epidemiology","DOI":"10.1093/ije/dyab050","ISSN":"0300-5771, 1464-3685","issue":"5","language":"en","license":"https://creativecommons.org/licenses/by/4.0/","page":"1604-1615","source":"DOI.org (Crossref)","title":"Analyses of ‘change scores’ do not estimate causal effects in observational data","volume":"51","author":[{"family":"Tennant","given":"Peter W G"},{"family":"Arnold","given":"Kellyn F"},{"family":"Ellison","given":"George T H"},{"family":"Gilthorpe","given":"Mark S"}],"issued":{"date-parts":[["2022",10,13]]}}}],"schema":"https://github.com/citation-style-language/schema/raw/master/csl-citation.json"} </w:instrText>
      </w:r>
      <w:r w:rsidR="0035086C" w:rsidRPr="00C82703">
        <w:rPr>
          <w:rFonts w:ascii="Times New Roman" w:hAnsi="Times New Roman" w:cs="Times New Roman"/>
        </w:rPr>
        <w:fldChar w:fldCharType="separate"/>
      </w:r>
      <w:r w:rsidR="00BE6148" w:rsidRPr="00C82703">
        <w:rPr>
          <w:rFonts w:ascii="Times New Roman" w:hAnsi="Times New Roman" w:cs="Times New Roman"/>
        </w:rPr>
        <w:t>(35,36)</w:t>
      </w:r>
      <w:r w:rsidR="0035086C" w:rsidRPr="00C82703">
        <w:rPr>
          <w:rFonts w:ascii="Times New Roman" w:hAnsi="Times New Roman" w:cs="Times New Roman"/>
        </w:rPr>
        <w:fldChar w:fldCharType="end"/>
      </w:r>
      <w:r w:rsidR="0035086C" w:rsidRPr="00C82703">
        <w:rPr>
          <w:rFonts w:ascii="Times New Roman" w:hAnsi="Times New Roman" w:cs="Times New Roman"/>
        </w:rPr>
        <w:t>.</w:t>
      </w:r>
    </w:p>
    <w:p w14:paraId="49528E6C" w14:textId="2333EF19" w:rsidR="001535CC" w:rsidRPr="00C82703" w:rsidRDefault="001535CC" w:rsidP="00CD54D5">
      <w:pPr>
        <w:spacing w:line="480" w:lineRule="auto"/>
        <w:ind w:firstLine="720"/>
        <w:rPr>
          <w:rFonts w:ascii="Times New Roman" w:hAnsi="Times New Roman" w:cs="Times New Roman"/>
        </w:rPr>
      </w:pPr>
      <w:r w:rsidRPr="00C82703">
        <w:rPr>
          <w:rFonts w:ascii="Times New Roman" w:hAnsi="Times New Roman" w:cs="Times New Roman"/>
        </w:rPr>
        <w:t xml:space="preserve">Second, we used </w:t>
      </w:r>
      <w:r w:rsidR="00963F7E" w:rsidRPr="00C82703">
        <w:rPr>
          <w:rFonts w:ascii="Times New Roman" w:hAnsi="Times New Roman" w:cs="Times New Roman"/>
        </w:rPr>
        <w:t xml:space="preserve">an inverse probability of treatment weighting approach, </w:t>
      </w:r>
      <w:r w:rsidRPr="00C82703">
        <w:rPr>
          <w:rFonts w:ascii="Times New Roman" w:hAnsi="Times New Roman" w:cs="Times New Roman"/>
        </w:rPr>
        <w:t>predict</w:t>
      </w:r>
      <w:r w:rsidR="00963F7E" w:rsidRPr="00C82703">
        <w:rPr>
          <w:rFonts w:ascii="Times New Roman" w:hAnsi="Times New Roman" w:cs="Times New Roman"/>
        </w:rPr>
        <w:t>ing</w:t>
      </w:r>
      <w:r w:rsidRPr="00C82703">
        <w:rPr>
          <w:rFonts w:ascii="Times New Roman" w:hAnsi="Times New Roman" w:cs="Times New Roman"/>
        </w:rPr>
        <w:t xml:space="preserve"> the exposure </w:t>
      </w:r>
      <w:r w:rsidR="00CF07DC" w:rsidRPr="00C82703">
        <w:rPr>
          <w:rFonts w:ascii="Times New Roman" w:hAnsi="Times New Roman" w:cs="Times New Roman"/>
        </w:rPr>
        <w:t xml:space="preserve">based on the same set of covariates, essentially creating a pseudo-population in which the exposure is independent of </w:t>
      </w:r>
      <w:r w:rsidR="00963F7E" w:rsidRPr="00C82703">
        <w:rPr>
          <w:rFonts w:ascii="Times New Roman" w:hAnsi="Times New Roman" w:cs="Times New Roman"/>
        </w:rPr>
        <w:t>them</w:t>
      </w:r>
      <w:r w:rsidR="00CF07DC" w:rsidRPr="00C82703">
        <w:rPr>
          <w:rFonts w:ascii="Times New Roman" w:hAnsi="Times New Roman" w:cs="Times New Roman"/>
        </w:rPr>
        <w:t>. Extreme weights (</w:t>
      </w:r>
      <w:r w:rsidR="00963F7E" w:rsidRPr="00C82703">
        <w:rPr>
          <w:rFonts w:ascii="Times New Roman" w:hAnsi="Times New Roman" w:cs="Times New Roman"/>
        </w:rPr>
        <w:t>&gt;</w:t>
      </w:r>
      <w:r w:rsidR="00CF07DC" w:rsidRPr="00C82703">
        <w:rPr>
          <w:rFonts w:ascii="Times New Roman" w:hAnsi="Times New Roman" w:cs="Times New Roman"/>
        </w:rPr>
        <w:t>99</w:t>
      </w:r>
      <w:r w:rsidR="00CF07DC" w:rsidRPr="00C82703">
        <w:rPr>
          <w:rFonts w:ascii="Times New Roman" w:hAnsi="Times New Roman" w:cs="Times New Roman"/>
          <w:vertAlign w:val="superscript"/>
        </w:rPr>
        <w:t>th</w:t>
      </w:r>
      <w:r w:rsidR="00CF07DC" w:rsidRPr="00C82703">
        <w:rPr>
          <w:rFonts w:ascii="Times New Roman" w:hAnsi="Times New Roman" w:cs="Times New Roman"/>
        </w:rPr>
        <w:t xml:space="preserve"> percentile) were trimmed to prevent instability</w:t>
      </w:r>
      <w:r w:rsidR="00963F7E" w:rsidRPr="00C82703">
        <w:rPr>
          <w:rFonts w:ascii="Times New Roman" w:hAnsi="Times New Roman" w:cs="Times New Roman"/>
        </w:rPr>
        <w:t xml:space="preserve"> </w:t>
      </w:r>
      <w:r w:rsidR="00963F7E"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{"citationID":"8vTPuHTj","properties":{"formattedCitation":"(37)","plainCitation":"(37)","noteIndex":0},"citationItems":[{"id":1076,"uris":["http://zotero.org/users/1546863/items/TVFBG3V3"],"itemData":{"id":1076,"type":"article-journal","abstract":"The propensity score is defined as a subject's probability of treatment selection, conditional on observed baseline covariates. Weighting subjects by the inverse probability of treatment received creates a synthetic sample in which treatment assignment is independent of measured baseline covariates. Inverse probability of treatment weighting (IPTW) using the propensity score allows one to obtain unbiased estimates of average treatment effects. However, these estimates are only valid if there are no residual systematic differences in observed baseline characteristics between treated and control subjects in the sample weighted by the estimated inverse probability of treatment. We report on a systematic literature review, in which we found that the use of IPTW has increased rapidly in recent years, but that in the most recent year, a majority of studies did not formally examine whether weighting balanced measured covariates between treatment groups. We then proceed to describe a suite of quantitative and qualitative methods that allow one to assess whether measured baseline covariates are balanced between treatment groups in the weighted sample. The quantitative methods use the weighted standardized difference to compare means, prevalences, higher‐order moments, and interactions. The qualitative methods employ graphical methods to compare the distribution of continuous baseline covariates between treated and control subjects in the weighted sample. Finally, we illustrate the application of these methods in an empirical case study. We propose a formal set of balance diagnostics that contribute towards an evolving concept of ‘best practice’ when using IPTW to estimate causal treatment effects using observational data. © 2015 The Authors. Statistics in Medicine Published by John Wiley &amp; Sons Ltd.","container-title":"Statistics in Medicine","DOI":"10.1002/sim.6607","ISSN":"0277-6715, 1097-0258","issue":"28","journalAbbreviation":"Statistics in Medicine","language":"en","license":"http://creativecommons.org/licenses/by-nc-nd/4.0/","page":"3661-3679","source":"DOI.org (Crossref)","title":"Moving towards best practice when using inverse probability of treatment weighting (IPTW) using the propensity score to estimate causal treatment effects in observational studies","volume":"34","author":[{"family":"Austin","given":"Peter C."},{"family":"Stuart","given":"Elizabeth A."}],"issued":{"date-parts":[["2015",12,10]]}}}],"schema":"https://github.com/citation-style-language/schema/raw/master/csl-citation.json"} </w:instrText>
      </w:r>
      <w:r w:rsidR="00963F7E" w:rsidRPr="00C82703">
        <w:rPr>
          <w:rFonts w:ascii="Times New Roman" w:hAnsi="Times New Roman" w:cs="Times New Roman"/>
        </w:rPr>
        <w:fldChar w:fldCharType="separate"/>
      </w:r>
      <w:r w:rsidR="00BE6148" w:rsidRPr="00C82703">
        <w:rPr>
          <w:rFonts w:ascii="Times New Roman" w:hAnsi="Times New Roman" w:cs="Times New Roman"/>
        </w:rPr>
        <w:t>(37)</w:t>
      </w:r>
      <w:r w:rsidR="00963F7E" w:rsidRPr="00C82703">
        <w:rPr>
          <w:rFonts w:ascii="Times New Roman" w:hAnsi="Times New Roman" w:cs="Times New Roman"/>
        </w:rPr>
        <w:fldChar w:fldCharType="end"/>
      </w:r>
      <w:r w:rsidR="00963F7E" w:rsidRPr="00C82703">
        <w:rPr>
          <w:rFonts w:ascii="Times New Roman" w:hAnsi="Times New Roman" w:cs="Times New Roman"/>
        </w:rPr>
        <w:t>.</w:t>
      </w:r>
      <w:r w:rsidRPr="00C82703">
        <w:rPr>
          <w:rFonts w:ascii="Times New Roman" w:hAnsi="Times New Roman" w:cs="Times New Roman"/>
        </w:rPr>
        <w:t xml:space="preserve"> Finally,</w:t>
      </w:r>
      <w:r w:rsidR="00794B3D" w:rsidRPr="00C82703">
        <w:rPr>
          <w:rFonts w:ascii="Times New Roman" w:hAnsi="Times New Roman" w:cs="Times New Roman"/>
        </w:rPr>
        <w:t xml:space="preserve"> we</w:t>
      </w:r>
      <w:r w:rsidRPr="00C82703">
        <w:rPr>
          <w:rFonts w:ascii="Times New Roman" w:hAnsi="Times New Roman" w:cs="Times New Roman"/>
        </w:rPr>
        <w:t xml:space="preserve"> fit a fixed-effects models </w:t>
      </w:r>
      <w:r w:rsidR="00963F7E" w:rsidRPr="00C82703">
        <w:rPr>
          <w:rFonts w:ascii="Times New Roman" w:hAnsi="Times New Roman" w:cs="Times New Roman"/>
        </w:rPr>
        <w:t>in long-form data, therefore adjusting</w:t>
      </w:r>
      <w:r w:rsidRPr="00C82703">
        <w:rPr>
          <w:rFonts w:ascii="Times New Roman" w:hAnsi="Times New Roman" w:cs="Times New Roman"/>
        </w:rPr>
        <w:t xml:space="preserve"> for all time-invariant unobserved confounders through within-person estimates.</w:t>
      </w:r>
      <w:r w:rsidR="00963F7E" w:rsidRPr="00C82703">
        <w:rPr>
          <w:rFonts w:ascii="Times New Roman" w:hAnsi="Times New Roman" w:cs="Times New Roman"/>
        </w:rPr>
        <w:t xml:space="preserve"> </w:t>
      </w:r>
    </w:p>
    <w:p w14:paraId="2719468F" w14:textId="518C4D3C" w:rsidR="001535CC" w:rsidRPr="00C82703" w:rsidRDefault="00794B3D" w:rsidP="00CD54D5">
      <w:pPr>
        <w:spacing w:line="480" w:lineRule="auto"/>
        <w:ind w:firstLine="720"/>
        <w:rPr>
          <w:rFonts w:ascii="Times New Roman" w:hAnsi="Times New Roman" w:cs="Times New Roman"/>
        </w:rPr>
      </w:pPr>
      <w:r w:rsidRPr="00C82703">
        <w:rPr>
          <w:rFonts w:ascii="Times New Roman" w:hAnsi="Times New Roman" w:cs="Times New Roman"/>
        </w:rPr>
        <w:t>For our secondary objective, we analyzed the distribution of K6 psychological distress scores over time by intervention status using the Friedman non-parametric test, followed by a Durbin–Conover test for group-wise comparison</w:t>
      </w:r>
      <w:r w:rsidR="004C4899" w:rsidRPr="00C82703">
        <w:rPr>
          <w:rFonts w:ascii="Times New Roman" w:hAnsi="Times New Roman" w:cs="Times New Roman"/>
        </w:rPr>
        <w:t xml:space="preserve"> </w:t>
      </w:r>
      <w:r w:rsidR="004C4899"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{"citationID":"V9Ar0lub","properties":{"formattedCitation":"(38)","plainCitation":"(38)","noteIndex":0},"citationItems":[{"id":1078,"uris":["http://zotero.org/users/1546863/items/2D4U8DMH"],"itemData":{"id":1078,"type":"report","note":"DOI: 10.2172/6057803","number":"LA-7677-MS, 6057803","page":"LA-7677-MS, 6057803","source":"DOI.org (Crossref)","title":"Multiple-comparisons procedures. Informal report","URL":"https://www.osti.gov/servlets/purl/6057803/","author":[{"family":"Conover","given":"W"},{"family":"Iman","given":"R"}],"accessed":{"date-parts":[["2025",10,23]]},"issued":{"date-parts":[["1979",2,1]]}}}],"schema":"https://github.com/citation-style-language/schema/raw/master/csl-citation.json"} </w:instrText>
      </w:r>
      <w:r w:rsidR="004C4899" w:rsidRPr="00C82703">
        <w:rPr>
          <w:rFonts w:ascii="Times New Roman" w:hAnsi="Times New Roman" w:cs="Times New Roman"/>
        </w:rPr>
        <w:fldChar w:fldCharType="separate"/>
      </w:r>
      <w:r w:rsidR="00BE6148" w:rsidRPr="00C82703">
        <w:rPr>
          <w:rFonts w:ascii="Times New Roman" w:hAnsi="Times New Roman" w:cs="Times New Roman"/>
        </w:rPr>
        <w:t>(38)</w:t>
      </w:r>
      <w:r w:rsidR="004C4899" w:rsidRPr="00C82703">
        <w:rPr>
          <w:rFonts w:ascii="Times New Roman" w:hAnsi="Times New Roman" w:cs="Times New Roman"/>
        </w:rPr>
        <w:fldChar w:fldCharType="end"/>
      </w:r>
      <w:r w:rsidRPr="00C82703">
        <w:rPr>
          <w:rFonts w:ascii="Times New Roman" w:hAnsi="Times New Roman" w:cs="Times New Roman"/>
        </w:rPr>
        <w:t>. Compared periods, therefore, accounted for repeated measurements within participants. The non-parametric alternative was chosen given the small number of participants who had been treated and reported data for all three waves.</w:t>
      </w:r>
    </w:p>
    <w:p w14:paraId="4A0D6905" w14:textId="1B3B64EB" w:rsidR="0000343F" w:rsidRPr="00CD54D5" w:rsidRDefault="00EA309F"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Results</w:t>
      </w:r>
    </w:p>
    <w:p w14:paraId="33E92ADD" w14:textId="28C5DB1A"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Participants</w:t>
      </w:r>
    </w:p>
    <w:p w14:paraId="0532618D" w14:textId="3349840F" w:rsidR="006D23F3" w:rsidRPr="00C82703" w:rsidRDefault="006D23F3" w:rsidP="00C82703">
      <w:pPr>
        <w:spacing w:line="480" w:lineRule="auto"/>
        <w:rPr>
          <w:rFonts w:ascii="Times New Roman" w:hAnsi="Times New Roman" w:cs="Times New Roman"/>
        </w:rPr>
      </w:pPr>
      <w:r w:rsidRPr="00C82703">
        <w:rPr>
          <w:rFonts w:ascii="Times New Roman" w:hAnsi="Times New Roman" w:cs="Times New Roman"/>
        </w:rPr>
        <w:t xml:space="preserve">Among 1,249 participants in the Tips and Recommendations for the Ingestion of Psilocybin study, 540 consented to follow-up and provided valid responses for </w:t>
      </w:r>
      <w:r w:rsidR="009650E6" w:rsidRPr="00C82703">
        <w:rPr>
          <w:rFonts w:ascii="Times New Roman" w:hAnsi="Times New Roman" w:cs="Times New Roman"/>
        </w:rPr>
        <w:t>W</w:t>
      </w:r>
      <w:r w:rsidRPr="00C82703">
        <w:rPr>
          <w:rFonts w:ascii="Times New Roman" w:hAnsi="Times New Roman" w:cs="Times New Roman"/>
        </w:rPr>
        <w:t>ave 2, therefore constituting the original cohort</w:t>
      </w:r>
      <w:r w:rsidR="004C4899" w:rsidRPr="00C82703">
        <w:rPr>
          <w:rFonts w:ascii="Times New Roman" w:hAnsi="Times New Roman" w:cs="Times New Roman"/>
        </w:rPr>
        <w:t xml:space="preserve"> for the broader study</w:t>
      </w:r>
      <w:r w:rsidRPr="00C82703">
        <w:rPr>
          <w:rFonts w:ascii="Times New Roman" w:hAnsi="Times New Roman" w:cs="Times New Roman"/>
        </w:rPr>
        <w:t>.</w:t>
      </w:r>
      <w:r w:rsidR="00BF7FA6" w:rsidRPr="00C82703">
        <w:rPr>
          <w:rFonts w:ascii="Times New Roman" w:hAnsi="Times New Roman" w:cs="Times New Roman"/>
        </w:rPr>
        <w:t xml:space="preserve"> </w:t>
      </w:r>
      <w:r w:rsidRPr="00C82703">
        <w:rPr>
          <w:rFonts w:ascii="Times New Roman" w:hAnsi="Times New Roman" w:cs="Times New Roman"/>
        </w:rPr>
        <w:t>We sampled a subset of 110 respondents who, based on their responses through all waves of the survey, had never used psilocybin</w:t>
      </w:r>
      <w:r w:rsidR="004C4899" w:rsidRPr="00C82703">
        <w:rPr>
          <w:rFonts w:ascii="Times New Roman" w:hAnsi="Times New Roman" w:cs="Times New Roman"/>
        </w:rPr>
        <w:t>, after excluding four participants with inconsistent responses (e.g., selecting “never” use at baseline and “in the past five years” at follow-up) and one participant lacked outcome data.</w:t>
      </w:r>
      <w:r w:rsidRPr="00C82703">
        <w:rPr>
          <w:rFonts w:ascii="Times New Roman" w:hAnsi="Times New Roman" w:cs="Times New Roman"/>
        </w:rPr>
        <w:t xml:space="preserve"> Among our final analytic sample respondents</w:t>
      </w:r>
      <w:r w:rsidR="004C4899" w:rsidRPr="00C82703">
        <w:rPr>
          <w:rFonts w:ascii="Times New Roman" w:hAnsi="Times New Roman" w:cs="Times New Roman"/>
        </w:rPr>
        <w:t xml:space="preserve"> for </w:t>
      </w:r>
      <w:r w:rsidR="009650E6" w:rsidRPr="00C82703">
        <w:rPr>
          <w:rFonts w:ascii="Times New Roman" w:hAnsi="Times New Roman" w:cs="Times New Roman"/>
        </w:rPr>
        <w:t>W</w:t>
      </w:r>
      <w:r w:rsidR="004C4899" w:rsidRPr="00C82703">
        <w:rPr>
          <w:rFonts w:ascii="Times New Roman" w:hAnsi="Times New Roman" w:cs="Times New Roman"/>
        </w:rPr>
        <w:t>aves 1 and 2 (n=110)</w:t>
      </w:r>
      <w:r w:rsidRPr="00C82703">
        <w:rPr>
          <w:rFonts w:ascii="Times New Roman" w:hAnsi="Times New Roman" w:cs="Times New Roman"/>
        </w:rPr>
        <w:t>,</w:t>
      </w:r>
      <w:r w:rsidR="004C4899" w:rsidRPr="00C82703">
        <w:rPr>
          <w:rFonts w:ascii="Times New Roman" w:hAnsi="Times New Roman" w:cs="Times New Roman"/>
        </w:rPr>
        <w:t xml:space="preserve"> 47.3% (n=52) provided information for </w:t>
      </w:r>
      <w:r w:rsidR="009650E6" w:rsidRPr="00C82703">
        <w:rPr>
          <w:rFonts w:ascii="Times New Roman" w:hAnsi="Times New Roman" w:cs="Times New Roman"/>
        </w:rPr>
        <w:t>W</w:t>
      </w:r>
      <w:r w:rsidR="004C4899" w:rsidRPr="00C82703">
        <w:rPr>
          <w:rFonts w:ascii="Times New Roman" w:hAnsi="Times New Roman" w:cs="Times New Roman"/>
        </w:rPr>
        <w:t xml:space="preserve">ave </w:t>
      </w:r>
      <w:r w:rsidR="009650E6" w:rsidRPr="00C82703">
        <w:rPr>
          <w:rFonts w:ascii="Times New Roman" w:hAnsi="Times New Roman" w:cs="Times New Roman"/>
        </w:rPr>
        <w:t>3</w:t>
      </w:r>
      <w:r w:rsidR="004C4899" w:rsidRPr="00C82703">
        <w:rPr>
          <w:rFonts w:ascii="Times New Roman" w:hAnsi="Times New Roman" w:cs="Times New Roman"/>
        </w:rPr>
        <w:t xml:space="preserve"> whereas</w:t>
      </w:r>
      <w:r w:rsidRPr="00C82703">
        <w:rPr>
          <w:rFonts w:ascii="Times New Roman" w:hAnsi="Times New Roman" w:cs="Times New Roman"/>
        </w:rPr>
        <w:t xml:space="preserve"> </w:t>
      </w:r>
      <w:r w:rsidR="004C4899" w:rsidRPr="00C82703">
        <w:rPr>
          <w:rFonts w:ascii="Times New Roman" w:hAnsi="Times New Roman" w:cs="Times New Roman"/>
        </w:rPr>
        <w:t xml:space="preserve">the remaining </w:t>
      </w:r>
      <w:r w:rsidRPr="00C82703">
        <w:rPr>
          <w:rFonts w:ascii="Times New Roman" w:hAnsi="Times New Roman" w:cs="Times New Roman"/>
        </w:rPr>
        <w:t>52.7%</w:t>
      </w:r>
      <w:r w:rsidR="004C4899" w:rsidRPr="00C82703">
        <w:rPr>
          <w:rFonts w:ascii="Times New Roman" w:hAnsi="Times New Roman" w:cs="Times New Roman"/>
        </w:rPr>
        <w:t xml:space="preserve"> (n=58</w:t>
      </w:r>
      <w:r w:rsidRPr="00C82703">
        <w:rPr>
          <w:rFonts w:ascii="Times New Roman" w:hAnsi="Times New Roman" w:cs="Times New Roman"/>
        </w:rPr>
        <w:t xml:space="preserve">) were lost to follow-up. </w:t>
      </w:r>
    </w:p>
    <w:p w14:paraId="64A9798E" w14:textId="25A94EF9"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Descriptive data</w:t>
      </w:r>
    </w:p>
    <w:p w14:paraId="38DFA56D" w14:textId="43BFA49C" w:rsidR="006D23F3" w:rsidRPr="00C82703" w:rsidRDefault="00483072" w:rsidP="00C82703">
      <w:pPr>
        <w:spacing w:line="480" w:lineRule="auto"/>
        <w:rPr>
          <w:rFonts w:ascii="Times New Roman" w:hAnsi="Times New Roman" w:cs="Times New Roman"/>
        </w:rPr>
      </w:pPr>
      <w:r w:rsidRPr="00C82703">
        <w:rPr>
          <w:rFonts w:ascii="Times New Roman" w:hAnsi="Times New Roman" w:cs="Times New Roman"/>
        </w:rPr>
        <w:t>Among the analytic sample of 110 participants, 82 participants did not try psilocybin in the first year, 40 continued not to use it during follow-up, 1 tried it in the second year, and 41 were lost to follow-up</w:t>
      </w:r>
      <w:r w:rsidR="002E6347" w:rsidRPr="00C82703">
        <w:rPr>
          <w:rFonts w:ascii="Times New Roman" w:hAnsi="Times New Roman" w:cs="Times New Roman"/>
        </w:rPr>
        <w:t xml:space="preserve"> (50.0%)</w:t>
      </w:r>
      <w:r w:rsidRPr="00C82703">
        <w:rPr>
          <w:rFonts w:ascii="Times New Roman" w:hAnsi="Times New Roman" w:cs="Times New Roman"/>
        </w:rPr>
        <w:t>.</w:t>
      </w:r>
      <w:r w:rsidR="00DC0868" w:rsidRPr="00C82703">
        <w:rPr>
          <w:rFonts w:ascii="Times New Roman" w:hAnsi="Times New Roman" w:cs="Times New Roman"/>
        </w:rPr>
        <w:t xml:space="preserve"> No significant differences across age, K6 scores, or strata of education, gender, and past use of prescription drugs were found between groups that finished the study and those lose to follow-up.</w:t>
      </w:r>
    </w:p>
    <w:p w14:paraId="7E110335" w14:textId="3482210A" w:rsidR="00A07C7D" w:rsidRPr="00C82703" w:rsidRDefault="00DC0868" w:rsidP="00CD54D5">
      <w:pPr>
        <w:spacing w:line="480" w:lineRule="auto"/>
        <w:ind w:firstLine="720"/>
        <w:rPr>
          <w:rFonts w:ascii="Times New Roman" w:hAnsi="Times New Roman" w:cs="Times New Roman"/>
        </w:rPr>
      </w:pPr>
      <w:r w:rsidRPr="00C82703">
        <w:rPr>
          <w:rFonts w:ascii="Times New Roman" w:hAnsi="Times New Roman" w:cs="Times New Roman"/>
        </w:rPr>
        <w:t xml:space="preserve">Among the 28 participants who reported trying psilocybin at any dose during the first year, 11 tried it again in subsequent follow-up, while 17 were lost to follow-up (60.7%). Participants from the treatment group who were lost to follow-up had lower K6 mean scores at baseline (14.18 vs. 9.29; </w:t>
      </w:r>
      <w:r w:rsidRPr="00C82703">
        <w:rPr>
          <w:rFonts w:ascii="Times New Roman" w:hAnsi="Times New Roman" w:cs="Times New Roman"/>
          <w:i/>
          <w:iCs/>
        </w:rPr>
        <w:t xml:space="preserve">p= </w:t>
      </w:r>
      <w:r w:rsidRPr="00C82703">
        <w:rPr>
          <w:rFonts w:ascii="Times New Roman" w:hAnsi="Times New Roman" w:cs="Times New Roman"/>
        </w:rPr>
        <w:t xml:space="preserve">0.015) and </w:t>
      </w:r>
      <w:r w:rsidR="009650E6" w:rsidRPr="00C82703">
        <w:rPr>
          <w:rFonts w:ascii="Times New Roman" w:hAnsi="Times New Roman" w:cs="Times New Roman"/>
        </w:rPr>
        <w:t>W</w:t>
      </w:r>
      <w:r w:rsidRPr="00C82703">
        <w:rPr>
          <w:rFonts w:ascii="Times New Roman" w:hAnsi="Times New Roman" w:cs="Times New Roman"/>
        </w:rPr>
        <w:t>ave 2 (</w:t>
      </w:r>
      <w:r w:rsidR="00A07C7D" w:rsidRPr="00C82703">
        <w:rPr>
          <w:rFonts w:ascii="Times New Roman" w:hAnsi="Times New Roman" w:cs="Times New Roman"/>
        </w:rPr>
        <w:t xml:space="preserve">9.45 vs. 6.06; </w:t>
      </w:r>
      <w:r w:rsidR="00A07C7D" w:rsidRPr="00C82703">
        <w:rPr>
          <w:rFonts w:ascii="Times New Roman" w:hAnsi="Times New Roman" w:cs="Times New Roman"/>
          <w:i/>
          <w:iCs/>
        </w:rPr>
        <w:t xml:space="preserve">p= </w:t>
      </w:r>
      <w:r w:rsidR="00A07C7D" w:rsidRPr="00C82703">
        <w:rPr>
          <w:rFonts w:ascii="Times New Roman" w:hAnsi="Times New Roman" w:cs="Times New Roman"/>
        </w:rPr>
        <w:t>0.136</w:t>
      </w:r>
      <w:r w:rsidRPr="00C82703">
        <w:rPr>
          <w:rFonts w:ascii="Times New Roman" w:hAnsi="Times New Roman" w:cs="Times New Roman"/>
        </w:rPr>
        <w:t>) and were more likely to identify as women (82.4% vs 27.3%</w:t>
      </w:r>
      <w:r w:rsidR="00A07C7D" w:rsidRPr="00C82703">
        <w:rPr>
          <w:rFonts w:ascii="Times New Roman" w:hAnsi="Times New Roman" w:cs="Times New Roman"/>
        </w:rPr>
        <w:t xml:space="preserve">; </w:t>
      </w:r>
      <w:r w:rsidR="00A07C7D" w:rsidRPr="00C82703">
        <w:rPr>
          <w:rFonts w:ascii="Times New Roman" w:hAnsi="Times New Roman" w:cs="Times New Roman"/>
          <w:i/>
          <w:iCs/>
        </w:rPr>
        <w:t xml:space="preserve">p-adj= </w:t>
      </w:r>
      <w:r w:rsidR="00A07C7D" w:rsidRPr="00C82703">
        <w:rPr>
          <w:rFonts w:ascii="Times New Roman" w:hAnsi="Times New Roman" w:cs="Times New Roman"/>
        </w:rPr>
        <w:t>0.048</w:t>
      </w:r>
      <w:r w:rsidRPr="00C82703">
        <w:rPr>
          <w:rFonts w:ascii="Times New Roman" w:hAnsi="Times New Roman" w:cs="Times New Roman"/>
        </w:rPr>
        <w:t xml:space="preserve">) </w:t>
      </w:r>
      <w:r w:rsidR="00A07C7D" w:rsidRPr="00C82703">
        <w:rPr>
          <w:rFonts w:ascii="Times New Roman" w:hAnsi="Times New Roman" w:cs="Times New Roman"/>
        </w:rPr>
        <w:t xml:space="preserve">than men </w:t>
      </w:r>
      <w:r w:rsidRPr="00C82703">
        <w:rPr>
          <w:rFonts w:ascii="Times New Roman" w:hAnsi="Times New Roman" w:cs="Times New Roman"/>
        </w:rPr>
        <w:t xml:space="preserve">compared to those who finished the study. </w:t>
      </w:r>
    </w:p>
    <w:p w14:paraId="5F96FE99" w14:textId="5E79D9D1" w:rsidR="00A07C7D" w:rsidRPr="00C82703" w:rsidRDefault="00A07C7D" w:rsidP="00C82703">
      <w:pPr>
        <w:spacing w:line="480" w:lineRule="auto"/>
        <w:rPr>
          <w:rFonts w:ascii="Times New Roman" w:hAnsi="Times New Roman" w:cs="Times New Roman"/>
        </w:rPr>
      </w:pPr>
      <w:r w:rsidRPr="00C82703">
        <w:rPr>
          <w:rFonts w:ascii="Times New Roman" w:hAnsi="Times New Roman" w:cs="Times New Roman"/>
        </w:rPr>
        <w:lastRenderedPageBreak/>
        <w:t>Participants in the intervention and control groups did not significantly differ from each other. All participants characteristics are presented in Table 1.</w:t>
      </w:r>
    </w:p>
    <w:p w14:paraId="01561540" w14:textId="3BC15D64" w:rsidR="00A07C7D" w:rsidRPr="00CD54D5" w:rsidRDefault="00A07C7D" w:rsidP="00CD54D5">
      <w:pPr>
        <w:spacing w:line="240" w:lineRule="auto"/>
        <w:jc w:val="center"/>
        <w:rPr>
          <w:rFonts w:ascii="Times New Roman" w:hAnsi="Times New Roman" w:cs="Times New Roman"/>
          <w:b/>
          <w:bCs/>
        </w:rPr>
      </w:pPr>
      <w:r w:rsidRPr="00CD54D5">
        <w:rPr>
          <w:rFonts w:ascii="Times New Roman" w:hAnsi="Times New Roman" w:cs="Times New Roman"/>
          <w:b/>
          <w:bCs/>
        </w:rPr>
        <w:t>Table 1. Sociodemographic characteristics and outcome data across waves 1 and 2 for cohort participants.</w:t>
      </w:r>
    </w:p>
    <w:tbl>
      <w:tblPr>
        <w:tblW w:w="5000" w:type="pct"/>
        <w:tblLook w:val="04A0" w:firstRow="1" w:lastRow="0" w:firstColumn="1" w:lastColumn="0" w:noHBand="0" w:noVBand="1"/>
      </w:tblPr>
      <w:tblGrid>
        <w:gridCol w:w="4580"/>
        <w:gridCol w:w="1698"/>
        <w:gridCol w:w="1788"/>
        <w:gridCol w:w="1294"/>
      </w:tblGrid>
      <w:tr w:rsidR="00C82703" w:rsidRPr="00C82703" w14:paraId="256E5F6D" w14:textId="77777777" w:rsidTr="00A07C7D">
        <w:trPr>
          <w:trHeight w:val="636"/>
        </w:trPr>
        <w:tc>
          <w:tcPr>
            <w:tcW w:w="2447" w:type="pct"/>
            <w:tcBorders>
              <w:top w:val="single" w:sz="4" w:space="0" w:color="auto"/>
              <w:left w:val="nil"/>
              <w:bottom w:val="single" w:sz="4" w:space="0" w:color="auto"/>
              <w:right w:val="nil"/>
            </w:tcBorders>
            <w:noWrap/>
            <w:vAlign w:val="bottom"/>
            <w:hideMark/>
          </w:tcPr>
          <w:p w14:paraId="319550D0" w14:textId="455BD662" w:rsidR="00A07C7D" w:rsidRPr="00C82703" w:rsidRDefault="00A07C7D" w:rsidP="00CD54D5">
            <w:pPr>
              <w:spacing w:after="0" w:line="240" w:lineRule="auto"/>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Variable</w:t>
            </w:r>
          </w:p>
        </w:tc>
        <w:tc>
          <w:tcPr>
            <w:tcW w:w="907" w:type="pct"/>
            <w:tcBorders>
              <w:top w:val="single" w:sz="4" w:space="0" w:color="auto"/>
              <w:left w:val="nil"/>
              <w:bottom w:val="single" w:sz="4" w:space="0" w:color="auto"/>
              <w:right w:val="nil"/>
            </w:tcBorders>
            <w:vAlign w:val="bottom"/>
            <w:hideMark/>
          </w:tcPr>
          <w:p w14:paraId="484A15B3"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Control</w:t>
            </w:r>
            <w:r w:rsidRPr="00C82703">
              <w:rPr>
                <w:rFonts w:ascii="Times New Roman" w:eastAsia="Times New Roman" w:hAnsi="Times New Roman" w:cs="Times New Roman"/>
                <w:b/>
                <w:bCs/>
                <w:kern w:val="0"/>
                <w:lang w:eastAsia="en-CA"/>
                <w14:ligatures w14:val="none"/>
              </w:rPr>
              <w:br/>
              <w:t>(n=82)</w:t>
            </w:r>
          </w:p>
        </w:tc>
        <w:tc>
          <w:tcPr>
            <w:tcW w:w="955" w:type="pct"/>
            <w:tcBorders>
              <w:top w:val="single" w:sz="4" w:space="0" w:color="auto"/>
              <w:left w:val="nil"/>
              <w:bottom w:val="single" w:sz="4" w:space="0" w:color="auto"/>
              <w:right w:val="nil"/>
            </w:tcBorders>
            <w:vAlign w:val="bottom"/>
            <w:hideMark/>
          </w:tcPr>
          <w:p w14:paraId="5D2F6192"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Intervention</w:t>
            </w:r>
            <w:r w:rsidRPr="00C82703">
              <w:rPr>
                <w:rFonts w:ascii="Times New Roman" w:eastAsia="Times New Roman" w:hAnsi="Times New Roman" w:cs="Times New Roman"/>
                <w:b/>
                <w:bCs/>
                <w:kern w:val="0"/>
                <w:lang w:eastAsia="en-CA"/>
                <w14:ligatures w14:val="none"/>
              </w:rPr>
              <w:br/>
              <w:t>(n=28)</w:t>
            </w:r>
          </w:p>
        </w:tc>
        <w:tc>
          <w:tcPr>
            <w:tcW w:w="691" w:type="pct"/>
            <w:tcBorders>
              <w:top w:val="single" w:sz="4" w:space="0" w:color="auto"/>
              <w:left w:val="nil"/>
              <w:bottom w:val="single" w:sz="4" w:space="0" w:color="auto"/>
              <w:right w:val="nil"/>
            </w:tcBorders>
            <w:noWrap/>
            <w:vAlign w:val="bottom"/>
            <w:hideMark/>
          </w:tcPr>
          <w:p w14:paraId="7DBF0D4E"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i/>
                <w:iCs/>
                <w:kern w:val="0"/>
                <w:lang w:eastAsia="en-CA"/>
                <w14:ligatures w14:val="none"/>
              </w:rPr>
              <w:t xml:space="preserve">p </w:t>
            </w:r>
            <w:r w:rsidRPr="00C82703">
              <w:rPr>
                <w:rFonts w:ascii="Times New Roman" w:eastAsia="Times New Roman" w:hAnsi="Times New Roman" w:cs="Times New Roman"/>
                <w:b/>
                <w:bCs/>
                <w:kern w:val="0"/>
                <w:lang w:eastAsia="en-CA"/>
                <w14:ligatures w14:val="none"/>
              </w:rPr>
              <w:t>value</w:t>
            </w:r>
          </w:p>
        </w:tc>
      </w:tr>
      <w:tr w:rsidR="00C82703" w:rsidRPr="00C82703" w14:paraId="31F3B965" w14:textId="77777777" w:rsidTr="00A07C7D">
        <w:trPr>
          <w:trHeight w:val="300"/>
        </w:trPr>
        <w:tc>
          <w:tcPr>
            <w:tcW w:w="2447" w:type="pct"/>
            <w:tcBorders>
              <w:top w:val="nil"/>
              <w:left w:val="nil"/>
              <w:bottom w:val="nil"/>
              <w:right w:val="nil"/>
            </w:tcBorders>
            <w:noWrap/>
            <w:vAlign w:val="bottom"/>
            <w:hideMark/>
          </w:tcPr>
          <w:p w14:paraId="164F9644" w14:textId="6C43C2D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Age (mean (SD))</w:t>
            </w:r>
          </w:p>
        </w:tc>
        <w:tc>
          <w:tcPr>
            <w:tcW w:w="907" w:type="pct"/>
            <w:tcBorders>
              <w:top w:val="nil"/>
              <w:left w:val="nil"/>
              <w:bottom w:val="nil"/>
              <w:right w:val="nil"/>
            </w:tcBorders>
            <w:noWrap/>
            <w:vAlign w:val="bottom"/>
            <w:hideMark/>
          </w:tcPr>
          <w:p w14:paraId="064474F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36.26 (16.03)</w:t>
            </w:r>
          </w:p>
        </w:tc>
        <w:tc>
          <w:tcPr>
            <w:tcW w:w="955" w:type="pct"/>
            <w:tcBorders>
              <w:top w:val="nil"/>
              <w:left w:val="nil"/>
              <w:bottom w:val="nil"/>
              <w:right w:val="nil"/>
            </w:tcBorders>
            <w:noWrap/>
            <w:vAlign w:val="bottom"/>
            <w:hideMark/>
          </w:tcPr>
          <w:p w14:paraId="0B48CFE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29.86 (14.71)</w:t>
            </w:r>
          </w:p>
        </w:tc>
        <w:tc>
          <w:tcPr>
            <w:tcW w:w="691" w:type="pct"/>
            <w:tcBorders>
              <w:top w:val="nil"/>
              <w:left w:val="nil"/>
              <w:bottom w:val="nil"/>
              <w:right w:val="nil"/>
            </w:tcBorders>
            <w:noWrap/>
            <w:vAlign w:val="bottom"/>
            <w:hideMark/>
          </w:tcPr>
          <w:p w14:paraId="035D6B8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0.065</w:t>
            </w:r>
          </w:p>
        </w:tc>
      </w:tr>
      <w:tr w:rsidR="00C82703" w:rsidRPr="00C82703" w14:paraId="173D0C81" w14:textId="77777777" w:rsidTr="00A07C7D">
        <w:trPr>
          <w:trHeight w:val="300"/>
        </w:trPr>
        <w:tc>
          <w:tcPr>
            <w:tcW w:w="2447" w:type="pct"/>
            <w:tcBorders>
              <w:top w:val="nil"/>
              <w:left w:val="nil"/>
              <w:bottom w:val="nil"/>
              <w:right w:val="nil"/>
            </w:tcBorders>
            <w:noWrap/>
            <w:vAlign w:val="bottom"/>
            <w:hideMark/>
          </w:tcPr>
          <w:p w14:paraId="6E1C21DE" w14:textId="72FBF835"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Education = Less than bachelor (%)</w:t>
            </w:r>
          </w:p>
        </w:tc>
        <w:tc>
          <w:tcPr>
            <w:tcW w:w="907" w:type="pct"/>
            <w:tcBorders>
              <w:top w:val="nil"/>
              <w:left w:val="nil"/>
              <w:bottom w:val="nil"/>
              <w:right w:val="nil"/>
            </w:tcBorders>
            <w:noWrap/>
            <w:vAlign w:val="bottom"/>
            <w:hideMark/>
          </w:tcPr>
          <w:p w14:paraId="484C3B1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14 (17.1) </w:t>
            </w:r>
          </w:p>
        </w:tc>
        <w:tc>
          <w:tcPr>
            <w:tcW w:w="955" w:type="pct"/>
            <w:tcBorders>
              <w:top w:val="nil"/>
              <w:left w:val="nil"/>
              <w:bottom w:val="nil"/>
              <w:right w:val="nil"/>
            </w:tcBorders>
            <w:noWrap/>
            <w:vAlign w:val="bottom"/>
            <w:hideMark/>
          </w:tcPr>
          <w:p w14:paraId="2F846595"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6 (21.4) </w:t>
            </w:r>
          </w:p>
        </w:tc>
        <w:tc>
          <w:tcPr>
            <w:tcW w:w="691" w:type="pct"/>
            <w:tcBorders>
              <w:top w:val="nil"/>
              <w:left w:val="nil"/>
              <w:bottom w:val="nil"/>
              <w:right w:val="nil"/>
            </w:tcBorders>
            <w:noWrap/>
            <w:vAlign w:val="bottom"/>
            <w:hideMark/>
          </w:tcPr>
          <w:p w14:paraId="0539D8C1"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0.816</w:t>
            </w:r>
          </w:p>
        </w:tc>
      </w:tr>
      <w:tr w:rsidR="00C82703" w:rsidRPr="00C82703" w14:paraId="42C101A5" w14:textId="77777777" w:rsidTr="00A07C7D">
        <w:trPr>
          <w:trHeight w:val="300"/>
        </w:trPr>
        <w:tc>
          <w:tcPr>
            <w:tcW w:w="2447" w:type="pct"/>
            <w:tcBorders>
              <w:top w:val="nil"/>
              <w:left w:val="nil"/>
              <w:bottom w:val="nil"/>
              <w:right w:val="nil"/>
            </w:tcBorders>
            <w:noWrap/>
            <w:vAlign w:val="bottom"/>
            <w:hideMark/>
          </w:tcPr>
          <w:p w14:paraId="1C1560AC"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Past use of prescription drugs (%)</w:t>
            </w:r>
          </w:p>
        </w:tc>
        <w:tc>
          <w:tcPr>
            <w:tcW w:w="907" w:type="pct"/>
            <w:tcBorders>
              <w:top w:val="nil"/>
              <w:left w:val="nil"/>
              <w:bottom w:val="nil"/>
              <w:right w:val="nil"/>
            </w:tcBorders>
            <w:noWrap/>
            <w:vAlign w:val="bottom"/>
            <w:hideMark/>
          </w:tcPr>
          <w:p w14:paraId="7B2A559C"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49 (59.8) </w:t>
            </w:r>
          </w:p>
        </w:tc>
        <w:tc>
          <w:tcPr>
            <w:tcW w:w="955" w:type="pct"/>
            <w:tcBorders>
              <w:top w:val="nil"/>
              <w:left w:val="nil"/>
              <w:bottom w:val="nil"/>
              <w:right w:val="nil"/>
            </w:tcBorders>
            <w:noWrap/>
            <w:vAlign w:val="bottom"/>
            <w:hideMark/>
          </w:tcPr>
          <w:p w14:paraId="22234B8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15 (60.0) </w:t>
            </w:r>
          </w:p>
        </w:tc>
        <w:tc>
          <w:tcPr>
            <w:tcW w:w="691" w:type="pct"/>
            <w:tcBorders>
              <w:top w:val="nil"/>
              <w:left w:val="nil"/>
              <w:bottom w:val="nil"/>
              <w:right w:val="nil"/>
            </w:tcBorders>
            <w:noWrap/>
            <w:vAlign w:val="bottom"/>
            <w:hideMark/>
          </w:tcPr>
          <w:p w14:paraId="3F15CF5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w:t>
            </w:r>
          </w:p>
        </w:tc>
      </w:tr>
      <w:tr w:rsidR="00C82703" w:rsidRPr="00C82703" w14:paraId="2CC8140C" w14:textId="77777777" w:rsidTr="00A07C7D">
        <w:trPr>
          <w:trHeight w:val="300"/>
        </w:trPr>
        <w:tc>
          <w:tcPr>
            <w:tcW w:w="2447" w:type="pct"/>
            <w:tcBorders>
              <w:top w:val="nil"/>
              <w:left w:val="nil"/>
              <w:bottom w:val="nil"/>
              <w:right w:val="nil"/>
            </w:tcBorders>
            <w:noWrap/>
            <w:vAlign w:val="bottom"/>
            <w:hideMark/>
          </w:tcPr>
          <w:p w14:paraId="0168EF23" w14:textId="60C73DC5"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w:t>
            </w:r>
          </w:p>
        </w:tc>
        <w:tc>
          <w:tcPr>
            <w:tcW w:w="907" w:type="pct"/>
            <w:tcBorders>
              <w:top w:val="nil"/>
              <w:left w:val="nil"/>
              <w:bottom w:val="nil"/>
              <w:right w:val="nil"/>
            </w:tcBorders>
            <w:noWrap/>
            <w:vAlign w:val="bottom"/>
            <w:hideMark/>
          </w:tcPr>
          <w:p w14:paraId="31AABD2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955" w:type="pct"/>
            <w:tcBorders>
              <w:top w:val="nil"/>
              <w:left w:val="nil"/>
              <w:bottom w:val="nil"/>
              <w:right w:val="nil"/>
            </w:tcBorders>
            <w:noWrap/>
            <w:vAlign w:val="bottom"/>
            <w:hideMark/>
          </w:tcPr>
          <w:p w14:paraId="7E28284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691" w:type="pct"/>
            <w:tcBorders>
              <w:top w:val="nil"/>
              <w:left w:val="nil"/>
              <w:bottom w:val="nil"/>
              <w:right w:val="nil"/>
            </w:tcBorders>
            <w:noWrap/>
            <w:vAlign w:val="bottom"/>
            <w:hideMark/>
          </w:tcPr>
          <w:p w14:paraId="659F568C"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0.92</w:t>
            </w:r>
          </w:p>
        </w:tc>
      </w:tr>
      <w:tr w:rsidR="00C82703" w:rsidRPr="00C82703" w14:paraId="002B6D0A" w14:textId="77777777" w:rsidTr="00A07C7D">
        <w:trPr>
          <w:trHeight w:val="300"/>
        </w:trPr>
        <w:tc>
          <w:tcPr>
            <w:tcW w:w="2447" w:type="pct"/>
            <w:tcBorders>
              <w:top w:val="nil"/>
              <w:left w:val="nil"/>
              <w:bottom w:val="nil"/>
              <w:right w:val="nil"/>
            </w:tcBorders>
            <w:noWrap/>
            <w:vAlign w:val="bottom"/>
            <w:hideMark/>
          </w:tcPr>
          <w:p w14:paraId="12B5EC60"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Man</w:t>
            </w:r>
          </w:p>
        </w:tc>
        <w:tc>
          <w:tcPr>
            <w:tcW w:w="907" w:type="pct"/>
            <w:tcBorders>
              <w:top w:val="nil"/>
              <w:left w:val="nil"/>
              <w:bottom w:val="nil"/>
              <w:right w:val="nil"/>
            </w:tcBorders>
            <w:noWrap/>
            <w:vAlign w:val="bottom"/>
            <w:hideMark/>
          </w:tcPr>
          <w:p w14:paraId="6839D472"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18 (22.0) </w:t>
            </w:r>
          </w:p>
        </w:tc>
        <w:tc>
          <w:tcPr>
            <w:tcW w:w="955" w:type="pct"/>
            <w:tcBorders>
              <w:top w:val="nil"/>
              <w:left w:val="nil"/>
              <w:bottom w:val="nil"/>
              <w:right w:val="nil"/>
            </w:tcBorders>
            <w:noWrap/>
            <w:vAlign w:val="bottom"/>
            <w:hideMark/>
          </w:tcPr>
          <w:p w14:paraId="0D9814C0"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6 (21.4) </w:t>
            </w:r>
          </w:p>
        </w:tc>
        <w:tc>
          <w:tcPr>
            <w:tcW w:w="691" w:type="pct"/>
            <w:tcBorders>
              <w:top w:val="nil"/>
              <w:left w:val="nil"/>
              <w:bottom w:val="nil"/>
              <w:right w:val="nil"/>
            </w:tcBorders>
            <w:noWrap/>
            <w:vAlign w:val="bottom"/>
            <w:hideMark/>
          </w:tcPr>
          <w:p w14:paraId="1E60BC7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2A268C60" w14:textId="77777777" w:rsidTr="00A07C7D">
        <w:trPr>
          <w:trHeight w:val="300"/>
        </w:trPr>
        <w:tc>
          <w:tcPr>
            <w:tcW w:w="2447" w:type="pct"/>
            <w:tcBorders>
              <w:top w:val="nil"/>
              <w:left w:val="nil"/>
              <w:bottom w:val="nil"/>
              <w:right w:val="nil"/>
            </w:tcBorders>
            <w:noWrap/>
            <w:vAlign w:val="bottom"/>
            <w:hideMark/>
          </w:tcPr>
          <w:p w14:paraId="1D02CE82"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Other</w:t>
            </w:r>
          </w:p>
        </w:tc>
        <w:tc>
          <w:tcPr>
            <w:tcW w:w="907" w:type="pct"/>
            <w:tcBorders>
              <w:top w:val="nil"/>
              <w:left w:val="nil"/>
              <w:bottom w:val="nil"/>
              <w:right w:val="nil"/>
            </w:tcBorders>
            <w:noWrap/>
            <w:vAlign w:val="bottom"/>
            <w:hideMark/>
          </w:tcPr>
          <w:p w14:paraId="0FB91BB6"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12 (14.6) </w:t>
            </w:r>
          </w:p>
        </w:tc>
        <w:tc>
          <w:tcPr>
            <w:tcW w:w="955" w:type="pct"/>
            <w:tcBorders>
              <w:top w:val="nil"/>
              <w:left w:val="nil"/>
              <w:bottom w:val="nil"/>
              <w:right w:val="nil"/>
            </w:tcBorders>
            <w:noWrap/>
            <w:vAlign w:val="bottom"/>
            <w:hideMark/>
          </w:tcPr>
          <w:p w14:paraId="4B68C5B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5 (17.9) </w:t>
            </w:r>
          </w:p>
        </w:tc>
        <w:tc>
          <w:tcPr>
            <w:tcW w:w="691" w:type="pct"/>
            <w:tcBorders>
              <w:top w:val="nil"/>
              <w:left w:val="nil"/>
              <w:bottom w:val="nil"/>
              <w:right w:val="nil"/>
            </w:tcBorders>
            <w:noWrap/>
            <w:vAlign w:val="bottom"/>
            <w:hideMark/>
          </w:tcPr>
          <w:p w14:paraId="0D7705C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5F1BDECC" w14:textId="77777777" w:rsidTr="00A07C7D">
        <w:trPr>
          <w:trHeight w:val="300"/>
        </w:trPr>
        <w:tc>
          <w:tcPr>
            <w:tcW w:w="2447" w:type="pct"/>
            <w:tcBorders>
              <w:top w:val="nil"/>
              <w:left w:val="nil"/>
              <w:bottom w:val="nil"/>
              <w:right w:val="nil"/>
            </w:tcBorders>
            <w:noWrap/>
            <w:vAlign w:val="bottom"/>
            <w:hideMark/>
          </w:tcPr>
          <w:p w14:paraId="23E3FEDE"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Woman</w:t>
            </w:r>
          </w:p>
        </w:tc>
        <w:tc>
          <w:tcPr>
            <w:tcW w:w="907" w:type="pct"/>
            <w:tcBorders>
              <w:top w:val="nil"/>
              <w:left w:val="nil"/>
              <w:bottom w:val="nil"/>
              <w:right w:val="nil"/>
            </w:tcBorders>
            <w:noWrap/>
            <w:vAlign w:val="bottom"/>
            <w:hideMark/>
          </w:tcPr>
          <w:p w14:paraId="7CB542C4"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52 (63.4) </w:t>
            </w:r>
          </w:p>
        </w:tc>
        <w:tc>
          <w:tcPr>
            <w:tcW w:w="955" w:type="pct"/>
            <w:tcBorders>
              <w:top w:val="nil"/>
              <w:left w:val="nil"/>
              <w:bottom w:val="nil"/>
              <w:right w:val="nil"/>
            </w:tcBorders>
            <w:noWrap/>
            <w:vAlign w:val="bottom"/>
            <w:hideMark/>
          </w:tcPr>
          <w:p w14:paraId="50CF5B47"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17 (60.7) </w:t>
            </w:r>
          </w:p>
        </w:tc>
        <w:tc>
          <w:tcPr>
            <w:tcW w:w="691" w:type="pct"/>
            <w:tcBorders>
              <w:top w:val="nil"/>
              <w:left w:val="nil"/>
              <w:bottom w:val="nil"/>
              <w:right w:val="nil"/>
            </w:tcBorders>
            <w:noWrap/>
            <w:vAlign w:val="bottom"/>
            <w:hideMark/>
          </w:tcPr>
          <w:p w14:paraId="3DED9938"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28117E04" w14:textId="77777777" w:rsidTr="00A07C7D">
        <w:trPr>
          <w:trHeight w:val="300"/>
        </w:trPr>
        <w:tc>
          <w:tcPr>
            <w:tcW w:w="2447" w:type="pct"/>
            <w:tcBorders>
              <w:top w:val="nil"/>
              <w:left w:val="nil"/>
              <w:bottom w:val="nil"/>
              <w:right w:val="nil"/>
            </w:tcBorders>
            <w:noWrap/>
            <w:vAlign w:val="bottom"/>
            <w:hideMark/>
          </w:tcPr>
          <w:p w14:paraId="4B3F0FB3"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K6 score at baseline (mean (SD))</w:t>
            </w:r>
          </w:p>
        </w:tc>
        <w:tc>
          <w:tcPr>
            <w:tcW w:w="907" w:type="pct"/>
            <w:tcBorders>
              <w:top w:val="nil"/>
              <w:left w:val="nil"/>
              <w:bottom w:val="nil"/>
              <w:right w:val="nil"/>
            </w:tcBorders>
            <w:noWrap/>
            <w:vAlign w:val="bottom"/>
            <w:hideMark/>
          </w:tcPr>
          <w:p w14:paraId="4D4A2CD4"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10.21 (6.69)</w:t>
            </w:r>
          </w:p>
        </w:tc>
        <w:tc>
          <w:tcPr>
            <w:tcW w:w="955" w:type="pct"/>
            <w:tcBorders>
              <w:top w:val="nil"/>
              <w:left w:val="nil"/>
              <w:bottom w:val="nil"/>
              <w:right w:val="nil"/>
            </w:tcBorders>
            <w:noWrap/>
            <w:vAlign w:val="bottom"/>
            <w:hideMark/>
          </w:tcPr>
          <w:p w14:paraId="31A6A2F3"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11.21 (5.33)</w:t>
            </w:r>
          </w:p>
        </w:tc>
        <w:tc>
          <w:tcPr>
            <w:tcW w:w="691" w:type="pct"/>
            <w:tcBorders>
              <w:top w:val="nil"/>
              <w:left w:val="nil"/>
              <w:bottom w:val="nil"/>
              <w:right w:val="nil"/>
            </w:tcBorders>
            <w:noWrap/>
            <w:vAlign w:val="bottom"/>
            <w:hideMark/>
          </w:tcPr>
          <w:p w14:paraId="60C60743"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0.472</w:t>
            </w:r>
          </w:p>
        </w:tc>
      </w:tr>
      <w:tr w:rsidR="00C82703" w:rsidRPr="00C82703" w14:paraId="01816A12" w14:textId="77777777" w:rsidTr="00A07C7D">
        <w:trPr>
          <w:trHeight w:val="300"/>
        </w:trPr>
        <w:tc>
          <w:tcPr>
            <w:tcW w:w="2447" w:type="pct"/>
            <w:tcBorders>
              <w:top w:val="nil"/>
              <w:left w:val="nil"/>
              <w:bottom w:val="single" w:sz="4" w:space="0" w:color="auto"/>
              <w:right w:val="nil"/>
            </w:tcBorders>
            <w:noWrap/>
            <w:vAlign w:val="bottom"/>
            <w:hideMark/>
          </w:tcPr>
          <w:p w14:paraId="421C2FC7"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K6 score at follow-up (mean (SD))</w:t>
            </w:r>
          </w:p>
        </w:tc>
        <w:tc>
          <w:tcPr>
            <w:tcW w:w="907" w:type="pct"/>
            <w:tcBorders>
              <w:top w:val="nil"/>
              <w:left w:val="nil"/>
              <w:bottom w:val="single" w:sz="4" w:space="0" w:color="auto"/>
              <w:right w:val="nil"/>
            </w:tcBorders>
            <w:noWrap/>
            <w:vAlign w:val="bottom"/>
            <w:hideMark/>
          </w:tcPr>
          <w:p w14:paraId="4E61B457"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9.38 (6.15)</w:t>
            </w:r>
          </w:p>
        </w:tc>
        <w:tc>
          <w:tcPr>
            <w:tcW w:w="955" w:type="pct"/>
            <w:tcBorders>
              <w:top w:val="nil"/>
              <w:left w:val="nil"/>
              <w:bottom w:val="single" w:sz="4" w:space="0" w:color="auto"/>
              <w:right w:val="nil"/>
            </w:tcBorders>
            <w:noWrap/>
            <w:vAlign w:val="bottom"/>
            <w:hideMark/>
          </w:tcPr>
          <w:p w14:paraId="15505FA6"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7.39 (5.84)</w:t>
            </w:r>
          </w:p>
        </w:tc>
        <w:tc>
          <w:tcPr>
            <w:tcW w:w="691" w:type="pct"/>
            <w:tcBorders>
              <w:top w:val="nil"/>
              <w:left w:val="nil"/>
              <w:bottom w:val="single" w:sz="4" w:space="0" w:color="auto"/>
              <w:right w:val="nil"/>
            </w:tcBorders>
            <w:noWrap/>
            <w:vAlign w:val="bottom"/>
            <w:hideMark/>
          </w:tcPr>
          <w:p w14:paraId="47722850"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0.138</w:t>
            </w:r>
          </w:p>
        </w:tc>
      </w:tr>
    </w:tbl>
    <w:p w14:paraId="6A77851E" w14:textId="129FF309" w:rsidR="00AC7781"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SD=Standard deviation</w:t>
      </w:r>
      <w:r w:rsidR="00AC7781" w:rsidRPr="00C82703">
        <w:rPr>
          <w:rFonts w:ascii="Times New Roman" w:eastAsia="Times New Roman" w:hAnsi="Times New Roman" w:cs="Times New Roman"/>
          <w:kern w:val="0"/>
          <w:lang w:eastAsia="en-CA"/>
          <w14:ligatures w14:val="none"/>
        </w:rPr>
        <w:t>;</w:t>
      </w:r>
      <w:r w:rsidRPr="00C82703">
        <w:rPr>
          <w:rFonts w:ascii="Times New Roman" w:eastAsia="Times New Roman" w:hAnsi="Times New Roman" w:cs="Times New Roman"/>
          <w:kern w:val="0"/>
          <w:lang w:eastAsia="en-CA"/>
          <w14:ligatures w14:val="none"/>
        </w:rPr>
        <w:t xml:space="preserve"> </w:t>
      </w:r>
      <w:r w:rsidR="00AC7781" w:rsidRPr="00C82703">
        <w:rPr>
          <w:rFonts w:ascii="Times New Roman" w:eastAsia="Times New Roman" w:hAnsi="Times New Roman" w:cs="Times New Roman"/>
          <w:kern w:val="0"/>
          <w:lang w:eastAsia="en-CA"/>
          <w14:ligatures w14:val="none"/>
        </w:rPr>
        <w:t xml:space="preserve">p </w:t>
      </w:r>
      <w:r w:rsidRPr="00C82703">
        <w:rPr>
          <w:rFonts w:ascii="Times New Roman" w:eastAsia="Times New Roman" w:hAnsi="Times New Roman" w:cs="Times New Roman"/>
          <w:kern w:val="0"/>
          <w:lang w:eastAsia="en-CA"/>
          <w14:ligatures w14:val="none"/>
        </w:rPr>
        <w:t xml:space="preserve">values derive from chi-square test for categorical variables and t-tests for numeric </w:t>
      </w:r>
      <w:r w:rsidR="00AC7781" w:rsidRPr="00C82703">
        <w:rPr>
          <w:rFonts w:ascii="Times New Roman" w:eastAsia="Times New Roman" w:hAnsi="Times New Roman" w:cs="Times New Roman"/>
          <w:kern w:val="0"/>
          <w:lang w:eastAsia="en-CA"/>
          <w14:ligatures w14:val="none"/>
        </w:rPr>
        <w:t>variables</w:t>
      </w:r>
      <w:r w:rsidRPr="00C82703">
        <w:rPr>
          <w:rFonts w:ascii="Times New Roman" w:eastAsia="Times New Roman" w:hAnsi="Times New Roman" w:cs="Times New Roman"/>
          <w:kern w:val="0"/>
          <w:lang w:eastAsia="en-CA"/>
          <w14:ligatures w14:val="none"/>
        </w:rPr>
        <w:t>.</w:t>
      </w:r>
    </w:p>
    <w:p w14:paraId="0692E8E0" w14:textId="77777777" w:rsidR="00CD54D5" w:rsidRPr="00C82703" w:rsidRDefault="00CD54D5" w:rsidP="00CD54D5">
      <w:pPr>
        <w:spacing w:after="0" w:line="240" w:lineRule="auto"/>
        <w:rPr>
          <w:rFonts w:ascii="Times New Roman" w:eastAsia="Times New Roman" w:hAnsi="Times New Roman" w:cs="Times New Roman"/>
          <w:kern w:val="0"/>
          <w:lang w:eastAsia="en-CA"/>
          <w14:ligatures w14:val="none"/>
        </w:rPr>
      </w:pPr>
    </w:p>
    <w:p w14:paraId="1B7747FE" w14:textId="6E3BA636" w:rsidR="00076819" w:rsidRPr="00C82703" w:rsidRDefault="00AC7781" w:rsidP="00CD54D5">
      <w:pPr>
        <w:spacing w:after="0" w:line="480" w:lineRule="auto"/>
        <w:ind w:firstLine="720"/>
        <w:rPr>
          <w:rFonts w:ascii="Times New Roman" w:eastAsia="Times New Roman" w:hAnsi="Times New Roman" w:cs="Times New Roman"/>
          <w:kern w:val="0"/>
          <w:lang w:eastAsia="en-CA"/>
          <w14:ligatures w14:val="none"/>
        </w:rPr>
      </w:pPr>
      <w:r w:rsidRPr="00C82703">
        <w:rPr>
          <w:rFonts w:ascii="Times New Roman" w:hAnsi="Times New Roman" w:cs="Times New Roman"/>
        </w:rPr>
        <w:t xml:space="preserve">The number of doses for year one ranged from 1 to 30, with a median of 4 doses and a mean of 6.2 doses. The distribution was positively skewed (4.8), indicating that a few participants used psilocybin much more frequently than most. These patterns persisted during </w:t>
      </w:r>
      <w:r w:rsidR="009650E6" w:rsidRPr="00C82703">
        <w:rPr>
          <w:rFonts w:ascii="Times New Roman" w:hAnsi="Times New Roman" w:cs="Times New Roman"/>
        </w:rPr>
        <w:t>W</w:t>
      </w:r>
      <w:r w:rsidRPr="00C82703">
        <w:rPr>
          <w:rFonts w:ascii="Times New Roman" w:hAnsi="Times New Roman" w:cs="Times New Roman"/>
        </w:rPr>
        <w:t xml:space="preserve">ave </w:t>
      </w:r>
      <w:r w:rsidR="009650E6" w:rsidRPr="00C82703">
        <w:rPr>
          <w:rFonts w:ascii="Times New Roman" w:hAnsi="Times New Roman" w:cs="Times New Roman"/>
        </w:rPr>
        <w:t>3</w:t>
      </w:r>
      <w:r w:rsidRPr="00C82703">
        <w:rPr>
          <w:rFonts w:ascii="Times New Roman" w:hAnsi="Times New Roman" w:cs="Times New Roman"/>
        </w:rPr>
        <w:t>, with a median of 4 doses, a mean of 6.7 doses, and a positively skewed (2.6) distribution.</w:t>
      </w:r>
    </w:p>
    <w:p w14:paraId="66840240" w14:textId="3EC76ED4"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 xml:space="preserve">Main </w:t>
      </w:r>
      <w:r w:rsidR="00483072" w:rsidRPr="00CD54D5">
        <w:rPr>
          <w:rFonts w:ascii="Times New Roman" w:hAnsi="Times New Roman" w:cs="Times New Roman"/>
          <w:b/>
          <w:bCs/>
          <w:color w:val="auto"/>
          <w:sz w:val="24"/>
          <w:szCs w:val="24"/>
        </w:rPr>
        <w:t>effect</w:t>
      </w:r>
    </w:p>
    <w:p w14:paraId="3EBB3A8F" w14:textId="4593E21D" w:rsidR="00376CEF" w:rsidRPr="00C82703" w:rsidRDefault="00BC19F0" w:rsidP="00C82703">
      <w:pPr>
        <w:spacing w:line="480" w:lineRule="auto"/>
        <w:rPr>
          <w:rFonts w:ascii="Times New Roman" w:hAnsi="Times New Roman" w:cs="Times New Roman"/>
        </w:rPr>
      </w:pPr>
      <w:r w:rsidRPr="00C82703">
        <w:rPr>
          <w:rFonts w:ascii="Times New Roman" w:hAnsi="Times New Roman" w:cs="Times New Roman"/>
        </w:rPr>
        <w:t>According to the LDV model, the follow-up K6 score increased by 0.61 points (95% CI: 0.47 to 0.75)</w:t>
      </w:r>
      <w:r w:rsidR="00B35948" w:rsidRPr="00C82703">
        <w:rPr>
          <w:rFonts w:ascii="Times New Roman" w:hAnsi="Times New Roman" w:cs="Times New Roman"/>
        </w:rPr>
        <w:t xml:space="preserve"> among participants who participated in Waves 1 and 2</w:t>
      </w:r>
      <w:r w:rsidRPr="00C82703">
        <w:rPr>
          <w:rFonts w:ascii="Times New Roman" w:hAnsi="Times New Roman" w:cs="Times New Roman"/>
        </w:rPr>
        <w:t xml:space="preserve"> by each unit of increase in the baseline K6 score</w:t>
      </w:r>
      <w:r w:rsidR="00692AFA" w:rsidRPr="00C82703">
        <w:rPr>
          <w:rFonts w:ascii="Times New Roman" w:hAnsi="Times New Roman" w:cs="Times New Roman"/>
        </w:rPr>
        <w:t>, before adjusting for sociodemographic variables</w:t>
      </w:r>
      <w:r w:rsidRPr="00C82703">
        <w:rPr>
          <w:rFonts w:ascii="Times New Roman" w:hAnsi="Times New Roman" w:cs="Times New Roman"/>
        </w:rPr>
        <w:t xml:space="preserve">. </w:t>
      </w:r>
      <w:r w:rsidR="00692AFA" w:rsidRPr="00C82703">
        <w:rPr>
          <w:rFonts w:ascii="Times New Roman" w:hAnsi="Times New Roman" w:cs="Times New Roman"/>
        </w:rPr>
        <w:t>T</w:t>
      </w:r>
      <w:r w:rsidR="008E29F5" w:rsidRPr="00C82703">
        <w:rPr>
          <w:rFonts w:ascii="Times New Roman" w:hAnsi="Times New Roman" w:cs="Times New Roman"/>
        </w:rPr>
        <w:t>he use of psilocybin reduce</w:t>
      </w:r>
      <w:r w:rsidR="00B35948" w:rsidRPr="00C82703">
        <w:rPr>
          <w:rFonts w:ascii="Times New Roman" w:hAnsi="Times New Roman" w:cs="Times New Roman"/>
        </w:rPr>
        <w:t>d</w:t>
      </w:r>
      <w:r w:rsidR="008E29F5" w:rsidRPr="00C82703">
        <w:rPr>
          <w:rFonts w:ascii="Times New Roman" w:hAnsi="Times New Roman" w:cs="Times New Roman"/>
        </w:rPr>
        <w:t xml:space="preserve"> the K6 score by -2.60 (95% CI: -4.63 to -0.57;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 0.427;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adjusted = 0.416)</w:t>
      </w:r>
      <w:r w:rsidR="00692AFA" w:rsidRPr="00C82703">
        <w:rPr>
          <w:rFonts w:ascii="Times New Roman" w:hAnsi="Times New Roman" w:cs="Times New Roman"/>
        </w:rPr>
        <w:t xml:space="preserve"> in the same model</w:t>
      </w:r>
      <w:r w:rsidR="008E29F5" w:rsidRPr="00C82703">
        <w:rPr>
          <w:rFonts w:ascii="Times New Roman" w:hAnsi="Times New Roman" w:cs="Times New Roman"/>
        </w:rPr>
        <w:t>. The</w:t>
      </w:r>
      <w:r w:rsidR="00692AFA" w:rsidRPr="00C82703">
        <w:rPr>
          <w:rFonts w:ascii="Times New Roman" w:hAnsi="Times New Roman" w:cs="Times New Roman"/>
        </w:rPr>
        <w:t xml:space="preserve"> LDV</w:t>
      </w:r>
      <w:r w:rsidR="008E29F5" w:rsidRPr="00C82703">
        <w:rPr>
          <w:rFonts w:ascii="Times New Roman" w:hAnsi="Times New Roman" w:cs="Times New Roman"/>
        </w:rPr>
        <w:t xml:space="preserve"> estimate did not significantly change after adjust</w:t>
      </w:r>
      <w:r w:rsidR="00692AFA" w:rsidRPr="00C82703">
        <w:rPr>
          <w:rFonts w:ascii="Times New Roman" w:hAnsi="Times New Roman" w:cs="Times New Roman"/>
        </w:rPr>
        <w:t>ing for sociodemographic variables</w:t>
      </w:r>
      <w:r w:rsidR="008E29F5" w:rsidRPr="00C82703">
        <w:rPr>
          <w:rFonts w:ascii="Times New Roman" w:hAnsi="Times New Roman" w:cs="Times New Roman"/>
        </w:rPr>
        <w:t xml:space="preserve"> (Table 2). </w:t>
      </w:r>
      <w:r w:rsidR="000036C8" w:rsidRPr="00C82703">
        <w:rPr>
          <w:rFonts w:ascii="Times New Roman" w:hAnsi="Times New Roman" w:cs="Times New Roman"/>
        </w:rPr>
        <w:t xml:space="preserve">Inspection of residuals versus fitted values indicated no </w:t>
      </w:r>
      <w:r w:rsidR="000036C8" w:rsidRPr="00C82703">
        <w:rPr>
          <w:rFonts w:ascii="Times New Roman" w:hAnsi="Times New Roman" w:cs="Times New Roman"/>
        </w:rPr>
        <w:lastRenderedPageBreak/>
        <w:t>obvious deviations from homoscedasticity or nonlinearity, suggesting that model assumptions were reasonably met (Supplementary Figure S1).</w:t>
      </w:r>
    </w:p>
    <w:p w14:paraId="011C3837" w14:textId="40322DE2" w:rsidR="009650E6" w:rsidRPr="00C82703" w:rsidRDefault="00376CEF" w:rsidP="00CD54D5">
      <w:pPr>
        <w:spacing w:line="480" w:lineRule="auto"/>
        <w:ind w:firstLine="720"/>
        <w:rPr>
          <w:rFonts w:ascii="Times New Roman" w:hAnsi="Times New Roman" w:cs="Times New Roman"/>
        </w:rPr>
      </w:pPr>
      <w:r w:rsidRPr="00C82703">
        <w:rPr>
          <w:rFonts w:ascii="Times New Roman" w:hAnsi="Times New Roman" w:cs="Times New Roman"/>
        </w:rPr>
        <w:t xml:space="preserve">Only </w:t>
      </w:r>
      <w:r w:rsidR="00CD54D5">
        <w:rPr>
          <w:rFonts w:ascii="Times New Roman" w:hAnsi="Times New Roman" w:cs="Times New Roman"/>
        </w:rPr>
        <w:t>two</w:t>
      </w:r>
      <w:r w:rsidRPr="00C82703">
        <w:rPr>
          <w:rFonts w:ascii="Times New Roman" w:hAnsi="Times New Roman" w:cs="Times New Roman"/>
        </w:rPr>
        <w:t xml:space="preserve"> participants had extreme weights before trimming. The IPTW produced balanced groups in terms of age, gender, education, and baseline K6 score (SMD=0.03 in all cases).</w:t>
      </w:r>
      <w:r w:rsidR="007D5289" w:rsidRPr="00C82703">
        <w:rPr>
          <w:rFonts w:ascii="Times New Roman" w:hAnsi="Times New Roman" w:cs="Times New Roman"/>
        </w:rPr>
        <w:t xml:space="preserve"> Propensity score distributions for the treatment and control groups showed adequate overlap, indicating sufficient common support for estimating treatment effects (Supplementary Figure S</w:t>
      </w:r>
      <w:r w:rsidR="000036C8" w:rsidRPr="00C82703">
        <w:rPr>
          <w:rFonts w:ascii="Times New Roman" w:hAnsi="Times New Roman" w:cs="Times New Roman"/>
        </w:rPr>
        <w:t>2</w:t>
      </w:r>
      <w:r w:rsidR="007D5289" w:rsidRPr="00C82703">
        <w:rPr>
          <w:rFonts w:ascii="Times New Roman" w:hAnsi="Times New Roman" w:cs="Times New Roman"/>
        </w:rPr>
        <w:t>).</w:t>
      </w:r>
      <w:r w:rsidRPr="00C82703">
        <w:rPr>
          <w:rFonts w:ascii="Times New Roman" w:hAnsi="Times New Roman" w:cs="Times New Roman"/>
        </w:rPr>
        <w:t xml:space="preserve"> </w:t>
      </w:r>
      <w:r w:rsidR="008E29F5" w:rsidRPr="00C82703">
        <w:rPr>
          <w:rFonts w:ascii="Times New Roman" w:hAnsi="Times New Roman" w:cs="Times New Roman"/>
        </w:rPr>
        <w:t>The IPTW model estimated a score reduction of -2.58 (95% CI: -5.07 to -0.08;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 0.05;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adjusted = 0.04) before adjusting for sociodemographic variables and baseline score.  </w:t>
      </w:r>
      <w:r w:rsidR="00692AFA" w:rsidRPr="00C82703">
        <w:rPr>
          <w:rFonts w:ascii="Times New Roman" w:hAnsi="Times New Roman" w:cs="Times New Roman"/>
        </w:rPr>
        <w:t>Once more</w:t>
      </w:r>
      <w:r w:rsidR="008E29F5" w:rsidRPr="00C82703">
        <w:rPr>
          <w:rFonts w:ascii="Times New Roman" w:hAnsi="Times New Roman" w:cs="Times New Roman"/>
        </w:rPr>
        <w:t>, the model did not significantly change after adjustment for sociodemographic variables (Table 2).</w:t>
      </w:r>
      <w:r w:rsidRPr="00C82703">
        <w:rPr>
          <w:rFonts w:ascii="Times New Roman" w:hAnsi="Times New Roman" w:cs="Times New Roman"/>
        </w:rPr>
        <w:t xml:space="preserve"> </w:t>
      </w:r>
    </w:p>
    <w:p w14:paraId="733F2090" w14:textId="4BDB58FE" w:rsidR="008E29F5" w:rsidRPr="00C82703" w:rsidRDefault="009650E6" w:rsidP="00CD54D5">
      <w:pPr>
        <w:spacing w:line="480" w:lineRule="auto"/>
        <w:ind w:firstLine="720"/>
        <w:rPr>
          <w:rFonts w:ascii="Times New Roman" w:hAnsi="Times New Roman" w:cs="Times New Roman"/>
        </w:rPr>
      </w:pPr>
      <w:r w:rsidRPr="00C82703">
        <w:rPr>
          <w:rFonts w:ascii="Times New Roman" w:hAnsi="Times New Roman" w:cs="Times New Roman"/>
        </w:rPr>
        <w:t>Finally, t</w:t>
      </w:r>
      <w:r w:rsidR="00692AFA" w:rsidRPr="00C82703">
        <w:rPr>
          <w:rFonts w:ascii="Times New Roman" w:hAnsi="Times New Roman" w:cs="Times New Roman"/>
        </w:rPr>
        <w:t>he within-subject score change attributable to treatment between waves was estimated at -3.82 (95%</w:t>
      </w:r>
      <w:r w:rsidR="002F1A27" w:rsidRPr="00C82703">
        <w:rPr>
          <w:rFonts w:ascii="Times New Roman" w:hAnsi="Times New Roman" w:cs="Times New Roman"/>
        </w:rPr>
        <w:t xml:space="preserve"> CI: </w:t>
      </w:r>
      <w:r w:rsidR="00692AFA" w:rsidRPr="00C82703">
        <w:rPr>
          <w:rFonts w:ascii="Times New Roman" w:hAnsi="Times New Roman" w:cs="Times New Roman"/>
        </w:rPr>
        <w:t xml:space="preserve">-5.80 </w:t>
      </w:r>
      <w:r w:rsidR="002F1A27" w:rsidRPr="00C82703">
        <w:rPr>
          <w:rFonts w:ascii="Times New Roman" w:hAnsi="Times New Roman" w:cs="Times New Roman"/>
        </w:rPr>
        <w:t>to</w:t>
      </w:r>
      <w:r w:rsidR="00692AFA" w:rsidRPr="00C82703">
        <w:rPr>
          <w:rFonts w:ascii="Times New Roman" w:hAnsi="Times New Roman" w:cs="Times New Roman"/>
        </w:rPr>
        <w:t xml:space="preserve"> -1.84</w:t>
      </w:r>
      <w:r w:rsidR="002F1A27" w:rsidRPr="00C82703">
        <w:rPr>
          <w:rFonts w:ascii="Times New Roman" w:hAnsi="Times New Roman" w:cs="Times New Roman"/>
        </w:rPr>
        <w:t>) by the fixed-effects model (within R</w:t>
      </w:r>
      <w:r w:rsidR="002F1A27" w:rsidRPr="00C82703">
        <w:rPr>
          <w:rFonts w:ascii="Times New Roman" w:hAnsi="Times New Roman" w:cs="Times New Roman"/>
          <w:vertAlign w:val="superscript"/>
        </w:rPr>
        <w:t>2</w:t>
      </w:r>
      <w:r w:rsidR="002F1A27" w:rsidRPr="00C82703">
        <w:rPr>
          <w:rFonts w:ascii="Times New Roman" w:hAnsi="Times New Roman" w:cs="Times New Roman"/>
        </w:rPr>
        <w:t xml:space="preserve"> = 0.12).</w:t>
      </w:r>
      <w:r w:rsidRPr="00C82703">
        <w:rPr>
          <w:rFonts w:ascii="Times New Roman" w:hAnsi="Times New Roman" w:cs="Times New Roman"/>
        </w:rPr>
        <w:t xml:space="preserve"> </w:t>
      </w:r>
    </w:p>
    <w:p w14:paraId="029DD0C9" w14:textId="357540CF" w:rsidR="008E29F5" w:rsidRPr="00CD54D5" w:rsidRDefault="00076819" w:rsidP="00CD54D5">
      <w:pPr>
        <w:spacing w:after="0" w:line="240" w:lineRule="auto"/>
        <w:jc w:val="center"/>
        <w:rPr>
          <w:rFonts w:ascii="Times New Roman" w:hAnsi="Times New Roman" w:cs="Times New Roman"/>
          <w:b/>
          <w:bCs/>
        </w:rPr>
      </w:pPr>
      <w:r w:rsidRPr="00CD54D5">
        <w:rPr>
          <w:rFonts w:ascii="Times New Roman" w:hAnsi="Times New Roman" w:cs="Times New Roman"/>
          <w:b/>
          <w:bCs/>
        </w:rPr>
        <w:t>Table 2</w:t>
      </w:r>
      <w:r w:rsidR="008E29F5" w:rsidRPr="00CD54D5">
        <w:rPr>
          <w:rFonts w:ascii="Times New Roman" w:hAnsi="Times New Roman" w:cs="Times New Roman"/>
          <w:b/>
          <w:bCs/>
        </w:rPr>
        <w:t>. Coefficients for</w:t>
      </w:r>
      <w:r w:rsidR="002F1A27" w:rsidRPr="00CD54D5">
        <w:rPr>
          <w:rFonts w:ascii="Times New Roman" w:hAnsi="Times New Roman" w:cs="Times New Roman"/>
          <w:b/>
          <w:bCs/>
        </w:rPr>
        <w:t xml:space="preserve"> the Lagged Dependent Variable (LDV) and Inverse Probability of Treatment Weighted (IPTW) </w:t>
      </w:r>
      <w:r w:rsidR="008E29F5" w:rsidRPr="00CD54D5">
        <w:rPr>
          <w:rFonts w:ascii="Times New Roman" w:hAnsi="Times New Roman" w:cs="Times New Roman"/>
          <w:b/>
          <w:bCs/>
        </w:rPr>
        <w:t>models</w:t>
      </w:r>
      <w:r w:rsidRPr="00CD54D5">
        <w:rPr>
          <w:rFonts w:ascii="Times New Roman" w:hAnsi="Times New Roman" w:cs="Times New Roman"/>
          <w:b/>
          <w:bCs/>
        </w:rPr>
        <w:t>.</w:t>
      </w:r>
    </w:p>
    <w:tbl>
      <w:tblPr>
        <w:tblW w:w="4694" w:type="pct"/>
        <w:tblCellMar>
          <w:top w:w="15" w:type="dxa"/>
          <w:left w:w="15" w:type="dxa"/>
          <w:bottom w:w="15" w:type="dxa"/>
          <w:right w:w="15" w:type="dxa"/>
        </w:tblCellMar>
        <w:tblLook w:val="04A0" w:firstRow="1" w:lastRow="0" w:firstColumn="1" w:lastColumn="0" w:noHBand="0" w:noVBand="1"/>
      </w:tblPr>
      <w:tblGrid>
        <w:gridCol w:w="2409"/>
        <w:gridCol w:w="1274"/>
        <w:gridCol w:w="1914"/>
        <w:gridCol w:w="1206"/>
        <w:gridCol w:w="1984"/>
      </w:tblGrid>
      <w:tr w:rsidR="00C82703" w:rsidRPr="00C82703" w14:paraId="6CF90004" w14:textId="77777777" w:rsidTr="00CD54D5">
        <w:trPr>
          <w:trHeight w:val="55"/>
        </w:trPr>
        <w:tc>
          <w:tcPr>
            <w:tcW w:w="1371" w:type="pct"/>
            <w:tcBorders>
              <w:top w:val="single" w:sz="4" w:space="0" w:color="auto"/>
              <w:bottom w:val="single" w:sz="6" w:space="0" w:color="auto"/>
            </w:tcBorders>
            <w:vAlign w:val="center"/>
            <w:hideMark/>
          </w:tcPr>
          <w:p w14:paraId="572BBD82" w14:textId="1F40CB87" w:rsidR="00FC29CB" w:rsidRPr="00C82703" w:rsidRDefault="007D5289" w:rsidP="00CD54D5">
            <w:pPr>
              <w:spacing w:after="0" w:line="240" w:lineRule="auto"/>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Variable</w:t>
            </w:r>
          </w:p>
        </w:tc>
        <w:tc>
          <w:tcPr>
            <w:tcW w:w="725" w:type="pct"/>
            <w:tcBorders>
              <w:top w:val="single" w:sz="4" w:space="0" w:color="auto"/>
              <w:bottom w:val="single" w:sz="6" w:space="0" w:color="auto"/>
            </w:tcBorders>
            <w:vAlign w:val="center"/>
            <w:hideMark/>
          </w:tcPr>
          <w:p w14:paraId="441206C2" w14:textId="378D45DA" w:rsidR="00FC29CB" w:rsidRPr="00C82703" w:rsidRDefault="007D5289"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LVD model e</w:t>
            </w:r>
            <w:r w:rsidR="00FC29CB" w:rsidRPr="00C82703">
              <w:rPr>
                <w:rFonts w:ascii="Times New Roman" w:eastAsia="Times New Roman" w:hAnsi="Times New Roman" w:cs="Times New Roman"/>
                <w:b/>
                <w:bCs/>
                <w:kern w:val="0"/>
                <w:lang w:eastAsia="en-CA"/>
                <w14:ligatures w14:val="none"/>
              </w:rPr>
              <w:t>stimates</w:t>
            </w:r>
          </w:p>
        </w:tc>
        <w:tc>
          <w:tcPr>
            <w:tcW w:w="1089" w:type="pct"/>
            <w:tcBorders>
              <w:top w:val="single" w:sz="4" w:space="0" w:color="auto"/>
              <w:bottom w:val="single" w:sz="6" w:space="0" w:color="auto"/>
            </w:tcBorders>
            <w:vAlign w:val="center"/>
            <w:hideMark/>
          </w:tcPr>
          <w:p w14:paraId="029A14DA" w14:textId="70853EC4" w:rsidR="00FC29CB" w:rsidRPr="00C82703" w:rsidRDefault="00FC29CB"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95% Conf. </w:t>
            </w:r>
            <w:r w:rsidR="00C4027C" w:rsidRPr="00C82703">
              <w:rPr>
                <w:rFonts w:ascii="Times New Roman" w:eastAsia="Times New Roman" w:hAnsi="Times New Roman" w:cs="Times New Roman"/>
                <w:b/>
                <w:bCs/>
                <w:kern w:val="0"/>
                <w:lang w:eastAsia="en-CA"/>
                <w14:ligatures w14:val="none"/>
              </w:rPr>
              <w:br/>
            </w:r>
            <w:r w:rsidRPr="00C82703">
              <w:rPr>
                <w:rFonts w:ascii="Times New Roman" w:eastAsia="Times New Roman" w:hAnsi="Times New Roman" w:cs="Times New Roman"/>
                <w:b/>
                <w:bCs/>
                <w:kern w:val="0"/>
                <w:lang w:eastAsia="en-CA"/>
                <w14:ligatures w14:val="none"/>
              </w:rPr>
              <w:t>Intervals</w:t>
            </w:r>
          </w:p>
        </w:tc>
        <w:tc>
          <w:tcPr>
            <w:tcW w:w="686" w:type="pct"/>
            <w:tcBorders>
              <w:top w:val="single" w:sz="4" w:space="0" w:color="auto"/>
              <w:bottom w:val="single" w:sz="6" w:space="0" w:color="auto"/>
            </w:tcBorders>
            <w:vAlign w:val="center"/>
            <w:hideMark/>
          </w:tcPr>
          <w:p w14:paraId="6B9BD174" w14:textId="3DAE32B0" w:rsidR="00FC29CB" w:rsidRPr="00C82703" w:rsidRDefault="007D5289"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IPTW model </w:t>
            </w:r>
            <w:r w:rsidR="00FC29CB" w:rsidRPr="00C82703">
              <w:rPr>
                <w:rFonts w:ascii="Times New Roman" w:eastAsia="Times New Roman" w:hAnsi="Times New Roman" w:cs="Times New Roman"/>
                <w:b/>
                <w:bCs/>
                <w:kern w:val="0"/>
                <w:lang w:eastAsia="en-CA"/>
                <w14:ligatures w14:val="none"/>
              </w:rPr>
              <w:t>Estimates</w:t>
            </w:r>
          </w:p>
        </w:tc>
        <w:tc>
          <w:tcPr>
            <w:tcW w:w="1129" w:type="pct"/>
            <w:tcBorders>
              <w:top w:val="single" w:sz="4" w:space="0" w:color="auto"/>
              <w:bottom w:val="single" w:sz="6" w:space="0" w:color="auto"/>
            </w:tcBorders>
            <w:vAlign w:val="center"/>
            <w:hideMark/>
          </w:tcPr>
          <w:p w14:paraId="53BF3F75" w14:textId="42C5E748" w:rsidR="00FC29CB" w:rsidRPr="00C82703" w:rsidRDefault="00FC29CB"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95% Conf. </w:t>
            </w:r>
            <w:r w:rsidR="00C4027C" w:rsidRPr="00C82703">
              <w:rPr>
                <w:rFonts w:ascii="Times New Roman" w:eastAsia="Times New Roman" w:hAnsi="Times New Roman" w:cs="Times New Roman"/>
                <w:b/>
                <w:bCs/>
                <w:kern w:val="0"/>
                <w:lang w:eastAsia="en-CA"/>
                <w14:ligatures w14:val="none"/>
              </w:rPr>
              <w:br/>
            </w:r>
            <w:r w:rsidRPr="00C82703">
              <w:rPr>
                <w:rFonts w:ascii="Times New Roman" w:eastAsia="Times New Roman" w:hAnsi="Times New Roman" w:cs="Times New Roman"/>
                <w:b/>
                <w:bCs/>
                <w:kern w:val="0"/>
                <w:lang w:eastAsia="en-CA"/>
                <w14:ligatures w14:val="none"/>
              </w:rPr>
              <w:t>Intervals</w:t>
            </w:r>
          </w:p>
        </w:tc>
      </w:tr>
      <w:tr w:rsidR="00C82703" w:rsidRPr="00C82703" w14:paraId="11358F42" w14:textId="77777777" w:rsidTr="00CD54D5">
        <w:trPr>
          <w:trHeight w:val="27"/>
        </w:trPr>
        <w:tc>
          <w:tcPr>
            <w:tcW w:w="1371" w:type="pct"/>
            <w:tcMar>
              <w:top w:w="113" w:type="dxa"/>
              <w:left w:w="113" w:type="dxa"/>
              <w:bottom w:w="113" w:type="dxa"/>
              <w:right w:w="113" w:type="dxa"/>
            </w:tcMar>
            <w:hideMark/>
          </w:tcPr>
          <w:p w14:paraId="27828760"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(Intercept)</w:t>
            </w:r>
          </w:p>
        </w:tc>
        <w:tc>
          <w:tcPr>
            <w:tcW w:w="725" w:type="pct"/>
            <w:tcMar>
              <w:top w:w="113" w:type="dxa"/>
              <w:left w:w="113" w:type="dxa"/>
              <w:bottom w:w="113" w:type="dxa"/>
              <w:right w:w="113" w:type="dxa"/>
            </w:tcMar>
            <w:hideMark/>
          </w:tcPr>
          <w:p w14:paraId="5590335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3.69</w:t>
            </w:r>
          </w:p>
        </w:tc>
        <w:tc>
          <w:tcPr>
            <w:tcW w:w="1089" w:type="pct"/>
            <w:tcMar>
              <w:top w:w="113" w:type="dxa"/>
              <w:left w:w="113" w:type="dxa"/>
              <w:bottom w:w="113" w:type="dxa"/>
              <w:right w:w="113" w:type="dxa"/>
            </w:tcMar>
            <w:hideMark/>
          </w:tcPr>
          <w:p w14:paraId="180E2C55" w14:textId="01B6F749"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0.16 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7.23</w:t>
            </w:r>
          </w:p>
        </w:tc>
        <w:tc>
          <w:tcPr>
            <w:tcW w:w="686" w:type="pct"/>
            <w:tcMar>
              <w:top w:w="113" w:type="dxa"/>
              <w:left w:w="113" w:type="dxa"/>
              <w:bottom w:w="113" w:type="dxa"/>
              <w:right w:w="113" w:type="dxa"/>
            </w:tcMar>
            <w:hideMark/>
          </w:tcPr>
          <w:p w14:paraId="68C5630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2.77</w:t>
            </w:r>
          </w:p>
        </w:tc>
        <w:tc>
          <w:tcPr>
            <w:tcW w:w="1129" w:type="pct"/>
            <w:tcMar>
              <w:top w:w="113" w:type="dxa"/>
              <w:left w:w="113" w:type="dxa"/>
              <w:bottom w:w="113" w:type="dxa"/>
              <w:right w:w="113" w:type="dxa"/>
            </w:tcMar>
            <w:hideMark/>
          </w:tcPr>
          <w:p w14:paraId="7774A7BB" w14:textId="2AA23273"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-1.73 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7.27</w:t>
            </w:r>
          </w:p>
        </w:tc>
      </w:tr>
      <w:tr w:rsidR="00C82703" w:rsidRPr="00C82703" w14:paraId="5702F93B" w14:textId="77777777" w:rsidTr="00CD54D5">
        <w:trPr>
          <w:trHeight w:val="27"/>
        </w:trPr>
        <w:tc>
          <w:tcPr>
            <w:tcW w:w="1371" w:type="pct"/>
            <w:tcMar>
              <w:top w:w="113" w:type="dxa"/>
              <w:left w:w="113" w:type="dxa"/>
              <w:bottom w:w="113" w:type="dxa"/>
              <w:right w:w="113" w:type="dxa"/>
            </w:tcMar>
            <w:hideMark/>
          </w:tcPr>
          <w:p w14:paraId="4EC58D13"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Treatment</w:t>
            </w:r>
          </w:p>
        </w:tc>
        <w:tc>
          <w:tcPr>
            <w:tcW w:w="725" w:type="pct"/>
            <w:tcMar>
              <w:top w:w="113" w:type="dxa"/>
              <w:left w:w="113" w:type="dxa"/>
              <w:bottom w:w="113" w:type="dxa"/>
              <w:right w:w="113" w:type="dxa"/>
            </w:tcMar>
            <w:hideMark/>
          </w:tcPr>
          <w:p w14:paraId="0BC1F14A"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-2.63</w:t>
            </w:r>
          </w:p>
        </w:tc>
        <w:tc>
          <w:tcPr>
            <w:tcW w:w="1089" w:type="pct"/>
            <w:tcMar>
              <w:top w:w="113" w:type="dxa"/>
              <w:left w:w="113" w:type="dxa"/>
              <w:bottom w:w="113" w:type="dxa"/>
              <w:right w:w="113" w:type="dxa"/>
            </w:tcMar>
            <w:hideMark/>
          </w:tcPr>
          <w:p w14:paraId="2A526020" w14:textId="7298C063"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-4.70 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-0.56</w:t>
            </w:r>
          </w:p>
        </w:tc>
        <w:tc>
          <w:tcPr>
            <w:tcW w:w="686" w:type="pct"/>
            <w:tcMar>
              <w:top w:w="113" w:type="dxa"/>
              <w:left w:w="113" w:type="dxa"/>
              <w:bottom w:w="113" w:type="dxa"/>
              <w:right w:w="113" w:type="dxa"/>
            </w:tcMar>
            <w:hideMark/>
          </w:tcPr>
          <w:p w14:paraId="3ACC7551"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-2.49</w:t>
            </w:r>
          </w:p>
        </w:tc>
        <w:tc>
          <w:tcPr>
            <w:tcW w:w="1129" w:type="pct"/>
            <w:tcMar>
              <w:top w:w="113" w:type="dxa"/>
              <w:left w:w="113" w:type="dxa"/>
              <w:bottom w:w="113" w:type="dxa"/>
              <w:right w:w="113" w:type="dxa"/>
            </w:tcMar>
            <w:hideMark/>
          </w:tcPr>
          <w:p w14:paraId="50BD781F" w14:textId="1349FC7A"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-4.53 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-0.46</w:t>
            </w:r>
          </w:p>
        </w:tc>
      </w:tr>
      <w:tr w:rsidR="00C82703" w:rsidRPr="00C82703" w14:paraId="5F26FE2B" w14:textId="77777777" w:rsidTr="00376CEF">
        <w:tc>
          <w:tcPr>
            <w:tcW w:w="1371" w:type="pct"/>
            <w:tcMar>
              <w:top w:w="113" w:type="dxa"/>
              <w:left w:w="113" w:type="dxa"/>
              <w:bottom w:w="113" w:type="dxa"/>
              <w:right w:w="113" w:type="dxa"/>
            </w:tcMar>
            <w:hideMark/>
          </w:tcPr>
          <w:p w14:paraId="2820224E"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Baseline K6 score</w:t>
            </w:r>
          </w:p>
        </w:tc>
        <w:tc>
          <w:tcPr>
            <w:tcW w:w="725" w:type="pct"/>
            <w:tcMar>
              <w:top w:w="113" w:type="dxa"/>
              <w:left w:w="113" w:type="dxa"/>
              <w:bottom w:w="113" w:type="dxa"/>
              <w:right w:w="113" w:type="dxa"/>
            </w:tcMar>
            <w:hideMark/>
          </w:tcPr>
          <w:p w14:paraId="73D0C3F4"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0.60</w:t>
            </w:r>
          </w:p>
        </w:tc>
        <w:tc>
          <w:tcPr>
            <w:tcW w:w="1089" w:type="pct"/>
            <w:tcMar>
              <w:top w:w="113" w:type="dxa"/>
              <w:left w:w="113" w:type="dxa"/>
              <w:bottom w:w="113" w:type="dxa"/>
              <w:right w:w="113" w:type="dxa"/>
            </w:tcMar>
            <w:hideMark/>
          </w:tcPr>
          <w:p w14:paraId="2AFA5BA2" w14:textId="55AF1BD8"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0.76</w:t>
            </w:r>
          </w:p>
        </w:tc>
        <w:tc>
          <w:tcPr>
            <w:tcW w:w="686" w:type="pct"/>
            <w:tcMar>
              <w:top w:w="113" w:type="dxa"/>
              <w:left w:w="113" w:type="dxa"/>
              <w:bottom w:w="113" w:type="dxa"/>
              <w:right w:w="113" w:type="dxa"/>
            </w:tcMar>
            <w:hideMark/>
          </w:tcPr>
          <w:p w14:paraId="6E6D2149"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0.57</w:t>
            </w:r>
          </w:p>
        </w:tc>
        <w:tc>
          <w:tcPr>
            <w:tcW w:w="1129" w:type="pct"/>
            <w:tcMar>
              <w:top w:w="113" w:type="dxa"/>
              <w:left w:w="113" w:type="dxa"/>
              <w:bottom w:w="113" w:type="dxa"/>
              <w:right w:w="113" w:type="dxa"/>
            </w:tcMar>
            <w:hideMark/>
          </w:tcPr>
          <w:p w14:paraId="6BA2F1C4" w14:textId="62529E1A"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0.39 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0.76</w:t>
            </w:r>
          </w:p>
        </w:tc>
      </w:tr>
      <w:tr w:rsidR="00C82703" w:rsidRPr="00C82703" w14:paraId="5869223A" w14:textId="77777777" w:rsidTr="00376CEF">
        <w:tc>
          <w:tcPr>
            <w:tcW w:w="1371" w:type="pct"/>
            <w:tcMar>
              <w:top w:w="113" w:type="dxa"/>
              <w:left w:w="113" w:type="dxa"/>
              <w:bottom w:w="113" w:type="dxa"/>
              <w:right w:w="113" w:type="dxa"/>
            </w:tcMar>
            <w:hideMark/>
          </w:tcPr>
          <w:p w14:paraId="75F19CEC"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Age</w:t>
            </w:r>
          </w:p>
        </w:tc>
        <w:tc>
          <w:tcPr>
            <w:tcW w:w="725" w:type="pct"/>
            <w:tcMar>
              <w:top w:w="113" w:type="dxa"/>
              <w:left w:w="113" w:type="dxa"/>
              <w:bottom w:w="113" w:type="dxa"/>
              <w:right w:w="113" w:type="dxa"/>
            </w:tcMar>
            <w:hideMark/>
          </w:tcPr>
          <w:p w14:paraId="511DF9C0"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0.00</w:t>
            </w:r>
          </w:p>
        </w:tc>
        <w:tc>
          <w:tcPr>
            <w:tcW w:w="1089" w:type="pct"/>
            <w:tcMar>
              <w:top w:w="113" w:type="dxa"/>
              <w:left w:w="113" w:type="dxa"/>
              <w:bottom w:w="113" w:type="dxa"/>
              <w:right w:w="113" w:type="dxa"/>
            </w:tcMar>
            <w:hideMark/>
          </w:tcPr>
          <w:p w14:paraId="060329DF" w14:textId="053E1751"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0.07</w:t>
            </w:r>
          </w:p>
        </w:tc>
        <w:tc>
          <w:tcPr>
            <w:tcW w:w="686" w:type="pct"/>
            <w:tcMar>
              <w:top w:w="113" w:type="dxa"/>
              <w:left w:w="113" w:type="dxa"/>
              <w:bottom w:w="113" w:type="dxa"/>
              <w:right w:w="113" w:type="dxa"/>
            </w:tcMar>
            <w:hideMark/>
          </w:tcPr>
          <w:p w14:paraId="7A39AB61"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0.03</w:t>
            </w:r>
          </w:p>
        </w:tc>
        <w:tc>
          <w:tcPr>
            <w:tcW w:w="1129" w:type="pct"/>
            <w:tcMar>
              <w:top w:w="113" w:type="dxa"/>
              <w:left w:w="113" w:type="dxa"/>
              <w:bottom w:w="113" w:type="dxa"/>
              <w:right w:w="113" w:type="dxa"/>
            </w:tcMar>
            <w:hideMark/>
          </w:tcPr>
          <w:p w14:paraId="11709423" w14:textId="42270BE8"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0.12</w:t>
            </w:r>
          </w:p>
        </w:tc>
      </w:tr>
      <w:tr w:rsidR="00C82703" w:rsidRPr="00C82703" w14:paraId="3E786B85" w14:textId="77777777" w:rsidTr="00376CEF">
        <w:tc>
          <w:tcPr>
            <w:tcW w:w="1371" w:type="pct"/>
            <w:tcMar>
              <w:top w:w="113" w:type="dxa"/>
              <w:left w:w="113" w:type="dxa"/>
              <w:bottom w:w="113" w:type="dxa"/>
              <w:right w:w="113" w:type="dxa"/>
            </w:tcMar>
            <w:hideMark/>
          </w:tcPr>
          <w:p w14:paraId="5452E6DB"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[Other]</w:t>
            </w:r>
          </w:p>
        </w:tc>
        <w:tc>
          <w:tcPr>
            <w:tcW w:w="725" w:type="pct"/>
            <w:tcMar>
              <w:top w:w="113" w:type="dxa"/>
              <w:left w:w="113" w:type="dxa"/>
              <w:bottom w:w="113" w:type="dxa"/>
              <w:right w:w="113" w:type="dxa"/>
            </w:tcMar>
            <w:hideMark/>
          </w:tcPr>
          <w:p w14:paraId="0B6F4CF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0.73</w:t>
            </w:r>
          </w:p>
        </w:tc>
        <w:tc>
          <w:tcPr>
            <w:tcW w:w="1089" w:type="pct"/>
            <w:tcMar>
              <w:top w:w="113" w:type="dxa"/>
              <w:left w:w="113" w:type="dxa"/>
              <w:bottom w:w="113" w:type="dxa"/>
              <w:right w:w="113" w:type="dxa"/>
            </w:tcMar>
            <w:hideMark/>
          </w:tcPr>
          <w:p w14:paraId="47E80DF9" w14:textId="06591746"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-2.35 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3.80</w:t>
            </w:r>
          </w:p>
        </w:tc>
        <w:tc>
          <w:tcPr>
            <w:tcW w:w="686" w:type="pct"/>
            <w:tcMar>
              <w:top w:w="113" w:type="dxa"/>
              <w:left w:w="113" w:type="dxa"/>
              <w:bottom w:w="113" w:type="dxa"/>
              <w:right w:w="113" w:type="dxa"/>
            </w:tcMar>
            <w:hideMark/>
          </w:tcPr>
          <w:p w14:paraId="6810CF83"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1.51</w:t>
            </w:r>
          </w:p>
        </w:tc>
        <w:tc>
          <w:tcPr>
            <w:tcW w:w="1129" w:type="pct"/>
            <w:tcMar>
              <w:top w:w="113" w:type="dxa"/>
              <w:left w:w="113" w:type="dxa"/>
              <w:bottom w:w="113" w:type="dxa"/>
              <w:right w:w="113" w:type="dxa"/>
            </w:tcMar>
            <w:hideMark/>
          </w:tcPr>
          <w:p w14:paraId="67F5C847" w14:textId="4D7962A9"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-2.05 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5.07</w:t>
            </w:r>
          </w:p>
        </w:tc>
      </w:tr>
      <w:tr w:rsidR="00C82703" w:rsidRPr="00C82703" w14:paraId="3C7D3313" w14:textId="77777777" w:rsidTr="00376CEF">
        <w:tc>
          <w:tcPr>
            <w:tcW w:w="1371" w:type="pct"/>
            <w:tcMar>
              <w:top w:w="113" w:type="dxa"/>
              <w:left w:w="113" w:type="dxa"/>
              <w:bottom w:w="113" w:type="dxa"/>
              <w:right w:w="113" w:type="dxa"/>
            </w:tcMar>
            <w:hideMark/>
          </w:tcPr>
          <w:p w14:paraId="2CC1A9B4"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[Woman]</w:t>
            </w:r>
          </w:p>
        </w:tc>
        <w:tc>
          <w:tcPr>
            <w:tcW w:w="725" w:type="pct"/>
            <w:tcMar>
              <w:top w:w="113" w:type="dxa"/>
              <w:left w:w="113" w:type="dxa"/>
              <w:bottom w:w="113" w:type="dxa"/>
              <w:right w:w="113" w:type="dxa"/>
            </w:tcMar>
            <w:hideMark/>
          </w:tcPr>
          <w:p w14:paraId="1C9836CF"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-1.16</w:t>
            </w:r>
          </w:p>
        </w:tc>
        <w:tc>
          <w:tcPr>
            <w:tcW w:w="1089" w:type="pct"/>
            <w:tcMar>
              <w:top w:w="113" w:type="dxa"/>
              <w:left w:w="113" w:type="dxa"/>
              <w:bottom w:w="113" w:type="dxa"/>
              <w:right w:w="113" w:type="dxa"/>
            </w:tcMar>
            <w:hideMark/>
          </w:tcPr>
          <w:p w14:paraId="167B6391" w14:textId="347201A4"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-3.42 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1.10</w:t>
            </w:r>
          </w:p>
        </w:tc>
        <w:tc>
          <w:tcPr>
            <w:tcW w:w="686" w:type="pct"/>
            <w:tcMar>
              <w:top w:w="113" w:type="dxa"/>
              <w:left w:w="113" w:type="dxa"/>
              <w:bottom w:w="113" w:type="dxa"/>
              <w:right w:w="113" w:type="dxa"/>
            </w:tcMar>
            <w:hideMark/>
          </w:tcPr>
          <w:p w14:paraId="2F0B78E7"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-1.11</w:t>
            </w:r>
          </w:p>
        </w:tc>
        <w:tc>
          <w:tcPr>
            <w:tcW w:w="1129" w:type="pct"/>
            <w:tcMar>
              <w:top w:w="113" w:type="dxa"/>
              <w:left w:w="113" w:type="dxa"/>
              <w:bottom w:w="113" w:type="dxa"/>
              <w:right w:w="113" w:type="dxa"/>
            </w:tcMar>
            <w:hideMark/>
          </w:tcPr>
          <w:p w14:paraId="6629F7DA" w14:textId="197A26B5"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1.83</w:t>
            </w:r>
          </w:p>
        </w:tc>
      </w:tr>
      <w:tr w:rsidR="00C82703" w:rsidRPr="00C82703" w14:paraId="772C584A" w14:textId="77777777" w:rsidTr="00376CEF">
        <w:tc>
          <w:tcPr>
            <w:tcW w:w="1371" w:type="pct"/>
            <w:tcBorders>
              <w:bottom w:val="single" w:sz="4" w:space="0" w:color="auto"/>
            </w:tcBorders>
            <w:tcMar>
              <w:top w:w="113" w:type="dxa"/>
              <w:left w:w="113" w:type="dxa"/>
              <w:bottom w:w="113" w:type="dxa"/>
              <w:right w:w="113" w:type="dxa"/>
            </w:tcMar>
            <w:hideMark/>
          </w:tcPr>
          <w:p w14:paraId="2A1D29DC" w14:textId="78C59E5C"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Education [&lt; bachelor]</w:t>
            </w:r>
          </w:p>
        </w:tc>
        <w:tc>
          <w:tcPr>
            <w:tcW w:w="725" w:type="pct"/>
            <w:tcBorders>
              <w:bottom w:val="single" w:sz="4" w:space="0" w:color="auto"/>
            </w:tcBorders>
            <w:tcMar>
              <w:top w:w="113" w:type="dxa"/>
              <w:left w:w="113" w:type="dxa"/>
              <w:bottom w:w="113" w:type="dxa"/>
              <w:right w:w="113" w:type="dxa"/>
            </w:tcMar>
            <w:hideMark/>
          </w:tcPr>
          <w:p w14:paraId="3BDB9B1D"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0.25</w:t>
            </w:r>
          </w:p>
        </w:tc>
        <w:tc>
          <w:tcPr>
            <w:tcW w:w="1089" w:type="pct"/>
            <w:tcBorders>
              <w:bottom w:val="single" w:sz="4" w:space="0" w:color="auto"/>
            </w:tcBorders>
            <w:tcMar>
              <w:top w:w="113" w:type="dxa"/>
              <w:left w:w="113" w:type="dxa"/>
              <w:bottom w:w="113" w:type="dxa"/>
              <w:right w:w="113" w:type="dxa"/>
            </w:tcMar>
            <w:hideMark/>
          </w:tcPr>
          <w:p w14:paraId="72DA783B" w14:textId="6AE0A596"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-2.15 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2.64</w:t>
            </w:r>
          </w:p>
        </w:tc>
        <w:tc>
          <w:tcPr>
            <w:tcW w:w="686" w:type="pct"/>
            <w:tcBorders>
              <w:bottom w:val="single" w:sz="4" w:space="0" w:color="auto"/>
            </w:tcBorders>
            <w:tcMar>
              <w:top w:w="113" w:type="dxa"/>
              <w:left w:w="113" w:type="dxa"/>
              <w:bottom w:w="113" w:type="dxa"/>
              <w:right w:w="113" w:type="dxa"/>
            </w:tcMar>
            <w:hideMark/>
          </w:tcPr>
          <w:p w14:paraId="2DF98A97"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1.28</w:t>
            </w:r>
          </w:p>
        </w:tc>
        <w:tc>
          <w:tcPr>
            <w:tcW w:w="1129" w:type="pct"/>
            <w:tcBorders>
              <w:bottom w:val="single" w:sz="4" w:space="0" w:color="auto"/>
            </w:tcBorders>
            <w:tcMar>
              <w:top w:w="113" w:type="dxa"/>
              <w:left w:w="113" w:type="dxa"/>
              <w:bottom w:w="113" w:type="dxa"/>
              <w:right w:w="113" w:type="dxa"/>
            </w:tcMar>
            <w:hideMark/>
          </w:tcPr>
          <w:p w14:paraId="594689BD" w14:textId="17D57A62"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-1.94 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4.50</w:t>
            </w:r>
          </w:p>
        </w:tc>
      </w:tr>
      <w:tr w:rsidR="00C82703" w:rsidRPr="00C82703" w14:paraId="4126B89E" w14:textId="77777777" w:rsidTr="00376CEF">
        <w:tc>
          <w:tcPr>
            <w:tcW w:w="1371" w:type="pct"/>
            <w:tcBorders>
              <w:top w:val="single" w:sz="4" w:space="0" w:color="auto"/>
            </w:tcBorders>
            <w:tcMar>
              <w:top w:w="113" w:type="dxa"/>
              <w:left w:w="113" w:type="dxa"/>
              <w:bottom w:w="113" w:type="dxa"/>
              <w:right w:w="113" w:type="dxa"/>
            </w:tcMar>
          </w:tcPr>
          <w:p w14:paraId="7C537D3E" w14:textId="7485D7E5" w:rsidR="00376CEF" w:rsidRPr="00C82703" w:rsidRDefault="00376CEF"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R2 / R2 adjusted</w:t>
            </w:r>
          </w:p>
        </w:tc>
        <w:tc>
          <w:tcPr>
            <w:tcW w:w="725" w:type="pct"/>
            <w:tcBorders>
              <w:top w:val="single" w:sz="4" w:space="0" w:color="auto"/>
            </w:tcBorders>
            <w:tcMar>
              <w:top w:w="113" w:type="dxa"/>
              <w:left w:w="113" w:type="dxa"/>
              <w:bottom w:w="113" w:type="dxa"/>
              <w:right w:w="113" w:type="dxa"/>
            </w:tcMar>
          </w:tcPr>
          <w:p w14:paraId="29F8ADF5" w14:textId="77777777"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p>
        </w:tc>
        <w:tc>
          <w:tcPr>
            <w:tcW w:w="1089" w:type="pct"/>
            <w:tcBorders>
              <w:top w:val="single" w:sz="4" w:space="0" w:color="auto"/>
            </w:tcBorders>
            <w:tcMar>
              <w:top w:w="113" w:type="dxa"/>
              <w:left w:w="113" w:type="dxa"/>
              <w:bottom w:w="113" w:type="dxa"/>
              <w:right w:w="113" w:type="dxa"/>
            </w:tcMar>
          </w:tcPr>
          <w:p w14:paraId="4436625A" w14:textId="67E51281"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0.441 / 0.409</w:t>
            </w:r>
          </w:p>
        </w:tc>
        <w:tc>
          <w:tcPr>
            <w:tcW w:w="686" w:type="pct"/>
            <w:tcBorders>
              <w:top w:val="single" w:sz="4" w:space="0" w:color="auto"/>
            </w:tcBorders>
            <w:tcMar>
              <w:top w:w="113" w:type="dxa"/>
              <w:left w:w="113" w:type="dxa"/>
              <w:bottom w:w="113" w:type="dxa"/>
              <w:right w:w="113" w:type="dxa"/>
            </w:tcMar>
          </w:tcPr>
          <w:p w14:paraId="7567E212" w14:textId="77777777"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p>
        </w:tc>
        <w:tc>
          <w:tcPr>
            <w:tcW w:w="1129" w:type="pct"/>
            <w:tcBorders>
              <w:top w:val="single" w:sz="4" w:space="0" w:color="auto"/>
            </w:tcBorders>
            <w:tcMar>
              <w:top w:w="113" w:type="dxa"/>
              <w:left w:w="113" w:type="dxa"/>
              <w:bottom w:w="113" w:type="dxa"/>
              <w:right w:w="113" w:type="dxa"/>
            </w:tcMar>
          </w:tcPr>
          <w:p w14:paraId="2D58C267" w14:textId="5A000276"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0.410 / 0.375</w:t>
            </w:r>
          </w:p>
        </w:tc>
      </w:tr>
    </w:tbl>
    <w:p w14:paraId="1958F902" w14:textId="01B7C8C5" w:rsidR="00076819" w:rsidRPr="00C82703" w:rsidRDefault="00076819" w:rsidP="00C82703">
      <w:pPr>
        <w:spacing w:line="480" w:lineRule="auto"/>
        <w:rPr>
          <w:rFonts w:ascii="Times New Roman" w:hAnsi="Times New Roman" w:cs="Times New Roman"/>
        </w:rPr>
      </w:pPr>
      <w:r w:rsidRPr="00C82703">
        <w:rPr>
          <w:rFonts w:ascii="Times New Roman" w:hAnsi="Times New Roman" w:cs="Times New Roman"/>
        </w:rPr>
        <w:lastRenderedPageBreak/>
        <w:t xml:space="preserve"> </w:t>
      </w:r>
    </w:p>
    <w:p w14:paraId="30204025" w14:textId="4976C5DC" w:rsidR="00BF6E1F" w:rsidRPr="00CD54D5" w:rsidRDefault="00483072"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Persistence of effect over time</w:t>
      </w:r>
    </w:p>
    <w:p w14:paraId="4F5E17C6" w14:textId="4D920286" w:rsidR="003773C5" w:rsidRPr="00C82703" w:rsidRDefault="00121F01" w:rsidP="00C82703">
      <w:pPr>
        <w:spacing w:line="480" w:lineRule="auto"/>
        <w:rPr>
          <w:rFonts w:ascii="Times New Roman" w:hAnsi="Times New Roman" w:cs="Times New Roman"/>
        </w:rPr>
      </w:pPr>
      <w:r w:rsidRPr="00C82703">
        <w:rPr>
          <w:rFonts w:ascii="Times New Roman" w:hAnsi="Times New Roman" w:cs="Times New Roman"/>
        </w:rPr>
        <w:t xml:space="preserve">The </w:t>
      </w:r>
      <w:r w:rsidR="00BF6E1F" w:rsidRPr="00C82703">
        <w:rPr>
          <w:rFonts w:ascii="Times New Roman" w:hAnsi="Times New Roman" w:cs="Times New Roman"/>
        </w:rPr>
        <w:t xml:space="preserve">all pairs-comparison </w:t>
      </w:r>
      <w:r w:rsidRPr="00C82703">
        <w:rPr>
          <w:rFonts w:ascii="Times New Roman" w:hAnsi="Times New Roman" w:cs="Times New Roman"/>
        </w:rPr>
        <w:t xml:space="preserve">test </w:t>
      </w:r>
      <w:r w:rsidR="00EA309F" w:rsidRPr="00C82703">
        <w:rPr>
          <w:rFonts w:ascii="Times New Roman" w:hAnsi="Times New Roman" w:cs="Times New Roman"/>
        </w:rPr>
        <w:t xml:space="preserve">did not detect significant differences </w:t>
      </w:r>
      <w:r w:rsidRPr="00C82703">
        <w:rPr>
          <w:rFonts w:ascii="Times New Roman" w:hAnsi="Times New Roman" w:cs="Times New Roman"/>
        </w:rPr>
        <w:t>within</w:t>
      </w:r>
      <w:r w:rsidR="00C4027C" w:rsidRPr="00C82703">
        <w:rPr>
          <w:rFonts w:ascii="Times New Roman" w:hAnsi="Times New Roman" w:cs="Times New Roman"/>
        </w:rPr>
        <w:t xml:space="preserve">-subject </w:t>
      </w:r>
      <w:r w:rsidRPr="00C82703">
        <w:rPr>
          <w:rFonts w:ascii="Times New Roman" w:hAnsi="Times New Roman" w:cs="Times New Roman"/>
        </w:rPr>
        <w:t xml:space="preserve">across </w:t>
      </w:r>
      <w:r w:rsidR="00EA309F" w:rsidRPr="00C82703">
        <w:rPr>
          <w:rFonts w:ascii="Times New Roman" w:hAnsi="Times New Roman" w:cs="Times New Roman"/>
        </w:rPr>
        <w:t>time</w:t>
      </w:r>
      <w:r w:rsidRPr="00C82703">
        <w:rPr>
          <w:rFonts w:ascii="Times New Roman" w:hAnsi="Times New Roman" w:cs="Times New Roman"/>
        </w:rPr>
        <w:t xml:space="preserve"> periods</w:t>
      </w:r>
      <w:r w:rsidR="00EA309F" w:rsidRPr="00C82703">
        <w:rPr>
          <w:rFonts w:ascii="Times New Roman" w:hAnsi="Times New Roman" w:cs="Times New Roman"/>
        </w:rPr>
        <w:t xml:space="preserve"> in the control group</w:t>
      </w:r>
      <w:r w:rsidR="009650E6" w:rsidRPr="00C82703">
        <w:rPr>
          <w:rFonts w:ascii="Times New Roman" w:hAnsi="Times New Roman" w:cs="Times New Roman"/>
        </w:rPr>
        <w:t xml:space="preserve"> (n=40)</w:t>
      </w:r>
      <w:r w:rsidR="003773C5" w:rsidRPr="00C82703">
        <w:rPr>
          <w:rFonts w:ascii="Times New Roman" w:hAnsi="Times New Roman" w:cs="Times New Roman"/>
        </w:rPr>
        <w:t>. The median value for the score changed from 8 at baseline to 7 in both follow-up years, with a relatively similar distribution</w:t>
      </w:r>
      <w:r w:rsidRPr="00C82703">
        <w:rPr>
          <w:rFonts w:ascii="Times New Roman" w:hAnsi="Times New Roman" w:cs="Times New Roman"/>
        </w:rPr>
        <w:t xml:space="preserve">. Conversely, </w:t>
      </w:r>
      <w:r w:rsidR="003773C5" w:rsidRPr="00C82703">
        <w:rPr>
          <w:rFonts w:ascii="Times New Roman" w:hAnsi="Times New Roman" w:cs="Times New Roman"/>
        </w:rPr>
        <w:t xml:space="preserve">the median distress score </w:t>
      </w:r>
      <w:r w:rsidRPr="00C82703">
        <w:rPr>
          <w:rFonts w:ascii="Times New Roman" w:hAnsi="Times New Roman" w:cs="Times New Roman"/>
        </w:rPr>
        <w:t xml:space="preserve">in the intervention </w:t>
      </w:r>
      <w:r w:rsidR="009650E6" w:rsidRPr="00C82703">
        <w:rPr>
          <w:rFonts w:ascii="Times New Roman" w:hAnsi="Times New Roman" w:cs="Times New Roman"/>
        </w:rPr>
        <w:t xml:space="preserve">(n=14) </w:t>
      </w:r>
      <w:r w:rsidRPr="00C82703">
        <w:rPr>
          <w:rFonts w:ascii="Times New Roman" w:hAnsi="Times New Roman" w:cs="Times New Roman"/>
        </w:rPr>
        <w:t xml:space="preserve">group </w:t>
      </w:r>
      <w:r w:rsidR="003773C5" w:rsidRPr="00C82703">
        <w:rPr>
          <w:rFonts w:ascii="Times New Roman" w:hAnsi="Times New Roman" w:cs="Times New Roman"/>
        </w:rPr>
        <w:t xml:space="preserve">dropped from 13.5 at baseline to 6.0 during the first year of follow-up and 9.0 at the end of the study period. The differences were statistically significant compared to baseline values even after accounting for multiple comparisons. No significant differences were found between the scores from </w:t>
      </w:r>
      <w:r w:rsidR="009650E6" w:rsidRPr="00C82703">
        <w:rPr>
          <w:rFonts w:ascii="Times New Roman" w:hAnsi="Times New Roman" w:cs="Times New Roman"/>
        </w:rPr>
        <w:t xml:space="preserve">Waves 2 and 3 </w:t>
      </w:r>
      <w:r w:rsidR="00376CEF" w:rsidRPr="00C82703">
        <w:rPr>
          <w:rFonts w:ascii="Times New Roman" w:hAnsi="Times New Roman" w:cs="Times New Roman"/>
        </w:rPr>
        <w:t>in the intervention group</w:t>
      </w:r>
      <w:r w:rsidR="003773C5" w:rsidRPr="00C82703">
        <w:rPr>
          <w:rFonts w:ascii="Times New Roman" w:hAnsi="Times New Roman" w:cs="Times New Roman"/>
        </w:rPr>
        <w:t xml:space="preserve"> (Figure 2).</w:t>
      </w:r>
    </w:p>
    <w:p w14:paraId="301DEEF7" w14:textId="77777777" w:rsidR="006150E6" w:rsidRDefault="00EA309F" w:rsidP="006150E6">
      <w:pPr>
        <w:keepNext/>
        <w:spacing w:line="480" w:lineRule="auto"/>
      </w:pPr>
      <w:r w:rsidRPr="00C82703">
        <w:rPr>
          <w:rFonts w:ascii="Times New Roman" w:hAnsi="Times New Roman" w:cs="Times New Roman"/>
          <w:noProof/>
          <w:lang w:val="fr-FR"/>
        </w:rPr>
        <w:drawing>
          <wp:inline distT="0" distB="0" distL="0" distR="0" wp14:anchorId="3E258FBC" wp14:editId="4A461E77">
            <wp:extent cx="5943600" cy="2971800"/>
            <wp:effectExtent l="0" t="0" r="0" b="0"/>
            <wp:docPr id="105640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182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70A062" w14:textId="5C9A646A" w:rsidR="00EA309F" w:rsidRPr="006150E6" w:rsidRDefault="006150E6" w:rsidP="006150E6">
      <w:pPr>
        <w:pStyle w:val="Caption"/>
        <w:spacing w:line="480" w:lineRule="auto"/>
        <w:jc w:val="center"/>
        <w:rPr>
          <w:rFonts w:ascii="Times New Roman" w:hAnsi="Times New Roman" w:cs="Times New Roman"/>
          <w:b/>
          <w:bCs/>
          <w:color w:val="auto"/>
          <w:sz w:val="24"/>
          <w:szCs w:val="24"/>
        </w:rPr>
      </w:pPr>
      <w:r w:rsidRPr="006150E6">
        <w:rPr>
          <w:rFonts w:ascii="Times New Roman" w:hAnsi="Times New Roman" w:cs="Times New Roman"/>
          <w:b/>
          <w:bCs/>
          <w:color w:val="auto"/>
          <w:sz w:val="24"/>
          <w:szCs w:val="24"/>
        </w:rPr>
        <w:t xml:space="preserve">Figure </w:t>
      </w:r>
      <w:r w:rsidRPr="006150E6">
        <w:rPr>
          <w:rFonts w:ascii="Times New Roman" w:hAnsi="Times New Roman" w:cs="Times New Roman"/>
          <w:b/>
          <w:bCs/>
          <w:color w:val="auto"/>
          <w:sz w:val="24"/>
          <w:szCs w:val="24"/>
        </w:rPr>
        <w:fldChar w:fldCharType="begin"/>
      </w:r>
      <w:r w:rsidRPr="006150E6">
        <w:rPr>
          <w:rFonts w:ascii="Times New Roman" w:hAnsi="Times New Roman" w:cs="Times New Roman"/>
          <w:b/>
          <w:bCs/>
          <w:color w:val="auto"/>
          <w:sz w:val="24"/>
          <w:szCs w:val="24"/>
        </w:rPr>
        <w:instrText xml:space="preserve"> SEQ Figure \* ARABIC </w:instrText>
      </w:r>
      <w:r w:rsidRPr="006150E6">
        <w:rPr>
          <w:rFonts w:ascii="Times New Roman" w:hAnsi="Times New Roman" w:cs="Times New Roman"/>
          <w:b/>
          <w:bCs/>
          <w:color w:val="auto"/>
          <w:sz w:val="24"/>
          <w:szCs w:val="24"/>
        </w:rPr>
        <w:fldChar w:fldCharType="separate"/>
      </w:r>
      <w:r w:rsidRPr="006150E6">
        <w:rPr>
          <w:rFonts w:ascii="Times New Roman" w:hAnsi="Times New Roman" w:cs="Times New Roman"/>
          <w:b/>
          <w:bCs/>
          <w:color w:val="auto"/>
          <w:sz w:val="24"/>
          <w:szCs w:val="24"/>
        </w:rPr>
        <w:t>2</w:t>
      </w:r>
      <w:r w:rsidRPr="006150E6">
        <w:rPr>
          <w:rFonts w:ascii="Times New Roman" w:hAnsi="Times New Roman" w:cs="Times New Roman"/>
          <w:b/>
          <w:bCs/>
          <w:color w:val="auto"/>
          <w:sz w:val="24"/>
          <w:szCs w:val="24"/>
        </w:rPr>
        <w:fldChar w:fldCharType="end"/>
      </w:r>
      <w:r w:rsidRPr="006150E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Pr="006150E6">
        <w:rPr>
          <w:rFonts w:ascii="Times New Roman" w:hAnsi="Times New Roman" w:cs="Times New Roman"/>
          <w:b/>
          <w:bCs/>
          <w:color w:val="auto"/>
          <w:sz w:val="24"/>
          <w:szCs w:val="24"/>
        </w:rPr>
        <w:t>Distribution and pairwise comparisons of psychological distress levels over time, by intervention status</w:t>
      </w:r>
      <w:r>
        <w:rPr>
          <w:rFonts w:ascii="Times New Roman" w:hAnsi="Times New Roman" w:cs="Times New Roman"/>
          <w:b/>
          <w:bCs/>
          <w:color w:val="auto"/>
          <w:sz w:val="24"/>
          <w:szCs w:val="24"/>
        </w:rPr>
        <w:t>.</w:t>
      </w:r>
    </w:p>
    <w:p w14:paraId="1A572DAC" w14:textId="66009A51" w:rsidR="00BF6E1F" w:rsidRPr="00CD54D5" w:rsidRDefault="00BF6E1F"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Discussion</w:t>
      </w:r>
    </w:p>
    <w:p w14:paraId="188514A4" w14:textId="23D616AE"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Key results</w:t>
      </w:r>
    </w:p>
    <w:p w14:paraId="2B857D85" w14:textId="216CC72F" w:rsidR="009E5373" w:rsidRPr="00C82703" w:rsidRDefault="009E5373" w:rsidP="00C82703">
      <w:pPr>
        <w:spacing w:line="480" w:lineRule="auto"/>
        <w:rPr>
          <w:rFonts w:ascii="Times New Roman" w:hAnsi="Times New Roman" w:cs="Times New Roman"/>
        </w:rPr>
      </w:pPr>
      <w:r w:rsidRPr="00C82703">
        <w:rPr>
          <w:rFonts w:ascii="Times New Roman" w:hAnsi="Times New Roman" w:cs="Times New Roman"/>
        </w:rPr>
        <w:t>We hypothesized that psilocybin use would lower the level of psychological distress</w:t>
      </w:r>
      <w:r w:rsidR="00B35948" w:rsidRPr="00C82703">
        <w:rPr>
          <w:rFonts w:ascii="Times New Roman" w:hAnsi="Times New Roman" w:cs="Times New Roman"/>
        </w:rPr>
        <w:t xml:space="preserve"> in a sample of nai</w:t>
      </w:r>
      <w:r w:rsidR="00CB7B30" w:rsidRPr="00C82703">
        <w:rPr>
          <w:rFonts w:ascii="Times New Roman" w:hAnsi="Times New Roman" w:cs="Times New Roman"/>
        </w:rPr>
        <w:t>ve users</w:t>
      </w:r>
      <w:r w:rsidRPr="00C82703">
        <w:rPr>
          <w:rFonts w:ascii="Times New Roman" w:hAnsi="Times New Roman" w:cs="Times New Roman"/>
        </w:rPr>
        <w:t>. Our results were confirmed, with a mean score reductions of 2.6 points after adjusting for covariates</w:t>
      </w:r>
      <w:r w:rsidR="00B60426" w:rsidRPr="00C82703">
        <w:rPr>
          <w:rFonts w:ascii="Times New Roman" w:hAnsi="Times New Roman" w:cs="Times New Roman"/>
        </w:rPr>
        <w:t xml:space="preserve"> (n=110)</w:t>
      </w:r>
      <w:r w:rsidRPr="00C82703">
        <w:rPr>
          <w:rFonts w:ascii="Times New Roman" w:hAnsi="Times New Roman" w:cs="Times New Roman"/>
        </w:rPr>
        <w:t xml:space="preserve">. Within-person effects were stronger, with mean score reductions of 3.8 points after treatment. We also hypothesized the effect of psylocibin would be sustained over time, which we confirmed </w:t>
      </w:r>
      <w:r w:rsidR="007A334A" w:rsidRPr="00C82703">
        <w:rPr>
          <w:rFonts w:ascii="Times New Roman" w:hAnsi="Times New Roman" w:cs="Times New Roman"/>
        </w:rPr>
        <w:t>in a small subset of participants (n=14) who provided follow-up data for a second year. The scores for these participants were significantly lower compared to baseline values in years 2 and 3</w:t>
      </w:r>
      <w:r w:rsidR="00B60426" w:rsidRPr="00C82703">
        <w:rPr>
          <w:rFonts w:ascii="Times New Roman" w:hAnsi="Times New Roman" w:cs="Times New Roman"/>
        </w:rPr>
        <w:t xml:space="preserve"> and did not significantly differ from each other</w:t>
      </w:r>
      <w:r w:rsidR="007A334A" w:rsidRPr="00C82703">
        <w:rPr>
          <w:rFonts w:ascii="Times New Roman" w:hAnsi="Times New Roman" w:cs="Times New Roman"/>
        </w:rPr>
        <w:t xml:space="preserve">. </w:t>
      </w:r>
    </w:p>
    <w:p w14:paraId="5A48E84F" w14:textId="545CB662"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Limitation</w:t>
      </w:r>
      <w:r w:rsidR="002F614B" w:rsidRPr="00CD54D5">
        <w:rPr>
          <w:rFonts w:ascii="Times New Roman" w:hAnsi="Times New Roman" w:cs="Times New Roman"/>
          <w:b/>
          <w:bCs/>
          <w:color w:val="auto"/>
          <w:sz w:val="24"/>
          <w:szCs w:val="24"/>
        </w:rPr>
        <w:t>s</w:t>
      </w:r>
    </w:p>
    <w:p w14:paraId="3E452A18" w14:textId="4B275084" w:rsidR="002F614B" w:rsidRPr="00C82703" w:rsidRDefault="002F614B" w:rsidP="00C82703">
      <w:pPr>
        <w:spacing w:line="480" w:lineRule="auto"/>
        <w:rPr>
          <w:rFonts w:ascii="Times New Roman" w:hAnsi="Times New Roman" w:cs="Times New Roman"/>
        </w:rPr>
      </w:pPr>
      <w:r w:rsidRPr="00C82703">
        <w:rPr>
          <w:rFonts w:ascii="Times New Roman" w:hAnsi="Times New Roman" w:cs="Times New Roman"/>
        </w:rPr>
        <w:t>Our study has several limitations. Online data collection is self-reported and risks introducing recall bias. However, psilocybin use is often cited as one of the most memorable life experiences by past users</w:t>
      </w:r>
      <w:r w:rsidR="002A7ACA" w:rsidRPr="00C82703">
        <w:rPr>
          <w:rFonts w:ascii="Times New Roman" w:hAnsi="Times New Roman" w:cs="Times New Roman"/>
        </w:rPr>
        <w:t xml:space="preserve"> </w:t>
      </w:r>
      <w:r w:rsidR="002A7ACA"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{"citationID":"CAAMmrvU","properties":{"formattedCitation":"(39)","plainCitation":"(39)","noteIndex":0},"citationItems":[{"id":1082,"uris":["http://zotero.org/users/1546863/items/VRMTJDZP"],"itemData":{"id":1082,"type":"article-journal","abstract":"Abstract\n            \n              A surge in societal and scientific discussion surrounds psychedelic research. One surprising fact keeps standing out: Many users report the psychedelic experience as a positive and lasting impact on their quality of life. The present study aimed to explore the quality and consequences of the most impacting psychedelic experience, with the user's Big Five personality in focus. This experienced sample (\n              N\n              = 400) rated how challenging and mystical the experience was and the extent of positive and negative lasting life effects, together with the Big Five (IPIP-NEO-30). Interestingly, the results showed that most ranked it as among the most meaningful experiences in life, and that personality trait openness related to enhanced mystical and positive experiences, while neuroticism related to increased challenging and negative reports. We discuss limitations like the self-selected sample and the use of brief instruments. We conclude and recommend that individual differences in personality deserve continued consideration and should be measured and controlled for in future studies.","container-title":"Journal of Psychedelic Studies","DOI":"10.1556/2054.2025.00414","ISSN":"2559-9283","journalAbbreviation":"JPS","source":"DOI.org (Crossref)","title":"Big Five personality and the psychedelic experience: An initial report","title-short":"Big Five personality and the psychedelic experience","URL":"https://akjournals.com/view/journals/2054/aop/article-10.1556-2054.2025.00414/article-10.1556-2054.2025.00414.xml","author":[{"family":"Kajonius","given":"Petri J."},{"family":"Sjöström","given":"David"},{"family":"Claesdotter-Knutsson","given":"Emma"}],"accessed":{"date-parts":[["2025",10,23]]},"issued":{"date-parts":[["2025",7,16]]}}}],"schema":"https://github.com/citation-style-language/schema/raw/master/csl-citation.json"} </w:instrText>
      </w:r>
      <w:r w:rsidR="002A7ACA" w:rsidRPr="00C82703">
        <w:rPr>
          <w:rFonts w:ascii="Times New Roman" w:hAnsi="Times New Roman" w:cs="Times New Roman"/>
        </w:rPr>
        <w:fldChar w:fldCharType="separate"/>
      </w:r>
      <w:r w:rsidR="00BE6148" w:rsidRPr="00C82703">
        <w:rPr>
          <w:rFonts w:ascii="Times New Roman" w:hAnsi="Times New Roman" w:cs="Times New Roman"/>
        </w:rPr>
        <w:t>(39)</w:t>
      </w:r>
      <w:r w:rsidR="002A7ACA" w:rsidRPr="00C82703">
        <w:rPr>
          <w:rFonts w:ascii="Times New Roman" w:hAnsi="Times New Roman" w:cs="Times New Roman"/>
        </w:rPr>
        <w:fldChar w:fldCharType="end"/>
      </w:r>
      <w:r w:rsidRPr="00C82703">
        <w:rPr>
          <w:rFonts w:ascii="Times New Roman" w:hAnsi="Times New Roman" w:cs="Times New Roman"/>
        </w:rPr>
        <w:t>, which makes recall bias for the exposure</w:t>
      </w:r>
      <w:r w:rsidR="00716A92" w:rsidRPr="00C82703">
        <w:rPr>
          <w:rFonts w:ascii="Times New Roman" w:hAnsi="Times New Roman" w:cs="Times New Roman"/>
        </w:rPr>
        <w:t>—an</w:t>
      </w:r>
      <w:r w:rsidRPr="00C82703">
        <w:rPr>
          <w:rFonts w:ascii="Times New Roman" w:hAnsi="Times New Roman" w:cs="Times New Roman"/>
        </w:rPr>
        <w:t>d other variables in the model, which are stable through time</w:t>
      </w:r>
      <w:r w:rsidR="00716A92" w:rsidRPr="00C82703">
        <w:rPr>
          <w:rFonts w:ascii="Times New Roman" w:hAnsi="Times New Roman" w:cs="Times New Roman"/>
        </w:rPr>
        <w:t>—unlikely</w:t>
      </w:r>
      <w:r w:rsidRPr="00C82703">
        <w:rPr>
          <w:rFonts w:ascii="Times New Roman" w:hAnsi="Times New Roman" w:cs="Times New Roman"/>
        </w:rPr>
        <w:t>. Our ability to clearly assert the temporal relationship between some variables was also limited by the data collection instrument. People reporting last psychedelic use could select “</w:t>
      </w:r>
      <w:r w:rsidR="00540E93" w:rsidRPr="00C82703">
        <w:rPr>
          <w:rFonts w:ascii="Times New Roman" w:hAnsi="Times New Roman" w:cs="Times New Roman"/>
        </w:rPr>
        <w:t>past week</w:t>
      </w:r>
      <w:r w:rsidRPr="00C82703">
        <w:rPr>
          <w:rFonts w:ascii="Times New Roman" w:hAnsi="Times New Roman" w:cs="Times New Roman"/>
        </w:rPr>
        <w:t xml:space="preserve">” whereas the </w:t>
      </w:r>
      <w:r w:rsidR="00540E93" w:rsidRPr="00C82703">
        <w:rPr>
          <w:rFonts w:ascii="Times New Roman" w:hAnsi="Times New Roman" w:cs="Times New Roman"/>
        </w:rPr>
        <w:t>outcome</w:t>
      </w:r>
      <w:r w:rsidRPr="00C82703">
        <w:rPr>
          <w:rFonts w:ascii="Times New Roman" w:hAnsi="Times New Roman" w:cs="Times New Roman"/>
        </w:rPr>
        <w:t xml:space="preserve"> assessed the psychological distress in the </w:t>
      </w:r>
      <w:r w:rsidR="00540E93" w:rsidRPr="00C82703">
        <w:rPr>
          <w:rFonts w:ascii="Times New Roman" w:hAnsi="Times New Roman" w:cs="Times New Roman"/>
        </w:rPr>
        <w:t xml:space="preserve">past month. </w:t>
      </w:r>
      <w:r w:rsidRPr="00C82703">
        <w:rPr>
          <w:rFonts w:ascii="Times New Roman" w:hAnsi="Times New Roman" w:cs="Times New Roman"/>
        </w:rPr>
        <w:t>However, this only occurred with two participants which reported having taken multiple doses, making it more likely that the exposure preceded the outcome. Moreover, given the direction of the effect, such scenario would bias the estimate towards the null</w:t>
      </w:r>
      <w:r w:rsidR="00371A04">
        <w:rPr>
          <w:rFonts w:ascii="Times New Roman" w:hAnsi="Times New Roman" w:cs="Times New Roman"/>
        </w:rPr>
        <w:t>,</w:t>
      </w:r>
      <w:r w:rsidRPr="00C82703">
        <w:rPr>
          <w:rFonts w:ascii="Times New Roman" w:hAnsi="Times New Roman" w:cs="Times New Roman"/>
        </w:rPr>
        <w:t xml:space="preserve"> and it is unlikely to affect the overall conclusion. </w:t>
      </w:r>
      <w:r w:rsidR="00716A92" w:rsidRPr="00C82703">
        <w:rPr>
          <w:rFonts w:ascii="Times New Roman" w:hAnsi="Times New Roman" w:cs="Times New Roman"/>
        </w:rPr>
        <w:t>Conversely, past research using self-reported data has found higher benefits than experimental settings</w:t>
      </w:r>
      <w:r w:rsidR="006150E6">
        <w:rPr>
          <w:rFonts w:ascii="Times New Roman" w:hAnsi="Times New Roman" w:cs="Times New Roman"/>
        </w:rPr>
        <w:t xml:space="preserve"> </w:t>
      </w:r>
      <w:r w:rsidR="006150E6">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{"citationID":"zE0sseJt","properties":{"formattedCitation":"(40)","plainCitation":"(40)","noteIndex":0},"citationItems":[{"id":1128,"uris":["http://zotero.org/users/1546863/items/ZVBQX8J6"],"itemData":{"id":1128,"type":"article-journal","container-title":"Current Opinion in Psychology","DOI":"10.1016/j.copsyc.2025.102129","ISSN":"2352250X","journalAbbreviation":"Current Opinion in Psychology","language":"en","page":"102129","source":"DOI.org (Crossref)","title":"Between enhancement and risk: A critical review of psychedelic microdosing","title-short":"Between enhancement and risk","volume":"66","author":[{"family":"Totomanova","given":"Iva"},{"family":"Haijen","given":"Eline C.H.M."},{"family":"Hurks","given":"Petra P.M."},{"family":"Ramaekers","given":"Johannes G."},{"family":"Kuypers","given":"Kim P.C."}],"issued":{"date-parts":[["2025",12]]}}}],"schema":"https://github.com/citation-style-language/schema/raw/master/csl-citation.json"} </w:instrText>
      </w:r>
      <w:r w:rsidR="006150E6">
        <w:rPr>
          <w:rFonts w:ascii="Times New Roman" w:hAnsi="Times New Roman" w:cs="Times New Roman"/>
        </w:rPr>
        <w:fldChar w:fldCharType="separate"/>
      </w:r>
      <w:r w:rsidR="006150E6" w:rsidRPr="006150E6">
        <w:rPr>
          <w:rFonts w:ascii="Times New Roman" w:hAnsi="Times New Roman" w:cs="Times New Roman"/>
        </w:rPr>
        <w:t>(40)</w:t>
      </w:r>
      <w:r w:rsidR="006150E6">
        <w:rPr>
          <w:rFonts w:ascii="Times New Roman" w:hAnsi="Times New Roman" w:cs="Times New Roman"/>
        </w:rPr>
        <w:fldChar w:fldCharType="end"/>
      </w:r>
      <w:r w:rsidR="00716A92" w:rsidRPr="00C82703">
        <w:rPr>
          <w:rFonts w:ascii="Times New Roman" w:hAnsi="Times New Roman" w:cs="Times New Roman"/>
        </w:rPr>
        <w:t>. We tried to address this by using validated psychological instruments that had been thoroughly tested in several populations.</w:t>
      </w:r>
    </w:p>
    <w:p w14:paraId="3CA6B98C" w14:textId="1E53D9FC" w:rsidR="002F614B" w:rsidRPr="00C82703" w:rsidRDefault="002F614B" w:rsidP="00CD54D5">
      <w:pPr>
        <w:spacing w:line="480" w:lineRule="auto"/>
        <w:ind w:firstLine="720"/>
        <w:rPr>
          <w:rFonts w:ascii="Times New Roman" w:hAnsi="Times New Roman" w:cs="Times New Roman"/>
        </w:rPr>
      </w:pPr>
      <w:r w:rsidRPr="00C82703">
        <w:rPr>
          <w:rFonts w:ascii="Times New Roman" w:hAnsi="Times New Roman" w:cs="Times New Roman"/>
        </w:rPr>
        <w:lastRenderedPageBreak/>
        <w:t xml:space="preserve">Observational studies always risk bias by unmeasured confounding. We tried to mitigate this risk by estimating a fixed-effect model </w:t>
      </w:r>
      <w:r w:rsidR="0035086C" w:rsidRPr="00C82703">
        <w:rPr>
          <w:rFonts w:ascii="Times New Roman" w:hAnsi="Times New Roman" w:cs="Times New Roman"/>
        </w:rPr>
        <w:t>that would account for time-invariant individual characteristics and isolate within-person changes. However, residual confounding from time-varying factors not captured in the model may still influence the observed associations, underscoring the need for cautious interpretation.</w:t>
      </w:r>
      <w:r w:rsidR="00852AAD" w:rsidRPr="00C82703">
        <w:rPr>
          <w:rFonts w:ascii="Times New Roman" w:hAnsi="Times New Roman" w:cs="Times New Roman"/>
        </w:rPr>
        <w:t xml:space="preserve"> </w:t>
      </w:r>
    </w:p>
    <w:p w14:paraId="1781DA94" w14:textId="7EFFDB2C" w:rsidR="00852AAD" w:rsidRPr="00C82703" w:rsidRDefault="00592423" w:rsidP="00CD54D5">
      <w:pPr>
        <w:spacing w:line="480" w:lineRule="auto"/>
        <w:ind w:firstLine="720"/>
        <w:rPr>
          <w:rFonts w:ascii="Times New Roman" w:hAnsi="Times New Roman" w:cs="Times New Roman"/>
        </w:rPr>
      </w:pPr>
      <w:r w:rsidRPr="00C82703">
        <w:rPr>
          <w:rFonts w:ascii="Times New Roman" w:hAnsi="Times New Roman" w:cs="Times New Roman"/>
        </w:rPr>
        <w:t>Regarding the stability of estimates, we found a</w:t>
      </w:r>
      <w:r w:rsidR="002E6347" w:rsidRPr="00C82703">
        <w:rPr>
          <w:rFonts w:ascii="Times New Roman" w:hAnsi="Times New Roman" w:cs="Times New Roman"/>
        </w:rPr>
        <w:t xml:space="preserve"> relatively higher proportion of participants in the intervention group were lost to follow-up compared to the control group (60.7% vs 50%)</w:t>
      </w:r>
      <w:r w:rsidRPr="00C82703">
        <w:rPr>
          <w:rFonts w:ascii="Times New Roman" w:hAnsi="Times New Roman" w:cs="Times New Roman"/>
        </w:rPr>
        <w:t>. When examining the factors associated with missing data in wave 3, we found participants lost to follow-up had lower scores for psychological distress in waves 1 and 2 and were more likely to identify as women</w:t>
      </w:r>
      <w:r w:rsidR="002A7ACA" w:rsidRPr="00C82703">
        <w:rPr>
          <w:rFonts w:ascii="Times New Roman" w:hAnsi="Times New Roman" w:cs="Times New Roman"/>
        </w:rPr>
        <w:t xml:space="preserve">, but age and education were not related to attrition as previously reported </w:t>
      </w:r>
      <w:r w:rsidR="002A7ACA"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{"citationID":"GSq7YdE2","properties":{"formattedCitation":"(41)","plainCitation":"(41)","noteIndex":0},"citationItems":[{"id":1080,"uris":["http://zotero.org/users/1546863/items/3NDHAV8X"],"itemData":{"id":1080,"type":"article-journal","abstract":"Background\n              The resurgence of research and public interest in the positive psychological effects of psychedelics, together with advancements in digital data collection techniques, have brought forth a new type of research design, which involves prospectively gathering large-scale naturalistic data from psychedelic users; that is, before and after the use of a psychedelic compound. A methodological limitation of such studies is their high attrition rate, particularly owing to participants who stop responding after initial study enrollment. Importantly, study dropout can introduce systematic biases that may affect the interpretability of results.\n            \n            \n              Objective\n              Based on a previously collected sample (baseline n=654), here we investigated potential determinants of study attrition in web-based prospective studies on psychedelic use.\n            \n            \n              Methods\n              Logistic regression models were used to examine demographic, psychological trait and state, and psychedelic-specific predictors of dropout. Predictors were assessed 1 week before, 1 day after, and 2 weeks after psychedelic use, with attrition being defined as noncompletion of the key endpoint 4 weeks post experience.\n            \n            \n              Results\n              Predictors of attrition were found among demographic variables including age (β=0.024; P=.007) and educational levels, as well as personality traits, specifically conscientiousness (β=–0.079; P=.02) and extraversion (β=0.082; P=.01). Contrary to prior hypotheses, neither baseline attitudes toward psychedelics nor the intensity of acute challenging experiences were predictive of dropout.\n            \n            \n              Conclusions\n              The baseline predictors of attrition identified here are consistent with those reported in longitudinal studies in other scientific disciplines, suggesting their transdisciplinary relevance. Moreover, the lack of an association between attrition and psychedelic advocacy or negative drug experiences in our sample contextualizes concerns about problematic biases in these and related data.","container-title":"Journal of Medical Internet Research","DOI":"10.2196/25973","ISSN":"1438-8871","issue":"7","journalAbbreviation":"J Med Internet Res","language":"en","page":"e25973","source":"DOI.org (Crossref)","title":"Turn on, Tune in, and Drop out: Predictors of Attrition in a Prospective Observational Cohort Study on Psychedelic Use","title-short":"Turn on, Tune in, and Drop out","volume":"23","author":[{"family":"Hübner","given":"Sebastian"},{"family":"Haijen","given":"Eline"},{"family":"Kaelen","given":"Mendel"},{"family":"Carhart-Harris","given":"Robin Lester"},{"family":"Kettner","given":"Hannes"}],"issued":{"date-parts":[["2021",7,28]]}}}],"schema":"https://github.com/citation-style-language/schema/raw/master/csl-citation.json"} </w:instrText>
      </w:r>
      <w:r w:rsidR="002A7ACA" w:rsidRPr="00C82703">
        <w:rPr>
          <w:rFonts w:ascii="Times New Roman" w:hAnsi="Times New Roman" w:cs="Times New Roman"/>
        </w:rPr>
        <w:fldChar w:fldCharType="separate"/>
      </w:r>
      <w:r w:rsidR="006150E6" w:rsidRPr="006150E6">
        <w:rPr>
          <w:rFonts w:ascii="Times New Roman" w:hAnsi="Times New Roman" w:cs="Times New Roman"/>
        </w:rPr>
        <w:t>(41)</w:t>
      </w:r>
      <w:r w:rsidR="002A7ACA" w:rsidRPr="00C82703">
        <w:rPr>
          <w:rFonts w:ascii="Times New Roman" w:hAnsi="Times New Roman" w:cs="Times New Roman"/>
        </w:rPr>
        <w:fldChar w:fldCharType="end"/>
      </w:r>
      <w:r w:rsidRPr="00C82703">
        <w:rPr>
          <w:rFonts w:ascii="Times New Roman" w:hAnsi="Times New Roman" w:cs="Times New Roman"/>
        </w:rPr>
        <w:t>. This pattern suggests that attrition was not completely random and could have influenced our results. However, the overall trends observed in the remaining sample were consistent with earlier waves, providing some reassurance about the robustness of the estimates.</w:t>
      </w:r>
    </w:p>
    <w:p w14:paraId="64989262" w14:textId="6387A9CE"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Interpretation</w:t>
      </w:r>
    </w:p>
    <w:p w14:paraId="43F510D9" w14:textId="38309B6C" w:rsidR="00CB7B30" w:rsidRPr="00C82703" w:rsidRDefault="00CB7B30" w:rsidP="00C82703">
      <w:pPr>
        <w:spacing w:line="480" w:lineRule="auto"/>
        <w:rPr>
          <w:rFonts w:ascii="Times New Roman" w:hAnsi="Times New Roman" w:cs="Times New Roman"/>
        </w:rPr>
      </w:pPr>
      <w:r w:rsidRPr="00C82703">
        <w:rPr>
          <w:rFonts w:ascii="Times New Roman" w:hAnsi="Times New Roman" w:cs="Times New Roman"/>
        </w:rPr>
        <w:t xml:space="preserve">Antidepressant drugs are the first line of treatment for both depression and generalized anxiety, recommended with or without psychological therapy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{"citationID":"i08of34z","properties":{"formattedCitation":"(42,43)","plainCitation":"(42,43)","noteIndex":0},"citationItems":[{"id":1153,"uris":["http://zotero.org/users/1546863/items/IUXKASTL"],"itemData":{"id":1153,"type":"book","publisher":"American Psychiatric Association Publishing","title":"Practice Guideline for the Treatment of Patients With Major Depressive Disorder","URL":"https://www.apa.org/depression-guideline/guideline.pdf","author":[{"literal":"American Psychiatric Association"}],"issued":{"date-parts":[["2023"]]}}},{"id":1155,"uris":["http://zotero.org/users/1546863/items/Q44TKI5N"],"itemData":{"id":1155,"type":"book","abstract":"The mhGAP guideline supports countries to strengthen capacity to deal with the growing burden of mental, neurological and substance use (MNS) conditions and narrow the treatment gap. This new edition includes 30 updated and 18 new recommendations, alongside 90 pre-existing recommendations. This is the third iteration of the guideline and reflects 15 years of investment in the mhGAP programme. The revised recommendations ensure that mhGAP continues to offer high-quality, timely, transparent, and evidence-based guidance to support non-specialist health workers in low-income and middle-income countries in providing treatment and care to individuals with MNS conditions","event-place":"Geneva","ISBN":"978-92-4-008427-8","language":"eng","number-of-pages":"1","publisher":"World Health Organization","publisher-place":"Geneva","source":"K10plus ISBN","title":"Mental Health Gap Action Programme (mhGAP) guideline for mental, neurological and substance use disorders","author":[{"literal":"World Health Organization"}],"contributor":[{"literal":"World Health Organization"}],"issued":{"date-parts":[["2023"]]}}}],"schema":"https://github.com/citation-style-language/schema/raw/master/csl-citation.json"}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(42,43)</w:t>
      </w:r>
      <w:r w:rsidRPr="00C82703">
        <w:rPr>
          <w:rFonts w:ascii="Times New Roman" w:hAnsi="Times New Roman" w:cs="Times New Roman"/>
        </w:rPr>
        <w:fldChar w:fldCharType="end"/>
      </w:r>
      <w:r w:rsidRPr="00C82703">
        <w:rPr>
          <w:rFonts w:ascii="Times New Roman" w:hAnsi="Times New Roman" w:cs="Times New Roman"/>
        </w:rPr>
        <w:t xml:space="preserve">. When used on their own, such population-level intervention discounts the knowledge of the patient about his own condition. This well-known epistemic injustice often leads to reduced professional engagement and undermined trust in public health systems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{"citationID":"BeuddFvX","properties":{"formattedCitation":"(44\\uc0\\u8211{}46)","plainCitation":"(44–46)","noteIndex":0},"citationItems":[{"id":1157,"uris":["http://zotero.org/users/1546863/items/5EHFXTIT"],"itemData":{"id":1157,"type":"article-journal","abstract":"Summary\n            It has been argued that those who suffer from medical conditions are more vulnerable to epistemic injustice (a harm done to a person in their capacity as an epistemic subject) than healthy people. This editorial claims that people with mental disorders are even more vulnerable to epistemic injustice than those with somatic illnesses. Two kinds of contributory factors are outlined, global and specific. Some suggestions are made to counteract the effects of these factors, for instance, we suggest that physicians should participate in groups where the subjective experience of patients is explored, and learn to become more aware of their own unconscious prejudices towards psychiatric patients.","container-title":"BJPsych Bulletin","DOI":"10.1192/pb.bp.115.050682","ISSN":"2056-4694, 2056-4708","issue":"2","journalAbbreviation":"BJPsych Bull","language":"en","license":"http://creativecommons.org/licenses/by/4.0","page":"65-70","source":"DOI.org (Crossref)","title":"Epistemic injustice in psychiatry","volume":"41","author":[{"family":"Crichton","given":"Paul"},{"family":"Carel","given":"Havi"},{"family":"Kidd","given":"Ian James"}],"issued":{"date-parts":[["2017",4]]}}},{"id":1159,"uris":["http://zotero.org/users/1546863/items/QSC3ZBDG"],"itemData":{"id":1159,"type":"article-journal","container-title":"European Journal of Clinical Pharmacology","DOI":"10.1007/s00228-013-1582-9","ISSN":"0031-6970, 1432-1041","issue":"1","journalAbbreviation":"Eur J Clin Pharmacol","language":"en","license":"http://www.springer.com/tdm","page":"89-98","source":"DOI.org (Crossref)","title":"Risk factors for non-adherence to antidepressant treatment in patients with mood disorders","volume":"70","author":[{"family":"De Las Cuevas","given":"Carlos"},{"family":"Peñate","given":"Wenceslao"},{"family":"Sanz","given":"Emilio J."}],"issued":{"date-parts":[["2014",1]]}}},{"id":1160,"uris":["http://zotero.org/users/1546863/items/RD22FIUH"],"itemData":{"id":1160,"type":"article-journal","container-title":"Indian Journal of Psychological Medicine","DOI":"10.4103/0253-7176.155605","ISSN":"0253-7176, 0975-1564","issue":"2","journalAbbreviation":"Indian Journal of Psychological Medicine","language":"en","page":"117-119","source":"DOI.org (Crossref)","title":"Recovery Model of Mental Illness: A Complementary Approach to Psychiatric Care","title-short":"Recovery Model of Mental Illness","volume":"37","author":[{"family":"Jacob","given":"K. S."}],"issued":{"date-parts":[["2015",4]]}}}],"schema":"https://github.com/citation-style-language/schema/raw/master/csl-citation.json"}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kern w:val="0"/>
        </w:rPr>
        <w:t>(44–46)</w:t>
      </w:r>
      <w:r w:rsidRPr="00C82703">
        <w:rPr>
          <w:rFonts w:ascii="Times New Roman" w:hAnsi="Times New Roman" w:cs="Times New Roman"/>
        </w:rPr>
        <w:fldChar w:fldCharType="end"/>
      </w:r>
      <w:r w:rsidRPr="00C82703">
        <w:rPr>
          <w:rFonts w:ascii="Times New Roman" w:hAnsi="Times New Roman" w:cs="Times New Roman"/>
        </w:rPr>
        <w:t>. Moreover, current first-line antidepressants are under scrutiny due t</w:t>
      </w:r>
      <w:r w:rsidR="00843B2C" w:rsidRPr="00C82703">
        <w:rPr>
          <w:rFonts w:ascii="Times New Roman" w:hAnsi="Times New Roman" w:cs="Times New Roman"/>
        </w:rPr>
        <w:t xml:space="preserve"> (1) </w:t>
      </w:r>
      <w:r w:rsidRPr="00C82703">
        <w:rPr>
          <w:rFonts w:ascii="Times New Roman" w:hAnsi="Times New Roman" w:cs="Times New Roman"/>
        </w:rPr>
        <w:t xml:space="preserve">o a lack of support for the presumption of a chemical imbalance as the cause (rather than a symptom) of mental health outcomes, </w:t>
      </w:r>
      <w:r w:rsidR="00843B2C" w:rsidRPr="00C82703">
        <w:rPr>
          <w:rFonts w:ascii="Times New Roman" w:hAnsi="Times New Roman" w:cs="Times New Roman"/>
        </w:rPr>
        <w:t xml:space="preserve">(2) </w:t>
      </w:r>
      <w:r w:rsidRPr="00C82703">
        <w:rPr>
          <w:rFonts w:ascii="Times New Roman" w:hAnsi="Times New Roman" w:cs="Times New Roman"/>
        </w:rPr>
        <w:t xml:space="preserve">the questionable research practices in randomized control trials that led to the establishment of antidepressants as first-line </w:t>
      </w:r>
      <w:r w:rsidRPr="00C82703">
        <w:rPr>
          <w:rFonts w:ascii="Times New Roman" w:hAnsi="Times New Roman" w:cs="Times New Roman"/>
        </w:rPr>
        <w:lastRenderedPageBreak/>
        <w:t xml:space="preserve">therapy, including concealing adverse effects, </w:t>
      </w:r>
      <w:r w:rsidR="00843B2C" w:rsidRPr="00C82703">
        <w:rPr>
          <w:rFonts w:ascii="Times New Roman" w:hAnsi="Times New Roman" w:cs="Times New Roman"/>
        </w:rPr>
        <w:t xml:space="preserve">(3) </w:t>
      </w:r>
      <w:r w:rsidRPr="00C82703">
        <w:rPr>
          <w:rFonts w:ascii="Times New Roman" w:hAnsi="Times New Roman" w:cs="Times New Roman"/>
        </w:rPr>
        <w:t>the limited effect of these drugs compared to active placebos,</w:t>
      </w:r>
      <w:r w:rsidR="00843B2C" w:rsidRPr="00C82703">
        <w:rPr>
          <w:rFonts w:ascii="Times New Roman" w:hAnsi="Times New Roman" w:cs="Times New Roman"/>
        </w:rPr>
        <w:t xml:space="preserve"> (4)</w:t>
      </w:r>
      <w:r w:rsidRPr="00C82703">
        <w:rPr>
          <w:rFonts w:ascii="Times New Roman" w:hAnsi="Times New Roman" w:cs="Times New Roman"/>
        </w:rPr>
        <w:t xml:space="preserve"> their </w:t>
      </w:r>
      <w:r w:rsidR="001D3C75" w:rsidRPr="00C82703">
        <w:rPr>
          <w:rFonts w:ascii="Times New Roman" w:hAnsi="Times New Roman" w:cs="Times New Roman"/>
        </w:rPr>
        <w:t>poor safety profile</w:t>
      </w:r>
      <w:r w:rsidRPr="00C82703">
        <w:rPr>
          <w:rFonts w:ascii="Times New Roman" w:hAnsi="Times New Roman" w:cs="Times New Roman"/>
        </w:rPr>
        <w:t xml:space="preserve"> (including increased risk of suicide), and</w:t>
      </w:r>
      <w:r w:rsidR="001D3C75" w:rsidRPr="00C82703">
        <w:rPr>
          <w:rFonts w:ascii="Times New Roman" w:hAnsi="Times New Roman" w:cs="Times New Roman"/>
        </w:rPr>
        <w:t xml:space="preserve"> (5)</w:t>
      </w:r>
      <w:r w:rsidRPr="00C82703">
        <w:rPr>
          <w:rFonts w:ascii="Times New Roman" w:hAnsi="Times New Roman" w:cs="Times New Roman"/>
        </w:rPr>
        <w:t xml:space="preserve"> the long-term consequences of antidepressant use and withdrawal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AfkdsoGj","properties":{"formattedCitation":"(47\\uc0\\u8211{}51)","plainCitation":"(47–51)","noteIndex":0},"citationItems":[{"id":1166,"uris":["http://zotero.org/users/1546863/items/FX58EC9G"],"itemData":{"id":1166,"type":"article-journal","abstract":"BACKGROUND:\n              Millions of people are treated with antidepressants like selective serotonin reuptake inhibitors (SSRIs) or serotonin-norepinephrine reuptake inhibitors (SNRIs). This clinical practice is based on short-term trials that have exaggerated the benefits and underestimated the harms. We also know too little about long-term harms.\n            \n            \n              AIM:\n              To assess harms of SSRIs and SNRIs that persist after end of drug intake.\n            \n            \n              METHODS:\n              Systematic review of placebo-controlled randomised trials of any length in patients with a psychiatric diagnosis and a follow-up of at least six months. Our primary outcomes were mortality, functional outcomes, quality of life and core psychiatric events. We searched PubMed, Embase, and the Cochrane Central Register of Controlled Trials and checked the references for eligible articles. One researcher extracted data and another checked the data extraction.\n            \n            \n              RESULTS:\n              Our searches returned 9,153 unique records. We included 22 papers for 12 trials on SSRIs. Median intervention and follow-up periods were 15 and 52 weeks, respectively. Median number of randomised participants was 51; only two trials had a drop-out rate below 20%. Outcome reporting was less thorough during follow-up than for the intervention period and only two trials maintained the blind during follow-up. All authors concluded that the drugs were not beneficial in the long term. All trials reported harms outcomes selectively or did not report any. Only two trials reported on any of our primary outcomes (school attendance and number of heavy drinking days).\n            \n            \n              CONCLUSION:\n              The randomised trials currently available cannot be used to investigate persistent harms of antidepressants.","container-title":"International Journal of Risk &amp; Safety in Medicine","DOI":"10.3233/JRS-180046","ISSN":"0924-6479, 1878-6847","issue":"2","journalAbbreviation":"International Journal of Risk &amp; Safety in Medicine","language":"en","page":"59-71","source":"DOI.org (Crossref)","title":"Long-term harms from previous use of selective serotonin reuptake inhibitors: A systematic review","title-short":"Long-term harms from previous use of selective serotonin reuptake inhibitors","volume":"30","author":[{"family":"Danborg","given":"P.B."},{"family":"Valdersdorf","given":"M."},{"family":"Gøtzsche","given":"P.C."}],"issued":{"date-parts":[["2019",5]]}}},{"id":1161,"uris":["http://zotero.org/users/1546863/items/ZKKJLBMC"],"itemData":{"id":1161,"type":"article-journal","abstract":"Summary\n            Although antidepressants are regarded as effective and specific treatments, they are barely superior to placebo in randomised trials, and differences are unlikely to be clinically relevant. The conventional disease-centred understanding of drug action regards antidepressants as targeting an underlying brain process, but an alternative ‘drug-centred’ view suggests they are psychoactive substances that modify normal mental states and behaviour. These alterations, such as numbing of emotions, may reduce feelings of depression, and also create amplified placebo effects in randomised trials. Patients should be informed that there is no evidence that antidepressants work by correcting a chemical imbalance, that antidepressants have mind-altering effects, and that evidence suggests they produce no noticeable benefit compared with placebo.\n            \n              Declaration of interest\n              The author is co-chairperson of the Critical Psychiatry Network.","container-title":"BJPsych Bulletin","DOI":"10.1192/bjb.2017.11","ISSN":"2056-4694, 2056-4708","issue":"1","journalAbbreviation":"BJPsych Bull","language":"en","license":"http://creativecommons.org/licenses/by/4.0/","page":"42-44","source":"DOI.org (Crossref)","title":"Against the stream: Antidepressants are not antidepressants – an alternative approach to drug action and implications for the use of antidepressants","title-short":"Against the stream","volume":"42","author":[{"family":"Moncrieff","given":"Joanna"}],"issued":{"date-parts":[["2018",2]]}}},{"id":1164,"uris":["http://zotero.org/users/1546863/items/I9IY7LDV"],"itemData":{"id":1164,"type":"article-journal","abstract":"A recent meta-analysis of antidepressant trials is the largest conducted to date. Although it claims to prove antidepressant effectiveness beyond dispute, the main outcome is response rates, which are derived from continuous data in a process that can inflate differences between groups. The standardised mean difference of 0.3 is in line with other meta-analyses that show small differences between antidepressants and placebo that are unlikely to be clinically significant. Other factors likely to exaggerate the effects are discussed, and evidence on associations between antidepressant effects and severity and outcomes of long-term treatment is considered. Clinicians need to have open discussions with patients about the limitations of antidepressant research, the lack of evidence that antidepressants correct a chemical imbalance or other brain abnormality, and the range of adverse effects and mental and physical alterations they can produce.","container-title":"Epidemiology and Psychiatric Sciences","DOI":"10.1017/S2045796018000240","ISSN":"2045-7960, 2045-7979","issue":"5","journalAbbreviation":"Epidemiol Psychiatr Sci","language":"en","license":"https://www.cambridge.org/core/terms","page":"430-432","source":"DOI.org (Crossref)","title":"What does the latest meta-analysis really tell us about antidepressants?","volume":"27","author":[{"family":"Moncrieff","given":"J."}],"issued":{"date-parts":[["2018",10]]}}},{"id":1168,"uris":["http://zotero.org/users/1546863/items/GPLCLPFM"],"itemData":{"id":1168,"type":"article-journal","abstract":"Abstract\n            \n              The serotonin hypothesis of depression is still influential. We aimed to synthesise and evaluate evidence on whether depression is associated with lowered serotonin concentration or activity in a systematic umbrella review of the principal relevant areas of research. PubMed, EMBASE and PsycINFO were searched using terms appropriate to each area of research, from their inception until December 2020. Systematic reviews, meta-analyses and large data-set analyses in the following areas were identified: serotonin and serotonin metabolite, 5-HIAA, concentrations in body fluids; serotonin 5-HT\n              1A\n              receptor binding; serotonin transporter (SERT) levels measured by imaging or at post-mortem; tryptophan depletion studies; SERT gene associations and SERT gene-environment interactions. Studies of depression associated with physical conditions and specific subtypes of depression (e.g. bipolar depression) were excluded. Two independent reviewers extracted the data and assessed the quality of included studies using the AMSTAR-2, an adapted AMSTAR-2, or the STREGA for a large genetic study. The certainty of study results was assessed using a modified version of the GRADE. We did not synthesise results of individual meta-analyses because they included overlapping studies. The review was registered with PROSPERO (CRD42020207203). 17 studies were included: 12 systematic reviews and meta-analyses, 1 collaborative meta-analysis, 1 meta-analysis of large cohort studies, 1 systematic review and narrative synthesis, 1 genetic association study and 1 umbrella review. Quality of reviews was variable with some genetic studies of high quality. Two meta-analyses of overlapping studies examining the serotonin metabolite, 5-HIAA, showed no association with depression (largest\n              n\n               = 1002). One meta-analysis of cohort studies of plasma serotonin showed no relationship with depression, and evidence that lowered serotonin concentration was associated with antidepressant use (\n              n\n               = 1869). Two meta-analyses of overlapping studies examining the 5-HT\n              1A\n              receptor (largest\n              n\n               = 561), and three meta-analyses of overlapping studies examining SERT binding (largest\n              n\n               = 1845) showed weak and inconsistent evidence of reduced binding in some areas, which would be consistent with increased synaptic availability of serotonin in people with depression, if this was the original, causal abnormaly. However, effects of prior antidepressant use were not reliably excluded. One meta-analysis of tryptophan depletion studies found no effect in most healthy volunteers (\n              n\n               = 566), but weak evidence of an effect in those with a family history of depression (\n              n\n               = 75). Another systematic review (\n              n\n               = 342) and a sample of ten subsequent studies (\n              n\n               = 407) found no effect in volunteers. No systematic review of tryptophan depletion studies has been performed since 2007. The two largest and highest quality studies of the SERT gene, one genetic association study (\n              n\n               = 115,257) and one collaborative meta-analysis (\n              n\n               = 43,165), revealed no evidence of an association with depression, or of an interaction between genotype, stress and depression. The main areas of serotonin research provide no consistent evidence of there being an association between serotonin and depression, and no support for the hypothesis that depression is caused by lowered serotonin activity or concentrations. Some evidence was consistent with the possibility that long-term antidepressant use reduces serotonin concentration.","container-title":"Molecular Psychiatry","DOI":"10.1038/s41380-022-01661-0","ISSN":"1359-4184, 1476-5578","issue":"8","journalAbbreviation":"Mol Psychiatry","language":"en","page":"3243-3256","source":"DOI.org (Crossref)","title":"The serotonin theory of depression: a systematic umbrella review of the evidence","title-short":"The serotonin theory of depression","volume":"28","author":[{"family":"Moncrieff","given":"Joanna"},{"family":"Cooper","given":"Ruth E."},{"family":"Stockmann","given":"Tom"},{"family":"Amendola","given":"Simone"},{"family":"Hengartner","given":"Michael P."},{"family":"Horowitz","given":"Mark A."}],"issued":{"date-parts":[["2023",8]]}}},{"id":424,"uris":["http://zotero.org/users/1546863/items/ZZ39W27D"],"itemData":{"id":424,"type":"article-journal","title":"Frequency of self-reported persistent post-treatment genital hypesthesia among past antidepressant users: A cross-sectional survey of sexual and gender minority youth in Canada and the US","URL":"https://doi.org/10.31219/osf.io/qha9n","author":[{"family":"Pirani","given":"Y."},{"family":"Delgado-Ron","given":"Jorge Andrés"},{"family":"Marinho","given":"P."},{"family":"Gupta","given":"A."},{"family":"Gray","given":"E."},{"family":"Watt","given":"S."},{"family":"Salway","given":"T."}],"issued":{"date-parts":[["2023",11,4]]}}}],"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kern w:val="0"/>
        </w:rPr>
        <w:t>(47–51)</w:t>
      </w:r>
      <w:r w:rsidRPr="00C82703">
        <w:rPr>
          <w:rFonts w:ascii="Times New Roman" w:hAnsi="Times New Roman" w:cs="Times New Roman"/>
        </w:rPr>
        <w:fldChar w:fldCharType="end"/>
      </w:r>
      <w:r w:rsidRPr="00C82703">
        <w:rPr>
          <w:rFonts w:ascii="Times New Roman" w:hAnsi="Times New Roman" w:cs="Times New Roman"/>
        </w:rPr>
        <w:t xml:space="preserve">. </w:t>
      </w:r>
    </w:p>
    <w:p w14:paraId="2B94399D" w14:textId="19DC11F2" w:rsidR="00CB7B30" w:rsidRPr="00C82703" w:rsidRDefault="00CB7B30" w:rsidP="00CD54D5">
      <w:pPr>
        <w:spacing w:line="480" w:lineRule="auto"/>
        <w:ind w:firstLine="720"/>
        <w:rPr>
          <w:rFonts w:ascii="Times New Roman" w:hAnsi="Times New Roman" w:cs="Times New Roman"/>
        </w:rPr>
      </w:pPr>
      <w:r w:rsidRPr="00C82703">
        <w:rPr>
          <w:rFonts w:ascii="Times New Roman" w:hAnsi="Times New Roman" w:cs="Times New Roman"/>
        </w:rPr>
        <w:t xml:space="preserve">Our collective failure to improve global mental health raises the question about the adequacy of such impersonal and reductionist approach. This has prompted new conceptual approaches to overcome said limitations. Enactivism, for example, redefines mental health as an embodied interaction between a person and its environment: the mind is both and the pathology could lie in either elements or its interplay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{"citationID":"oWOpCnaL","properties":{"formattedCitation":"(52)","plainCitation":"(52)","noteIndex":0},"citationItems":[{"id":1144,"uris":["http://zotero.org/users/1546863/items/RITMDK55"],"itemData":{"id":1144,"type":"article-journal","abstract":"Abstract\n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(52)</w:t>
      </w:r>
      <w:r w:rsidRPr="00C82703">
        <w:rPr>
          <w:rFonts w:ascii="Times New Roman" w:hAnsi="Times New Roman" w:cs="Times New Roman"/>
        </w:rPr>
        <w:fldChar w:fldCharType="end"/>
      </w:r>
      <w:r w:rsidRPr="00C82703">
        <w:rPr>
          <w:rFonts w:ascii="Times New Roman" w:hAnsi="Times New Roman" w:cs="Times New Roman"/>
        </w:rPr>
        <w:t xml:space="preserve">. Depression, under this framework, could be understood as an inability to connect meaningfully with life, </w:t>
      </w:r>
      <w:r w:rsidRPr="00C82703">
        <w:rPr>
          <w:rFonts w:ascii="Times New Roman" w:hAnsi="Times New Roman" w:cs="Times New Roman"/>
          <w:i/>
          <w:iCs/>
        </w:rPr>
        <w:t>because</w:t>
      </w:r>
      <w:r w:rsidRPr="00C82703">
        <w:rPr>
          <w:rFonts w:ascii="Times New Roman" w:hAnsi="Times New Roman" w:cs="Times New Roman"/>
        </w:rPr>
        <w:t xml:space="preserve"> the world offers fewer opportunities to act, enjoy, or engage. Generalized anxiety could be understood as interaction with a world that feels threatening to the patient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{"citationID":"CoBr84ni","properties":{"formattedCitation":"(53)","plainCitation":"(53)","noteIndex":0},"citationItems":[{"id":1146,"uris":["http://zotero.org/users/1546863/items/8IHWFIH3"],"itemData":{"id":1146,"type":"book","abstract":"Enactivism : the radical line -- Enactivisms less radical -- The reach of REC -- The hard problem of content -- CIC's retreat -- CIC's last stand -- Extensive minds -- Regaining consciousness","event-place":"Cambridge, Mass.","ISBN":"978-0-262-53464-2","language":"eng","number-of-pages":"206","publisher":"MIT Press","publisher-place":"Cambridge, Mass.","source":"K10plus ISBN","title":"Radicalizing enactivism: basic minds without content","title-short":"Radicalizing enactivism","author":[{"family":"Hutto","given":"Daniel D."},{"family":"Myin","given":"Erik"}],"issued":{"date-parts":[["2013"]]}}}],"schema":"https://github.com/citation-style-language/schema/raw/master/csl-citation.json"}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(53)</w:t>
      </w:r>
      <w:r w:rsidRPr="00C82703">
        <w:rPr>
          <w:rFonts w:ascii="Times New Roman" w:hAnsi="Times New Roman" w:cs="Times New Roman"/>
        </w:rPr>
        <w:fldChar w:fldCharType="end"/>
      </w:r>
      <w:r w:rsidRPr="00C82703">
        <w:rPr>
          <w:rFonts w:ascii="Times New Roman" w:hAnsi="Times New Roman" w:cs="Times New Roman"/>
        </w:rPr>
        <w:t xml:space="preserve">. The environment-person dysregulation is then addressed in tandem through a joint negotiation about what is pathological and what is not, therefore, overcoming the abovementioned epidemic injustice of ignoring the patient as a knowledgeable agent of his own condition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{"citationID":"H6AkvPBP","properties":{"formattedCitation":"(52)","plainCitation":"(52)","noteIndex":0},"citationItems":[{"id":1144,"uris":["http://zotero.org/users/1546863/items/RITMDK55"],"itemData":{"id":1144,"type":"article-journal","abstract":"Abstract\n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(52)</w:t>
      </w:r>
      <w:r w:rsidRPr="00C82703">
        <w:rPr>
          <w:rFonts w:ascii="Times New Roman" w:hAnsi="Times New Roman" w:cs="Times New Roman"/>
        </w:rPr>
        <w:fldChar w:fldCharType="end"/>
      </w:r>
      <w:r w:rsidRPr="00C82703">
        <w:rPr>
          <w:rFonts w:ascii="Times New Roman" w:hAnsi="Times New Roman" w:cs="Times New Roman"/>
        </w:rPr>
        <w:t>.</w:t>
      </w:r>
    </w:p>
    <w:p w14:paraId="1B8C2C71" w14:textId="6B7063B9" w:rsidR="00884919" w:rsidRPr="00C82703" w:rsidRDefault="00884919" w:rsidP="00CD54D5">
      <w:pPr>
        <w:spacing w:line="480" w:lineRule="auto"/>
        <w:ind w:firstLine="720"/>
        <w:rPr>
          <w:rFonts w:ascii="Times New Roman" w:hAnsi="Times New Roman" w:cs="Times New Roman"/>
        </w:rPr>
      </w:pPr>
      <w:r w:rsidRPr="00C82703">
        <w:rPr>
          <w:rFonts w:ascii="Times New Roman" w:hAnsi="Times New Roman" w:cs="Times New Roman"/>
        </w:rPr>
        <w:t xml:space="preserve">While an enactivist approach highlights the negotiated, context-sensitive nature of mental health, it is inherently challenging for public health because it resists fixed definitions and standardized protocols, which many medical professionals rely on to guide diagnosis, treatment, and population-level interventions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{"citationID":"qXgQ7JbL","properties":{"formattedCitation":"(52)","plainCitation":"(52)","noteIndex":0},"citationItems":[{"id":1144,"uris":["http://zotero.org/users/1546863/items/RITMDK55"],"itemData":{"id":1144,"type":"article-journal","abstract":"Abstract\n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(52)</w:t>
      </w:r>
      <w:r w:rsidRPr="00C82703">
        <w:rPr>
          <w:rFonts w:ascii="Times New Roman" w:hAnsi="Times New Roman" w:cs="Times New Roman"/>
        </w:rPr>
        <w:fldChar w:fldCharType="end"/>
      </w:r>
      <w:r w:rsidRPr="00C82703">
        <w:rPr>
          <w:rFonts w:ascii="Times New Roman" w:hAnsi="Times New Roman" w:cs="Times New Roman"/>
        </w:rPr>
        <w:t xml:space="preserve">. Moreover, even if we acknowledge that environmental factors contribute causally to mental health, public health interventions are inherently limited in their ability to reshape the world, facing constraints in how much they can alter social, economic, and cultural conditions. Over time, patients’ difficulties in making sense of their environment—a core concern in enactivist frameworks of mental health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TnY4oQX5","properties":{"formattedCitation":"(54)","plainCitation":"(54)","noteIndex":0},"citationItems":[{"id":1170,"uris":["http://zotero.org/users/1546863/items/DS6F59XF"],"itemData":{"id":1170,"type":"book","edition":"1","ISBN":"978-1-108-68521-4","license":"https://www.cambridge.org/core/terms","note":"DOI: 10.1017/9781108685214","publisher":"Cambridge University Press","source":"DOI.org (Crossref)","title":"Enactive Psychiatry","URL":"https://www.cambridge.org/core/product/identifier/9781108685214/type/book","author":[{"family":"De Haan","given":"Sanneke"}],"accessed":{"date-parts":[["2025",11,3]]},"issued":{"date-parts":[["2020",2,29]]}}}],"schema":"https://github.com/citation-style-language/schema/raw/master/csl-citation.json"}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(54)</w:t>
      </w:r>
      <w:r w:rsidRPr="00C82703">
        <w:rPr>
          <w:rFonts w:ascii="Times New Roman" w:hAnsi="Times New Roman" w:cs="Times New Roman"/>
        </w:rPr>
        <w:fldChar w:fldCharType="end"/>
      </w:r>
      <w:r w:rsidRPr="00C82703">
        <w:rPr>
          <w:rFonts w:ascii="Times New Roman" w:hAnsi="Times New Roman" w:cs="Times New Roman"/>
        </w:rPr>
        <w:t xml:space="preserve">—may become reinforced by the </w:t>
      </w:r>
      <w:r w:rsidRPr="00C82703">
        <w:rPr>
          <w:rFonts w:ascii="Times New Roman" w:hAnsi="Times New Roman" w:cs="Times New Roman"/>
        </w:rPr>
        <w:lastRenderedPageBreak/>
        <w:t>public health system’s own limitations in acknowledging and responding to this dynamic interplay of person and world.</w:t>
      </w:r>
    </w:p>
    <w:p w14:paraId="54AAA55E" w14:textId="0C089081" w:rsidR="00843B2C" w:rsidRPr="00C82703" w:rsidRDefault="00843B2C" w:rsidP="00CD54D5">
      <w:pPr>
        <w:spacing w:line="480" w:lineRule="auto"/>
        <w:ind w:firstLine="720"/>
        <w:rPr>
          <w:rFonts w:ascii="Times New Roman" w:hAnsi="Times New Roman" w:cs="Times New Roman"/>
        </w:rPr>
      </w:pPr>
      <w:r w:rsidRPr="00C82703">
        <w:rPr>
          <w:rFonts w:ascii="Times New Roman" w:hAnsi="Times New Roman" w:cs="Times New Roman"/>
        </w:rPr>
        <w:t xml:space="preserve">Conventional therapeutic approaches often produce only temporary shifts in mood, without fundamentally addressing the ongoing relationship between the individual and the environment. Psychedelic experiences, by contrast, appear to engage individuals in a way that is deeply personal. Across diverse cultural and demographic contexts, people report core phenomenological features such as ego-dissolution, awe, and profound insight, yet each experience is interpreted and integrated through the individual’s unique life history, values, and social circumstances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FV3cOYDq","properties":{"formattedCitation":"(55\\uc0\\u8211{}57)","plainCitation":"(55–57)","noteIndex":0},"citationItems":[{"id":1183,"uris":["http://zotero.org/users/1546863/items/IXG67TXZ"],"itemData":{"id":1183,"type":"article-journal","container-title":"Journal of Psychoactive Drugs","DOI":"10.1080/02791072.2023.2255274","ISSN":"0279-1072, 2159-9777","issue":"5","journalAbbreviation":"Journal of Psychoactive Drugs","language":"en","page":"558-569","source":"DOI.org (Crossref)","title":"Acute Subjective Effects of Psychedelics within and Beyond WEIRD Contexts","volume":"55","author":[{"family":"Graziosi","given":"Marianna"},{"family":"Singh","given":"Manvir"},{"family":"Nayak","given":"Sandeep M."},{"family":"Yaden","given":"David B."}],"issued":{"date-parts":[["2023",10,20]]}}},{"id":1185,"uris":["http://zotero.org/users/1546863/items/SD62MYDM"],"itemData":{"id":1185,"type":"article-journal","container-title":"Psychopharmacology","DOI":"10.1007/s00213-006-0457-5","ISSN":"0033-3158, 1432-2072","issue":"3","journalAbbreviation":"Psychopharmacology","language":"en","license":"http://www.springer.com/tdm","page":"268-283","source":"DOI.org (Crossref)","title":"Psilocybin can occasion mystical-type experiences having substantial and sustained personal meaning and spiritual significance","volume":"187","author":[{"family":"Griffiths","given":"R. R."},{"family":"Richards","given":"W. A."},{"family":"McCann","given":"U."},{"family":"Jesse","given":"R."}],"issued":{"date-parts":[["2006",8]]}}},{"id":1184,"uris":["http://zotero.org/users/1546863/items/FS77BI9D"],"itemData":{"id":1184,"type":"article-journal","container-title":"Journal of Psychoactive Drugs","DOI":"10.1080/02791072.2006.10399838","ISSN":"0279-1072, 2159-9777","issue":"2","journalAbbreviation":"Journal of Psychoactive Drugs","language":"en","page":"143-147","source":"DOI.org (Crossref)","title":"Values and Beliefs of Psychedelic Drug Users: A Cross-Cultural Study","title-short":"Values and Beliefs of Psychedelic Drug Users","volume":"38","author":[{"family":"Lerner","given":"Michael"},{"family":"Lyvers","given":"Michael"}],"issued":{"date-parts":[["2006",6]]}}}],"schema":"https://github.com/citation-style-language/schema/raw/master/csl-citation.json"}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kern w:val="0"/>
        </w:rPr>
        <w:t>(55–57)</w:t>
      </w:r>
      <w:r w:rsidRPr="00C82703">
        <w:rPr>
          <w:rFonts w:ascii="Times New Roman" w:hAnsi="Times New Roman" w:cs="Times New Roman"/>
        </w:rPr>
        <w:fldChar w:fldCharType="end"/>
      </w:r>
      <w:r w:rsidRPr="00C82703">
        <w:rPr>
          <w:rFonts w:ascii="Times New Roman" w:hAnsi="Times New Roman" w:cs="Times New Roman"/>
        </w:rPr>
        <w:t>. From an enactivist perspective, meaning emerges through active engagement with both the self and the surrounding world; psychedelics do not provide ready-made interpretations, but rather create conditions in which individuals must make sense of the experience themselves.</w:t>
      </w:r>
    </w:p>
    <w:p w14:paraId="13314272" w14:textId="5855EE08" w:rsidR="00716A92" w:rsidRPr="00C82703" w:rsidRDefault="00884919" w:rsidP="00CD54D5">
      <w:pPr>
        <w:spacing w:line="480" w:lineRule="auto"/>
        <w:ind w:firstLine="720"/>
        <w:rPr>
          <w:rFonts w:ascii="Times New Roman" w:hAnsi="Times New Roman" w:cs="Times New Roman"/>
        </w:rPr>
      </w:pPr>
      <w:r w:rsidRPr="00C82703">
        <w:rPr>
          <w:rFonts w:ascii="Times New Roman" w:hAnsi="Times New Roman" w:cs="Times New Roman"/>
        </w:rPr>
        <w:t xml:space="preserve">We hypothesized psilocybin would decrease psychological distress due their capacity to “change the world” through a change in perception of referential frameworks.  </w:t>
      </w:r>
      <w:r w:rsidR="00716A92" w:rsidRPr="00C82703">
        <w:rPr>
          <w:rFonts w:ascii="Times New Roman" w:hAnsi="Times New Roman" w:cs="Times New Roman"/>
        </w:rPr>
        <w:t xml:space="preserve">Our findings </w:t>
      </w:r>
      <w:r w:rsidRPr="00C82703">
        <w:rPr>
          <w:rFonts w:ascii="Times New Roman" w:hAnsi="Times New Roman" w:cs="Times New Roman"/>
        </w:rPr>
        <w:t xml:space="preserve">confirmed our </w:t>
      </w:r>
      <w:r w:rsidR="001D3C75" w:rsidRPr="00C82703">
        <w:rPr>
          <w:rFonts w:ascii="Times New Roman" w:hAnsi="Times New Roman" w:cs="Times New Roman"/>
        </w:rPr>
        <w:t>hypothesis;</w:t>
      </w:r>
      <w:r w:rsidRPr="00C82703">
        <w:rPr>
          <w:rFonts w:ascii="Times New Roman" w:hAnsi="Times New Roman" w:cs="Times New Roman"/>
        </w:rPr>
        <w:t xml:space="preserve"> naive users improved their overall mental health after treatment and those who were followed-up one year more sustained these improvements</w:t>
      </w:r>
      <w:r w:rsidR="00716A92" w:rsidRPr="00C82703">
        <w:rPr>
          <w:rFonts w:ascii="Times New Roman" w:hAnsi="Times New Roman" w:cs="Times New Roman"/>
        </w:rPr>
        <w:t xml:space="preserve">. The observed within-person reductions were larger than the overall adjusted effects, indicating that individuals experienced meaningful decreases in distress relative to their own baseline. These results align with previous studies suggesting potential therapeutic benefits of psilocybin </w:t>
      </w:r>
      <w:r w:rsidR="00716A92"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{"citationID":"iQtcifN6","properties":{"formattedCitation":"(58)","plainCitation":"(58)","noteIndex":0},"citationItems":[{"id":1133,"uris":["http://zotero.org/users/1546863/items/GVUX5J3X"],"itemData":{"id":1133,"type":"article-journal","container-title":"Journal of Affective Disorders","DOI":"10.1016/j.jad.2025.119952","ISSN":"01650327","journalAbbreviation":"Journal of Affective Disorders","language":"en","page":"119952","source":"DOI.org (Crossref)","title":"Mapping psilocybin therapy: A systematic review of therapeutic frameworks, adaptations, and standardization across contemporary clinical trials","title-short":"Mapping psilocybin therapy","volume":"391","author":[{"family":"Kittur","given":"Mary E."},{"family":"Burgos M.","given":"L. Almendra"},{"family":"Jones","given":"Brett D.M."},{"family":"Blumberger","given":"Daniel M."},{"family":"Mulsant","given":"Benoit H."},{"family":"Rosenblat","given":"Joshua D."},{"family":"Husain","given":"M. Ishrat"}],"issued":{"date-parts":[["2025",12]]}}}],"schema":"https://github.com/citation-style-language/schema/raw/master/csl-citation.json"} </w:instrText>
      </w:r>
      <w:r w:rsidR="00716A92" w:rsidRPr="00C82703">
        <w:rPr>
          <w:rFonts w:ascii="Times New Roman" w:hAnsi="Times New Roman" w:cs="Times New Roman"/>
        </w:rPr>
        <w:fldChar w:fldCharType="separate"/>
      </w:r>
      <w:r w:rsidR="006150E6" w:rsidRPr="006150E6">
        <w:rPr>
          <w:rFonts w:ascii="Times New Roman" w:hAnsi="Times New Roman" w:cs="Times New Roman"/>
        </w:rPr>
        <w:t>(58)</w:t>
      </w:r>
      <w:r w:rsidR="00716A92" w:rsidRPr="00C82703">
        <w:rPr>
          <w:rFonts w:ascii="Times New Roman" w:hAnsi="Times New Roman" w:cs="Times New Roman"/>
        </w:rPr>
        <w:fldChar w:fldCharType="end"/>
      </w:r>
      <w:r w:rsidR="00716A92" w:rsidRPr="00C82703">
        <w:rPr>
          <w:rFonts w:ascii="Times New Roman" w:hAnsi="Times New Roman" w:cs="Times New Roman"/>
        </w:rPr>
        <w:t>.</w:t>
      </w:r>
    </w:p>
    <w:p w14:paraId="7EC3F483" w14:textId="28F7112D" w:rsidR="00234F0A" w:rsidRPr="00C82703" w:rsidRDefault="00234F0A" w:rsidP="00CD54D5">
      <w:pPr>
        <w:spacing w:line="480" w:lineRule="auto"/>
        <w:ind w:firstLine="720"/>
        <w:rPr>
          <w:rFonts w:ascii="Times New Roman" w:hAnsi="Times New Roman" w:cs="Times New Roman"/>
        </w:rPr>
      </w:pPr>
      <w:r w:rsidRPr="00C82703">
        <w:rPr>
          <w:rFonts w:ascii="Times New Roman" w:hAnsi="Times New Roman" w:cs="Times New Roman"/>
        </w:rPr>
        <w:t xml:space="preserve">Psilocybin is also amenable as a public health intervention because it is cheaper than the current standard of care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{"citationID":"CE2xUfho","properties":{"formattedCitation":"(59)","plainCitation":"(59)","noteIndex":0},"citationItems":[{"id":1126,"uris":["http://zotero.org/users/1546863/items/VS6IKY3L"],"itemData":{"id":1126,"type":"article-journal","abstract":"Abstract\n            Psilocybin-assisted therapy (PAT) has been shown in early trials to reduce the symptoms of treatment-resistant depression (TRD). This study evaluated the cost-effectiveness of PAT as a third-line treatment for major depressive disorder compared to standard of care (SOC). We used an individual-level, probabilistic simulation model that portrays representative US adults with TRD who receive SOC (pharmacotherapy, psychotherapy, electroconvulsive therapy, and esketamine nasal spray) and PAT over 12 months. We assumed the total cost of PAT was $5000, which we varied in sensitivity analyses ($3000–20,000). We calculated total costs, health effects (in terms of quality-adjusted life years [QALYs] gained), and incremental cost-effectiveness ratio (ICER) from limited healthcare and societal perspectives. PAT leads to an additional 0.031 QALYs and $3639 costs compared to SOC over 12 months, giving an ICER of $117,517 per QALY gained from a limited healthcare perspective. Using a $150,000 cost-effectiveness threshold, PAT had a 75% probability of being the cost-effective choice, and it was associated with a lower expected loss than SOC ($301 vs. $1307). Results were sensitive to uncertainty in model parameters, particularly the cost of PAT. PAT had a 1% probability of being cost-effective when its overall costs were $10,000 and 95% when its costs were $3000. This cost-effectiveness analysis found that when its costs are $5000 or less, PAT may offer economic value compared to available TRD treatments. Future studies can explore ways to reduce the cost of PAT and to understand its long-term effectiveness in maintaining remission and reducing the risk of relapse.","container-title":"Translational Psychiatry","DOI":"10.1038/s41398-025-03556-4","ISSN":"2158-3188","issue":"1","journalAbbreviation":"Transl Psychiatry","language":"en","page":"330","source":"DOI.org (Crossref)","title":"Psilocybin-assisted therapy for treatment-resistant depression in the US: a model-based cost-effectiveness analysis","title-short":"Psilocybin-assisted therapy for treatment-resistant depression in the US","volume":"15","author":[{"family":"Avanceña","given":"Anton L. V."},{"family":"Vuong","given":"Linh"},{"family":"Kahn","given":"James G."},{"family":"Marseille","given":"Elliot"}],"issued":{"date-parts":[["2025",8,29]]}}}],"schema":"https://github.com/citation-style-language/schema/raw/master/csl-citation.json"}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(59)</w:t>
      </w:r>
      <w:r w:rsidRPr="00C82703">
        <w:rPr>
          <w:rFonts w:ascii="Times New Roman" w:hAnsi="Times New Roman" w:cs="Times New Roman"/>
        </w:rPr>
        <w:fldChar w:fldCharType="end"/>
      </w:r>
      <w:r w:rsidRPr="00C82703">
        <w:rPr>
          <w:rFonts w:ascii="Times New Roman" w:hAnsi="Times New Roman" w:cs="Times New Roman"/>
        </w:rPr>
        <w:t xml:space="preserve">, it has lower dropout rates due to milder side effects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{"citationID":"BytrCGDi","properties":{"formattedCitation":"(60,61)","plainCitation":"(60,61)","noteIndex":0},"citationItems":[{"id":1131,"uris":["http://zotero.org/users/1546863/items/7VQLZSYU"],"itemData":{"id":1131,"type":"article-journal","abstract":"Importance\n              Psilocybin has demonstrated rapid and sustained antidepressant efficacy, with acute-phase effect sizes often more than double those for conventional antidepressants. However, concerns have been raised that high rates of functional unblinding in combination with trial participants with positive expectations of psychedelic use might bias treatment outcomes.\n            \n            \n              Objective\n              To compare outcomes for patients receiving control treatments in randomized clinical trials of psilocybin for depression with control treatment outcomes from trials of selective serotonin reuptake inhibitors (SSRIs) and esketamine.\n            \n            \n              Data Sources\n              Two previous meta-analyses and 1 US Food and Drug Administration review published between March 2019 and December 2024 were used to identify double-blind trials on adult major depressive disorder (MDD) or treatment-resistant depression (TRD) that had a relevant control treatment arm and used the Montgomery-Åsberg Depression Rating Scale (MADRS) for symptom rating.\n            \n            \n              Study Selection\n              Following the Preferred Reporting Items for Systematic Reviews and Meta-Analyses reporting guideline, trials of psilocybin for MDD and TRD, esketamine for TRD, and a selective serotonin reuptake inhibitor (SSRI) for MDD were selected. Studies that included only individuals aged younger than 18 years or older than 65 years, used a crossover design, or had a duration less than 2 weeks were excluded.\n            \n            \n              Data Extraction and Synthesis\n              All authors assessed the 3 reviews for includable trials. Three authors independently extracted data for all trials, with disagreements resolved by consensus discussion. Data were pooled using random-effects models.\n            \n            \n              Main Outcomes and Measures\n              Standardized mean change (SMC) in MADRS scores from baseline to up to 6 weeks after randomization was used to assess within-group effect sizes, and standardized mean difference (SMD) was used to assess between-group effect sizes. Omnibus Test of Moderators (QM) was used to test whether the study population significantly moderated effect sizes.\n            \n            \n              Results\n              \n                The study included 17 trials: 4 of psilocybin (n = 373), 2 of esketamine (n = 573), and 11 of SSRIs (n = 4014). Pretreatment to posttreatment SMCs (SEMs) were 1.21 (0.15) for psilocybin, 1.28 (0.06) for SSRIs, and 1.43 (0.15) for esketamine and were 0.50 (0.15), 1.00 (0.08), and 1.12 (0.17) for their respective control treatments. Study population was a significant moderator of between-group SMDs (QM, 10.7;\n                df\n                , 2;\n                P\n                 = .005) and pre– to post–control treatment SMCs (QM, 10.4;\n                df\n                , 2;\n                P\n                 = .005) but not of pre– to post–active treatment SMCs (QM, 1.21;\n                df\n                , 2;\n                P\n                 = .55). MADRS response rates for control treatments in SSRI trials were 14 percentage points higher than in psilocybin trials and in esketamine trials were 23 percentage points higher than in psilocybin trials. Dropout rates for psilocybin (active treatment: 10 of 186 [5%]; control: 20 of 187 [11%]) and esketamine (active treatment: 43 of 349 [12%]; control: 18 of 224 [8%]) were similar and considerably lower than for SSRIs (active treatment: 866 of 2694 [32%]; control: 467 of 1320 [35%]).\n              \n            \n            \n              Conclusions and Relevance\n              In this meta-analysis of control treatment outcomes in trials of psilocybin, SSRIs, or esketamine for depression, participants receiving control treatment in psilocybin trials had significantly less improvement in depression ratings than participants receiving control treatment in trials of SSRIs or esketamine. This might indicate that psilocybin’s antidepressant efficacy is overestimated compared with that of SSRIs and esketamine.","container-title":"JAMA Network Open","DOI":"10.1001/jamanetworkopen.2025.24119","ISSN":"2574-3805","issue":"7","journalAbbreviation":"JAMA Netw Open","language":"en","page":"e2524119","source":"DOI.org (Crossref)","title":"Control Group Outcomes in Trials of Psilocybin, SSRIs, or Esketamine for Depression: A Meta-Analysis","title-short":"Control Group Outcomes in Trials of Psilocybin, SSRIs, or Esketamine for Depression","volume":"8","author":[{"family":"Hieronymus","given":"Fredrik"},{"family":"López","given":"Evana"},{"family":"Werin Sjögren","given":"Helena"},{"family":"Lundberg","given":"Johan"}],"issued":{"date-parts":[["2025",7,30]]}}},{"id":1136,"uris":["http://zotero.org/users/1546863/items/G67SF94D"],"itemData":{"id":1136,"type":"article-journal","abstract":"Importance\n              A clear and comprehensive understanding of risks associated with psychedelic-assisted therapy is necessary as investigators extend its application to new populations and indications.\n            \n            \n              Objective\n              To assess adverse events (AEs) associated with classic psychedelics, particularly serious AEs (SAEs) and nonserious AEs (NSAEs) requiring medical or psychiatric evaluation.\n            \n            \n              Data Sources\n              The search for potentially eligible studies was conducted in the Scopus, MEDLINE, PsycINFO, and Web of Science databases from inception through February 8, 2024.\n            \n            \n              Study Selection\n              Two independent reviewers screened articles of classic psychedelics (lysergic acid diethylamide [LSD], psilocybin, dimethyltryptamine [DMT], and 5-methoxy-N,N-dimethyltryptamine [5-MeO-DMT]) involving administration in clinical or research contexts.\n            \n            \n              Data Extraction and Synthesis\n              AE data were extracted and synthesized by 2 reviewers and were used for random-effects meta-analysis of AE frequency and heterogeneity. Risk of bias assessment focused on AE ascertainment (eg, systematic assessment and quality of follow-up).\n            \n            \n              Main Outcomes and Measures\n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descriptively.\n            \n            \n              Results\n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LSD.\n            \n            \n              Conclusions and Relevance\n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Psychiatry","DOI":"10.1001/jamapsychiatry.2024.2546","ISSN":"2168-622X","issue":"12","journalAbbreviation":"JAMA Psychiatry","language":"en","page":"1225","source":"DOI.org (Crossref)","title":"Adverse Events in Studies of Classic Psychedelics: A Systematic Review and Meta-Analysis","title-short":"Adverse Events in Studies of Classic Psychedelics","volume":"81","author":[{"family":"Hinkle","given":"Jared T."},{"family":"Graziosi","given":"Marianna"},{"family":"Nayak","given":"Sandeep M."},{"family":"Yaden","given":"David B."}],"issued":{"date-parts":[["2024",12,1]]}}}],"schema":"https://github.com/citation-style-language/schema/raw/master/csl-citation.json"}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(60,61)</w:t>
      </w:r>
      <w:r w:rsidRPr="00C82703">
        <w:rPr>
          <w:rFonts w:ascii="Times New Roman" w:hAnsi="Times New Roman" w:cs="Times New Roman"/>
        </w:rPr>
        <w:fldChar w:fldCharType="end"/>
      </w:r>
      <w:r w:rsidR="00716A92" w:rsidRPr="00C82703">
        <w:rPr>
          <w:rFonts w:ascii="Times New Roman" w:hAnsi="Times New Roman" w:cs="Times New Roman"/>
        </w:rPr>
        <w:t xml:space="preserve"> and—as attested by our findings—its </w:t>
      </w:r>
      <w:r w:rsidRPr="00C82703">
        <w:rPr>
          <w:rFonts w:ascii="Times New Roman" w:hAnsi="Times New Roman" w:cs="Times New Roman"/>
        </w:rPr>
        <w:t xml:space="preserve">positive effects seem to persist independent </w:t>
      </w:r>
      <w:r w:rsidR="00716A92" w:rsidRPr="00C82703">
        <w:rPr>
          <w:rFonts w:ascii="Times New Roman" w:hAnsi="Times New Roman" w:cs="Times New Roman"/>
        </w:rPr>
        <w:t xml:space="preserve">for long periods. While most trials implement psychedelic-assisted therapy, recent analysis also suggests </w:t>
      </w:r>
      <w:r w:rsidR="00716A92" w:rsidRPr="00C82703">
        <w:rPr>
          <w:rFonts w:ascii="Times New Roman" w:hAnsi="Times New Roman" w:cs="Times New Roman"/>
        </w:rPr>
        <w:lastRenderedPageBreak/>
        <w:t xml:space="preserve">psylocibin might be effective even in the absence of </w:t>
      </w:r>
      <w:r w:rsidRPr="00C82703">
        <w:rPr>
          <w:rFonts w:ascii="Times New Roman" w:hAnsi="Times New Roman" w:cs="Times New Roman"/>
        </w:rPr>
        <w:t xml:space="preserve">accompanying psychological therapy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{"citationID":"xCztxCJl","properties":{"formattedCitation":"(62)","plainCitation":"(62)","noteIndex":0},"citationItems":[{"id":1130,"uris":["http://zotero.org/users/1546863/items/JDWJK97T"],"itemData":{"id":1130,"type":"article-journal","container-title":"General Hospital Psychiatry","DOI":"10.1016/j.genhosppsych.2025.07.020","ISSN":"01638343","journalAbbreviation":"General Hospital Psychiatry","language":"en","page":"234-243","source":"DOI.org (Crossref)","title":"A dose of therapy with psilocybin - A meta-analysis of the relationship between the amount of therapy hours and treatment outcomes in psychedelic-assisted therapy","volume":"96","author":[{"family":"Hultgren","given":"Jennie"},{"family":"Hafsteinsson","given":"Matthias H."},{"family":"Brulin","given":"Joel Gruneau"}],"issued":{"date-parts":[["2025",9]]}}}],"schema":"https://github.com/citation-style-language/schema/raw/master/csl-citation.json"}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(62)</w:t>
      </w:r>
      <w:r w:rsidRPr="00C82703">
        <w:rPr>
          <w:rFonts w:ascii="Times New Roman" w:hAnsi="Times New Roman" w:cs="Times New Roman"/>
        </w:rPr>
        <w:fldChar w:fldCharType="end"/>
      </w:r>
      <w:r w:rsidR="00716A92" w:rsidRPr="00C82703">
        <w:rPr>
          <w:rFonts w:ascii="Times New Roman" w:hAnsi="Times New Roman" w:cs="Times New Roman"/>
        </w:rPr>
        <w:t>, i.e., like those reported in naturalistic settings</w:t>
      </w:r>
      <w:r w:rsidRPr="00C82703">
        <w:rPr>
          <w:rFonts w:ascii="Times New Roman" w:hAnsi="Times New Roman" w:cs="Times New Roman"/>
        </w:rPr>
        <w:t>.</w:t>
      </w:r>
    </w:p>
    <w:p w14:paraId="3DFEAE8A" w14:textId="72B95F47" w:rsidR="00FC4951" w:rsidRPr="00C82703" w:rsidRDefault="00716A92" w:rsidP="00CD54D5">
      <w:pPr>
        <w:spacing w:line="480" w:lineRule="auto"/>
        <w:ind w:firstLine="720"/>
        <w:rPr>
          <w:rFonts w:ascii="Times New Roman" w:hAnsi="Times New Roman" w:cs="Times New Roman"/>
        </w:rPr>
      </w:pPr>
      <w:r w:rsidRPr="00C82703">
        <w:rPr>
          <w:rFonts w:ascii="Times New Roman" w:hAnsi="Times New Roman" w:cs="Times New Roman"/>
        </w:rPr>
        <w:t xml:space="preserve">Despite these benefits, the access to psilocybin remained constrained not only by legal frameworks but due to social stigma. Past research has shown that some patients, particularly those of older age, will require thoughtful communication that avoids stigma in order to access the benefits of psilocybin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{"citationID":"4u5BcQCu","properties":{"formattedCitation":"(63)","plainCitation":"(63)","noteIndex":0},"citationItems":[{"id":1129,"uris":["http://zotero.org/users/1546863/items/SZ7JHU7Z"],"itemData":{"id":1129,"type":"article-journal","container-title":"The American Journal of Geriatric Psychiatry","DOI":"10.1016/j.jagp.2025.07.003","ISSN":"10647481","issue":"12","journalAbbreviation":"The American Journal of Geriatric Psychiatry","language":"en","page":"1251-1259","source":"DOI.org (Crossref)","title":"Avoiding Stigma and Sensationalism in Therapeutic Psilocybin Communications: Considerations for Reaching Older Patients","title-short":"Avoiding Stigma and Sensationalism in Therapeutic Psilocybin Communications","volume":"33","author":[{"family":"Gillespie","given":"Charlotte M."},{"family":"Bering","given":"Jesse M."}],"issued":{"date-parts":[["2025",12]]}}}],"schema":"https://github.com/citation-style-language/schema/raw/master/csl-citation.json"}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(63)</w:t>
      </w:r>
      <w:r w:rsidRPr="00C82703">
        <w:rPr>
          <w:rFonts w:ascii="Times New Roman" w:hAnsi="Times New Roman" w:cs="Times New Roman"/>
        </w:rPr>
        <w:fldChar w:fldCharType="end"/>
      </w:r>
      <w:r w:rsidRPr="00C82703">
        <w:rPr>
          <w:rFonts w:ascii="Times New Roman" w:hAnsi="Times New Roman" w:cs="Times New Roman"/>
        </w:rPr>
        <w:t xml:space="preserve">. Similarly, broader societal efforts are needed to reduce stigma and facilitate equitable access, ensuring that all individuals can benefit from psilocybin treatment. </w:t>
      </w:r>
    </w:p>
    <w:p w14:paraId="233B606A" w14:textId="40C93A71" w:rsidR="00716A92" w:rsidRPr="00C82703" w:rsidRDefault="00716A92" w:rsidP="00CD54D5">
      <w:pPr>
        <w:spacing w:line="480" w:lineRule="auto"/>
        <w:ind w:firstLine="720"/>
        <w:rPr>
          <w:rFonts w:ascii="Times New Roman" w:hAnsi="Times New Roman" w:cs="Times New Roman"/>
        </w:rPr>
      </w:pPr>
      <w:r w:rsidRPr="00C82703">
        <w:rPr>
          <w:rFonts w:ascii="Times New Roman" w:hAnsi="Times New Roman" w:cs="Times New Roman"/>
        </w:rPr>
        <w:t xml:space="preserve">In Canada, the current Special Access Program </w:t>
      </w:r>
      <w:r w:rsidR="00FC4951" w:rsidRPr="00C82703">
        <w:rPr>
          <w:rFonts w:ascii="Times New Roman" w:hAnsi="Times New Roman" w:cs="Times New Roman"/>
        </w:rPr>
        <w:t>does not allow psychedelics as first line therapy, despite users in our sample reporting consumption without previous treatment. Given the accumulating evidence for both the efficacy and safety of psilocybin, there is a compelling rationale for re-evaluating current regulatory frameworks to expand responsible access</w:t>
      </w:r>
      <w:r w:rsidR="00BE6148" w:rsidRPr="00C82703">
        <w:rPr>
          <w:rFonts w:ascii="Times New Roman" w:hAnsi="Times New Roman" w:cs="Times New Roman"/>
        </w:rPr>
        <w:t xml:space="preserve"> and reinforce community-based guidelines currently available </w:t>
      </w:r>
      <w:r w:rsidR="00BE6148"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{"citationID":"WMcNiMGS","properties":{"formattedCitation":"(20)","plainCitation":"(20)","noteIndex":0},"citationItems":[{"id":1193,"uris":["http://zotero.org/users/1546863/items/WI59W96L"],"itemData":{"id":1193,"type":"report","abstract":"The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rsidRPr="00C82703">
        <w:rPr>
          <w:rFonts w:ascii="Times New Roman" w:hAnsi="Times New Roman" w:cs="Times New Roman"/>
        </w:rPr>
        <w:fldChar w:fldCharType="separate"/>
      </w:r>
      <w:r w:rsidR="00BE6148" w:rsidRPr="00C82703">
        <w:rPr>
          <w:rFonts w:ascii="Times New Roman" w:hAnsi="Times New Roman" w:cs="Times New Roman"/>
        </w:rPr>
        <w:t>(20)</w:t>
      </w:r>
      <w:r w:rsidR="00BE6148" w:rsidRPr="00C82703">
        <w:rPr>
          <w:rFonts w:ascii="Times New Roman" w:hAnsi="Times New Roman" w:cs="Times New Roman"/>
        </w:rPr>
        <w:fldChar w:fldCharType="end"/>
      </w:r>
      <w:r w:rsidR="00FC4951" w:rsidRPr="00C82703">
        <w:rPr>
          <w:rFonts w:ascii="Times New Roman" w:hAnsi="Times New Roman" w:cs="Times New Roman"/>
        </w:rPr>
        <w:t xml:space="preserve">. Policymakers and healthcare systems should consider pathways that allow psilocybin to be integrated as a treatment option beyond individuals who have not benefited from conventional therapies, while maintaining safeguards to ensure appropriate use. Expanding access in this way has the potential not only to improve individual well-being but also to reduce the broader public health burden associated with persistent psychological distress. </w:t>
      </w:r>
    </w:p>
    <w:p w14:paraId="5EF7011C" w14:textId="2D219EB2"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Generalisability</w:t>
      </w:r>
    </w:p>
    <w:p w14:paraId="5C46533A" w14:textId="206C9153" w:rsidR="00FC4951" w:rsidRPr="00C82703" w:rsidRDefault="00FC4951" w:rsidP="00CD54D5">
      <w:pPr>
        <w:spacing w:line="480" w:lineRule="auto"/>
        <w:ind w:firstLine="720"/>
        <w:rPr>
          <w:rFonts w:ascii="Times New Roman" w:hAnsi="Times New Roman" w:cs="Times New Roman"/>
        </w:rPr>
      </w:pPr>
      <w:r w:rsidRPr="00C82703">
        <w:rPr>
          <w:rFonts w:ascii="Times New Roman" w:hAnsi="Times New Roman" w:cs="Times New Roman"/>
        </w:rPr>
        <w:t xml:space="preserve">The findings of this study should be interpreted within the context of a voluntary, online Canadian cohort recruited through social media and email campaigns, which may limit representativeness. Participants were self-selected and had access to the internet, meaning the </w:t>
      </w:r>
      <w:r w:rsidRPr="00C82703">
        <w:rPr>
          <w:rFonts w:ascii="Times New Roman" w:hAnsi="Times New Roman" w:cs="Times New Roman"/>
        </w:rPr>
        <w:lastRenderedPageBreak/>
        <w:t>sample likely reflects individuals who are engaged with digital platforms and potentially more open to or informed about psychedelics than the general population. Nevertheless, the lack of significant differences between completers and non-completers, along with the inclusion of participants across a broad age range and educational backgrounds, supports the relevance of these findings to a diverse subset of the Canadian adult population.</w:t>
      </w:r>
    </w:p>
    <w:p w14:paraId="713483B9" w14:textId="52ED3A95" w:rsidR="00BF6E1F" w:rsidRPr="00CD54D5" w:rsidRDefault="00BF6E1F" w:rsidP="00C82703">
      <w:pPr>
        <w:pStyle w:val="Heading1"/>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Other information</w:t>
      </w:r>
    </w:p>
    <w:p w14:paraId="252AACD1" w14:textId="59887C4A"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Funding</w:t>
      </w:r>
    </w:p>
    <w:p w14:paraId="6AAD30D7" w14:textId="1E1986FF" w:rsidR="002F614B" w:rsidRPr="00C82703" w:rsidRDefault="002F614B" w:rsidP="00C82703">
      <w:pPr>
        <w:spacing w:line="480" w:lineRule="auto"/>
        <w:rPr>
          <w:rFonts w:ascii="Times New Roman" w:hAnsi="Times New Roman" w:cs="Times New Roman"/>
        </w:rPr>
      </w:pPr>
      <w:r w:rsidRPr="00C82703">
        <w:rPr>
          <w:rFonts w:ascii="Times New Roman" w:hAnsi="Times New Roman" w:cs="Times New Roman"/>
        </w:rPr>
        <w:t>This study was funded by a private donation from Andrew Beckerman.</w:t>
      </w:r>
    </w:p>
    <w:p w14:paraId="768F055F" w14:textId="77777777" w:rsidR="00BF6E1F" w:rsidRPr="00C82703" w:rsidRDefault="00BF6E1F" w:rsidP="00C82703">
      <w:pPr>
        <w:spacing w:line="480" w:lineRule="auto"/>
        <w:rPr>
          <w:rFonts w:ascii="Times New Roman" w:eastAsiaTheme="majorEastAsia" w:hAnsi="Times New Roman" w:cs="Times New Roman"/>
        </w:rPr>
      </w:pPr>
      <w:r w:rsidRPr="00C82703">
        <w:rPr>
          <w:rFonts w:ascii="Times New Roman" w:hAnsi="Times New Roman" w:cs="Times New Roman"/>
        </w:rPr>
        <w:br w:type="page"/>
      </w:r>
    </w:p>
    <w:p w14:paraId="138C3E41" w14:textId="2FAC0D82" w:rsidR="00BF6E1F" w:rsidRPr="00CD54D5" w:rsidRDefault="00BF6E1F" w:rsidP="00CD54D5">
      <w:pPr>
        <w:pStyle w:val="Heading1"/>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References</w:t>
      </w:r>
    </w:p>
    <w:p w14:paraId="1BC96655" w14:textId="77777777" w:rsidR="006150E6" w:rsidRDefault="00BF6E1F" w:rsidP="006150E6">
      <w:pPr>
        <w:pStyle w:val="Bibliography"/>
      </w:pPr>
      <w:r w:rsidRPr="00C82703">
        <w:rPr>
          <w:lang w:val="fr-FR"/>
        </w:rPr>
        <w:fldChar w:fldCharType="begin"/>
      </w:r>
      <w:r w:rsidR="00843B2C" w:rsidRPr="00C82703">
        <w:instrText xml:space="preserve"> ADDIN ZOTERO_BIBL {"uncited":[],"omitted":[],"custom":[]} CSL_BIBLIOGRAPHY </w:instrText>
      </w:r>
      <w:r w:rsidRPr="00C82703">
        <w:rPr>
          <w:lang w:val="fr-FR"/>
        </w:rPr>
        <w:fldChar w:fldCharType="separate"/>
      </w:r>
      <w:r w:rsidR="006150E6">
        <w:t>1.</w:t>
      </w:r>
      <w:r w:rsidR="006150E6">
        <w:tab/>
        <w:t xml:space="preserve">Fan Y, Fan A, Yang Z, Fan D. Global burden of mental disorders in 204 countries and territories, 1990–2021: results from the global burden of disease study 2021. BMC Psychiatry. 2025 May 15;25(1):486. </w:t>
      </w:r>
    </w:p>
    <w:p w14:paraId="186786E6" w14:textId="77777777" w:rsidR="006150E6" w:rsidRDefault="006150E6" w:rsidP="006150E6">
      <w:pPr>
        <w:pStyle w:val="Bibliography"/>
      </w:pPr>
      <w:r>
        <w:t>2.</w:t>
      </w:r>
      <w:r>
        <w:tab/>
        <w:t xml:space="preserve">Santomauro DF, Mantilla Herrera AM, Shadid J, Zheng P, Ashbaugh C, Pigott DM, et al. Global prevalence and burden of depressive and anxiety disorders in 204 countries and territories in 2020 due to the COVID-19 pandemic. The Lancet. 2021 Nov;398(10312):1700–12. </w:t>
      </w:r>
    </w:p>
    <w:p w14:paraId="56AEEBFC" w14:textId="77777777" w:rsidR="006150E6" w:rsidRDefault="006150E6" w:rsidP="006150E6">
      <w:pPr>
        <w:pStyle w:val="Bibliography"/>
      </w:pPr>
      <w:r>
        <w:t>3.</w:t>
      </w:r>
      <w:r>
        <w:tab/>
        <w:t xml:space="preserve">Seighali N, Abdollahi A, Shafiee A, Amini MJ, Teymouri Athar MM, Safari O, et al. The global prevalence of depression, anxiety, and sleep disorder among patients coping with Post COVID-19 syndrome (long COVID): a systematic review and meta-analysis. BMC Psychiatry. 2024 Feb 6;24(1):105. </w:t>
      </w:r>
    </w:p>
    <w:p w14:paraId="0FA018DD" w14:textId="77777777" w:rsidR="006150E6" w:rsidRDefault="006150E6" w:rsidP="006150E6">
      <w:pPr>
        <w:pStyle w:val="Bibliography"/>
      </w:pPr>
      <w:r>
        <w:t>4.</w:t>
      </w:r>
      <w:r>
        <w:tab/>
        <w:t xml:space="preserve">Tebeka S, Coste J, Makovski TT, Alleaume C, Delpierre C, Gallay A, et al. Dissecting the association between long COVID and depressive symptoms in a nationally representative population from France. Journal of Psychosomatic Research. 2024 </w:t>
      </w:r>
      <w:proofErr w:type="gramStart"/>
      <w:r>
        <w:t>Dec;187:111961</w:t>
      </w:r>
      <w:proofErr w:type="gramEnd"/>
      <w:r>
        <w:t xml:space="preserve">. </w:t>
      </w:r>
    </w:p>
    <w:p w14:paraId="0BE6827F" w14:textId="77777777" w:rsidR="006150E6" w:rsidRDefault="006150E6" w:rsidP="006150E6">
      <w:pPr>
        <w:pStyle w:val="Bibliography"/>
      </w:pPr>
      <w:r>
        <w:t>5.</w:t>
      </w:r>
      <w:r>
        <w:tab/>
        <w:t xml:space="preserve">Weiss D, Lowenstein C, Sund ER, Vethe D, Krokstad S. Diverging mental health trends in the postpandemic era: results from the HUNT Study, Norway. J Epidemiol Community Health. 2025 Mar 1;79(3):165. </w:t>
      </w:r>
    </w:p>
    <w:p w14:paraId="2528FC0F" w14:textId="77777777" w:rsidR="006150E6" w:rsidRDefault="006150E6" w:rsidP="006150E6">
      <w:pPr>
        <w:pStyle w:val="Bibliography"/>
      </w:pPr>
      <w:r>
        <w:t>6.</w:t>
      </w:r>
      <w:r>
        <w:tab/>
        <w:t xml:space="preserve">World Health Organization. World mental health today: latest data. World Health Organization; 2025. </w:t>
      </w:r>
    </w:p>
    <w:p w14:paraId="305A8E96" w14:textId="77777777" w:rsidR="006150E6" w:rsidRDefault="006150E6" w:rsidP="006150E6">
      <w:pPr>
        <w:pStyle w:val="Bibliography"/>
      </w:pPr>
      <w:r>
        <w:t>7.</w:t>
      </w:r>
      <w:r>
        <w:tab/>
        <w:t xml:space="preserve">Kovacs M, Joormann J, Gotlib IH. Emotion (Dys)regulation and Links to Depressive Disorders. Child Dev Perspectives. 2008 Dec;2(3):149–55. </w:t>
      </w:r>
    </w:p>
    <w:p w14:paraId="1D1CE0BE" w14:textId="77777777" w:rsidR="006150E6" w:rsidRDefault="006150E6" w:rsidP="006150E6">
      <w:pPr>
        <w:pStyle w:val="Bibliography"/>
      </w:pPr>
      <w:r>
        <w:t>8.</w:t>
      </w:r>
      <w:r>
        <w:tab/>
        <w:t xml:space="preserve">Ko K, Knight G, Rucker JJ, Cleare AJ. Psychedelics, Mystical Experience, and Therapeutic Efficacy: A Systematic Review. Front Psychiatry. 2022 July </w:t>
      </w:r>
      <w:proofErr w:type="gramStart"/>
      <w:r>
        <w:t>12;13:917199</w:t>
      </w:r>
      <w:proofErr w:type="gramEnd"/>
      <w:r>
        <w:t xml:space="preserve">. </w:t>
      </w:r>
    </w:p>
    <w:p w14:paraId="77E6A11A" w14:textId="77777777" w:rsidR="006150E6" w:rsidRDefault="006150E6" w:rsidP="006150E6">
      <w:pPr>
        <w:pStyle w:val="Bibliography"/>
      </w:pPr>
      <w:r>
        <w:t>9.</w:t>
      </w:r>
      <w:r>
        <w:tab/>
        <w:t xml:space="preserve">Watts R, Day C, Krzanowski J, Nutt D, Carhart-Harris R. Patients’ Accounts of Increased “Connectedness” and “Acceptance” After Psilocybin for Treatment-Resistant Depression. Journal of Humanistic Psychology. 2017 Sept;57(5):520–64. </w:t>
      </w:r>
    </w:p>
    <w:p w14:paraId="65BF589B" w14:textId="77777777" w:rsidR="006150E6" w:rsidRDefault="006150E6" w:rsidP="006150E6">
      <w:pPr>
        <w:pStyle w:val="Bibliography"/>
      </w:pPr>
      <w:r>
        <w:t>10.</w:t>
      </w:r>
      <w:r>
        <w:tab/>
        <w:t xml:space="preserve">Carhart-Harris RL, Goodwin GM. The Therapeutic Potential of Psychedelic Drugs: Past, Present, and Future. Neuropsychopharmacol. 2017 Oct;42(11):2105–13. </w:t>
      </w:r>
    </w:p>
    <w:p w14:paraId="78B71D61" w14:textId="77777777" w:rsidR="006150E6" w:rsidRDefault="006150E6" w:rsidP="006150E6">
      <w:pPr>
        <w:pStyle w:val="Bibliography"/>
      </w:pPr>
      <w:r>
        <w:t>11.</w:t>
      </w:r>
      <w:r>
        <w:tab/>
        <w:t xml:space="preserve">Smausz R, Neill J, Gigg J. Neural mechanisms underlying psilocybin’s therapeutic potential – the need for preclinical in vivo electrophysiology. J Psychopharmacol. 2022 July;36(7):781–93. </w:t>
      </w:r>
    </w:p>
    <w:p w14:paraId="23EF01BC" w14:textId="77777777" w:rsidR="006150E6" w:rsidRDefault="006150E6" w:rsidP="006150E6">
      <w:pPr>
        <w:pStyle w:val="Bibliography"/>
      </w:pPr>
      <w:r>
        <w:lastRenderedPageBreak/>
        <w:t>12.</w:t>
      </w:r>
      <w:r>
        <w:tab/>
        <w:t xml:space="preserve">Brudner RM, Kaczmarek E, Blainey MG, Schulz-Quach C, Meshkat S, Doyle Z, et al. Examining mystical experiences as a predictor of psilocybin-assisted psychotherapy for treatment-resistant depression. J Psychopharmacol. 2025 Sept;39(9):950–6. </w:t>
      </w:r>
    </w:p>
    <w:p w14:paraId="23224790" w14:textId="77777777" w:rsidR="006150E6" w:rsidRDefault="006150E6" w:rsidP="006150E6">
      <w:pPr>
        <w:pStyle w:val="Bibliography"/>
      </w:pPr>
      <w:r>
        <w:t>13.</w:t>
      </w:r>
      <w:r>
        <w:tab/>
        <w:t>Richard J, Garcia-Romeu A, Henningfield JE. Expanded access to psychedelic treatments: comparing American and Canadian policies. Gen Psych. 2025 Feb;38(1</w:t>
      </w:r>
      <w:proofErr w:type="gramStart"/>
      <w:r>
        <w:t>):e</w:t>
      </w:r>
      <w:proofErr w:type="gramEnd"/>
      <w:r>
        <w:t xml:space="preserve">101894. </w:t>
      </w:r>
    </w:p>
    <w:p w14:paraId="752036FA" w14:textId="77777777" w:rsidR="006150E6" w:rsidRDefault="006150E6" w:rsidP="006150E6">
      <w:pPr>
        <w:pStyle w:val="Bibliography"/>
      </w:pPr>
      <w:r>
        <w:t>14.</w:t>
      </w:r>
      <w:r>
        <w:tab/>
        <w:t xml:space="preserve">Ross ML, Iyer R, Williams ML, Boughey M, O’Callaghan C, Hiscock R, et al. Psilocybin-assisted psychotherapy for depression and anxiety associated with life threatening illness: A phase 2b randomized controlled trial. General Hospital Psychiatry. 2025 </w:t>
      </w:r>
      <w:proofErr w:type="gramStart"/>
      <w:r>
        <w:t>Sept;96:322</w:t>
      </w:r>
      <w:proofErr w:type="gramEnd"/>
      <w:r>
        <w:t xml:space="preserve">–31. </w:t>
      </w:r>
    </w:p>
    <w:p w14:paraId="6FEA0296" w14:textId="77777777" w:rsidR="006150E6" w:rsidRDefault="006150E6" w:rsidP="006150E6">
      <w:pPr>
        <w:pStyle w:val="Bibliography"/>
      </w:pPr>
      <w:r>
        <w:t>15.</w:t>
      </w:r>
      <w:r>
        <w:tab/>
        <w:t xml:space="preserve">Askariyan K, Joghataei MT, Dehghan S, Nohesara S, Riahi Pour L, Mohammadi MH, et al. An overview of psilocybin, LSD, MDMA, and ketamine in revitalizing psychedelic-assisted therapy: Insights, limitations and future directions. Progress in Neuro-Psychopharmacology and Biological Psychiatry. 2025 </w:t>
      </w:r>
      <w:proofErr w:type="gramStart"/>
      <w:r>
        <w:t>Aug;141:111461</w:t>
      </w:r>
      <w:proofErr w:type="gramEnd"/>
      <w:r>
        <w:t xml:space="preserve">. </w:t>
      </w:r>
    </w:p>
    <w:p w14:paraId="7F7238BD" w14:textId="77777777" w:rsidR="006150E6" w:rsidRDefault="006150E6" w:rsidP="006150E6">
      <w:pPr>
        <w:pStyle w:val="Bibliography"/>
      </w:pPr>
      <w:r>
        <w:t>16.</w:t>
      </w:r>
      <w:r>
        <w:tab/>
        <w:t>Davis AK, DellaCrosse MA, Sepeda ND, Levin AW, Cosimano M, Shaub H, et al. Five-year outcomes of psilocybin-assisted therapy for Major Depressive Disorder. JPS [Internet]. 2025 Sept 4 [cited 2025 Nov 5]; Available from: https://akjournals.com/view/journals/2054/aop/article-10.1556-2054.2025.00461/article-10.1556-2054.2025.00461.xml</w:t>
      </w:r>
    </w:p>
    <w:p w14:paraId="5BF79B6D" w14:textId="77777777" w:rsidR="006150E6" w:rsidRDefault="006150E6" w:rsidP="006150E6">
      <w:pPr>
        <w:pStyle w:val="Bibliography"/>
      </w:pPr>
      <w:r>
        <w:t>17.</w:t>
      </w:r>
      <w:r>
        <w:tab/>
        <w:t xml:space="preserve">Li LJ, Mo Y, Shi ZM, Huang XB, Ning YP, Wu HW, et al. Psilocybin for major depressive disorder: a systematic review of randomized controlled studies. Front Psychiatry. 2024 Sept </w:t>
      </w:r>
      <w:proofErr w:type="gramStart"/>
      <w:r>
        <w:t>23;15:1416420</w:t>
      </w:r>
      <w:proofErr w:type="gramEnd"/>
      <w:r>
        <w:t xml:space="preserve">. </w:t>
      </w:r>
    </w:p>
    <w:p w14:paraId="45128CAC" w14:textId="77777777" w:rsidR="006150E6" w:rsidRDefault="006150E6" w:rsidP="006150E6">
      <w:pPr>
        <w:pStyle w:val="Bibliography"/>
      </w:pPr>
      <w:r>
        <w:t>18.</w:t>
      </w:r>
      <w:r>
        <w:tab/>
        <w:t xml:space="preserve">Swieczkowski D, Kwaśny A, Ciurkowska P, Pruc M, Szarpak L, Cubała WJ. Unequal representation? A cross-sectional analysis of age, sex, race, and ethnicity in clinical trials of classic psychedelics. J Psychopharmacol. 2025 Sept;39(9):1014–22. </w:t>
      </w:r>
    </w:p>
    <w:p w14:paraId="73AB87C9" w14:textId="77777777" w:rsidR="006150E6" w:rsidRDefault="006150E6" w:rsidP="006150E6">
      <w:pPr>
        <w:pStyle w:val="Bibliography"/>
      </w:pPr>
      <w:r>
        <w:t>19.</w:t>
      </w:r>
      <w:r>
        <w:tab/>
        <w:t xml:space="preserve">Rajwani K, Jacobs E, Bruce L, Hokanson J, Almonte MT, Feroz F, et al. Clinical psychedelic research in adolescents: a scoping review and overview of ethical considerations. The Lancet Child &amp; Adolescent Health. 2025 Oct;9(10):744–52. </w:t>
      </w:r>
    </w:p>
    <w:p w14:paraId="16851A0A" w14:textId="77777777" w:rsidR="006150E6" w:rsidRDefault="006150E6" w:rsidP="006150E6">
      <w:pPr>
        <w:pStyle w:val="Bibliography"/>
      </w:pPr>
      <w:r>
        <w:t>20.</w:t>
      </w:r>
      <w:r>
        <w:tab/>
        <w:t>Grewal A, Closson K, White L, Baracaldo L, Allison S, Card KG. Tips and Recommendations for The Ingestion of Psilocybin: An Introduction to Community-Based Public Health Guidance for Lower Risk Psilocybin Use [Internet]. Healthy Ecologies and Lifestyles Lab, Simon Fraser University; 2023 [cited 2025 Nov 5]. Available from: https://works.hcommons.org/doi/10.17613/hyvzz-hq310</w:t>
      </w:r>
    </w:p>
    <w:p w14:paraId="0B44BA64" w14:textId="77777777" w:rsidR="006150E6" w:rsidRDefault="006150E6" w:rsidP="006150E6">
      <w:pPr>
        <w:pStyle w:val="Bibliography"/>
      </w:pPr>
      <w:r>
        <w:t>21.</w:t>
      </w:r>
      <w:r>
        <w:tab/>
        <w:t xml:space="preserve">Nayak SM, Jackson H, Sepeda ND, Mathai DS, So S, Yaffe A, et al. Naturalistic psilocybin use is associated with persisting improvements in mental health and </w:t>
      </w:r>
      <w:r>
        <w:lastRenderedPageBreak/>
        <w:t xml:space="preserve">wellbeing: results from a prospective, longitudinal survey. Front Psychiatry. 2023 Sept </w:t>
      </w:r>
      <w:proofErr w:type="gramStart"/>
      <w:r>
        <w:t>19;14:1199642</w:t>
      </w:r>
      <w:proofErr w:type="gramEnd"/>
      <w:r>
        <w:t xml:space="preserve">. </w:t>
      </w:r>
    </w:p>
    <w:p w14:paraId="66AF501D" w14:textId="77777777" w:rsidR="006150E6" w:rsidRDefault="006150E6" w:rsidP="006150E6">
      <w:pPr>
        <w:pStyle w:val="Bibliography"/>
      </w:pPr>
      <w:r>
        <w:t>22.</w:t>
      </w:r>
      <w:r>
        <w:tab/>
        <w:t xml:space="preserve">Andrade FRT, Buchborn T, Thalheimer G, Meinhardt MW, Joca S, De Almeida RMM. Therapeutic Use of Psilocybin in Depression: </w:t>
      </w:r>
      <w:proofErr w:type="gramStart"/>
      <w:r>
        <w:t>a</w:t>
      </w:r>
      <w:proofErr w:type="gramEnd"/>
      <w:r>
        <w:t xml:space="preserve"> Systematic Review of Clinical Evidence. Acta Neuropsychiatr. 2025;</w:t>
      </w:r>
      <w:proofErr w:type="gramStart"/>
      <w:r>
        <w:t>37:e</w:t>
      </w:r>
      <w:proofErr w:type="gramEnd"/>
      <w:r>
        <w:t xml:space="preserve">86. </w:t>
      </w:r>
    </w:p>
    <w:p w14:paraId="6EA154CE" w14:textId="77777777" w:rsidR="006150E6" w:rsidRDefault="006150E6" w:rsidP="006150E6">
      <w:pPr>
        <w:pStyle w:val="Bibliography"/>
      </w:pPr>
      <w:r>
        <w:t>23.</w:t>
      </w:r>
      <w:r>
        <w:tab/>
        <w:t xml:space="preserve">Card KG, Grewal A, Closson K, Martin G, Baracaldo L, Allison S, et al. Therapeutic Potential of Psilocybin for Treating Psychological Distress among Survivors of Adverse Childhood Experiences: Evidence on Acceptability and Potential Efficacy of Psilocybin Use. Journal of Psychoactive Drugs. 2024 Oct 19;56(5):616–26. </w:t>
      </w:r>
    </w:p>
    <w:p w14:paraId="3E3F4EBC" w14:textId="77777777" w:rsidR="006150E6" w:rsidRDefault="006150E6" w:rsidP="006150E6">
      <w:pPr>
        <w:pStyle w:val="Bibliography"/>
      </w:pPr>
      <w:r>
        <w:t>24.</w:t>
      </w:r>
      <w:r>
        <w:tab/>
        <w:t xml:space="preserve">Kessler RC, Andrews G, Colpe LJ, Hiripi E, Mroczek DK, Normand SLT, et al. </w:t>
      </w:r>
      <w:proofErr w:type="gramStart"/>
      <w:r>
        <w:t>Short</w:t>
      </w:r>
      <w:proofErr w:type="gramEnd"/>
      <w:r>
        <w:t xml:space="preserve"> screening scales to monitor population prevalences and trends in non-specific psychological distress. Psychol Med. 2002 Aug;32(6):959–76. </w:t>
      </w:r>
    </w:p>
    <w:p w14:paraId="1DBC4B5B" w14:textId="77777777" w:rsidR="006150E6" w:rsidRDefault="006150E6" w:rsidP="006150E6">
      <w:pPr>
        <w:pStyle w:val="Bibliography"/>
      </w:pPr>
      <w:r>
        <w:t>25.</w:t>
      </w:r>
      <w:r>
        <w:tab/>
        <w:t xml:space="preserve">Kessler RC, Green JG, Gruber MJ, Sampson NA, Bromet E, Cuitan M, et al. Screening for serious mental illness in the general population with the K6 screening scale: results from the WHO World Mental Health (WMH) survey initiative. Int J Methods Psych Res. 2010 June;19(S1):4–22. </w:t>
      </w:r>
    </w:p>
    <w:p w14:paraId="5BA3995B" w14:textId="77777777" w:rsidR="006150E6" w:rsidRDefault="006150E6" w:rsidP="006150E6">
      <w:pPr>
        <w:pStyle w:val="Bibliography"/>
      </w:pPr>
      <w:r>
        <w:t>26.</w:t>
      </w:r>
      <w:r>
        <w:tab/>
        <w:t xml:space="preserve">Abuduxike G, Aşut Ö, Vaizoğlu SA, Cali S. Health-Seeking Behaviors and its Determinants: A Facility-Based Cross-Sectional Study in the Turkish Republic of Northern Cyprus. Int J Health Policy Manag. 2019 Nov 23;1. </w:t>
      </w:r>
    </w:p>
    <w:p w14:paraId="2E3F13D9" w14:textId="77777777" w:rsidR="006150E6" w:rsidRDefault="006150E6" w:rsidP="006150E6">
      <w:pPr>
        <w:pStyle w:val="Bibliography"/>
      </w:pPr>
      <w:r>
        <w:t>27.</w:t>
      </w:r>
      <w:r>
        <w:tab/>
        <w:t>Doherty DT, Kartalova</w:t>
      </w:r>
      <w:r>
        <w:rPr>
          <w:rFonts w:ascii="Cambria Math" w:hAnsi="Cambria Math" w:cs="Cambria Math"/>
        </w:rPr>
        <w:t>‐</w:t>
      </w:r>
      <w:r>
        <w:t>O</w:t>
      </w:r>
      <w:r>
        <w:rPr>
          <w:rFonts w:ascii="Aptos" w:hAnsi="Aptos" w:cs="Aptos"/>
        </w:rPr>
        <w:t>’</w:t>
      </w:r>
      <w:r>
        <w:t>Doherty Y. Gender and self</w:t>
      </w:r>
      <w:r>
        <w:rPr>
          <w:rFonts w:ascii="Cambria Math" w:hAnsi="Cambria Math" w:cs="Cambria Math"/>
        </w:rPr>
        <w:t>‐</w:t>
      </w:r>
      <w:r>
        <w:t>reported mental health problems: Predictors of help seeking from a general practitioner. British J Health Psychol. 2010 Feb;15(1):213</w:t>
      </w:r>
      <w:r>
        <w:rPr>
          <w:rFonts w:ascii="Aptos" w:hAnsi="Aptos" w:cs="Aptos"/>
        </w:rPr>
        <w:t>–</w:t>
      </w:r>
      <w:r>
        <w:t xml:space="preserve">28. </w:t>
      </w:r>
    </w:p>
    <w:p w14:paraId="44E932DD" w14:textId="77777777" w:rsidR="006150E6" w:rsidRDefault="006150E6" w:rsidP="006150E6">
      <w:pPr>
        <w:pStyle w:val="Bibliography"/>
      </w:pPr>
      <w:r>
        <w:t>28.</w:t>
      </w:r>
      <w:r>
        <w:tab/>
        <w:t xml:space="preserve">Cheon Y, Park J, Jeong BY, Park EY, Oh JK, Yun EH, et al. Factors associated with psychological stress and distress among Korean adults: the results from Korea National Health and Nutrition Examination Survey. Sci Rep. 2020 Sept 15;10(1):15134. </w:t>
      </w:r>
    </w:p>
    <w:p w14:paraId="4151299E" w14:textId="77777777" w:rsidR="006150E6" w:rsidRDefault="006150E6" w:rsidP="006150E6">
      <w:pPr>
        <w:pStyle w:val="Bibliography"/>
      </w:pPr>
      <w:r>
        <w:t>29.</w:t>
      </w:r>
      <w:r>
        <w:tab/>
        <w:t xml:space="preserve">Bujalski M, Wieczorek Ł, Sierosławski J. Risk perception and risk aversion among people who use New Psychoactive Substances. International Journal of Drug Policy. 2021 </w:t>
      </w:r>
      <w:proofErr w:type="gramStart"/>
      <w:r>
        <w:t>Nov;97:103326</w:t>
      </w:r>
      <w:proofErr w:type="gramEnd"/>
      <w:r>
        <w:t xml:space="preserve">. </w:t>
      </w:r>
    </w:p>
    <w:p w14:paraId="61B66A5D" w14:textId="77777777" w:rsidR="006150E6" w:rsidRDefault="006150E6" w:rsidP="006150E6">
      <w:pPr>
        <w:pStyle w:val="Bibliography"/>
      </w:pPr>
      <w:r>
        <w:t>30.</w:t>
      </w:r>
      <w:r>
        <w:tab/>
        <w:t xml:space="preserve">Erritzoe D, Barba T, Greenway KT, Murphy R, Martell J, Giribaldi B, et al. Effect of psilocybin versus escitalopram on depression symptom severity in patients with moderate-to-severe major depressive disorder: observational 6-month follow-up of a phase 2, double-blind, randomised, controlled trial. eClinicalMedicine. 2024 </w:t>
      </w:r>
      <w:proofErr w:type="gramStart"/>
      <w:r>
        <w:t>Oct;76:102799</w:t>
      </w:r>
      <w:proofErr w:type="gramEnd"/>
      <w:r>
        <w:t xml:space="preserve">. </w:t>
      </w:r>
    </w:p>
    <w:p w14:paraId="2E1B5511" w14:textId="77777777" w:rsidR="006150E6" w:rsidRDefault="006150E6" w:rsidP="006150E6">
      <w:pPr>
        <w:pStyle w:val="Bibliography"/>
      </w:pPr>
      <w:r>
        <w:t>31.</w:t>
      </w:r>
      <w:r>
        <w:tab/>
        <w:t xml:space="preserve">IsHak WW, Garcia P, Pearl R, Dang J, William C, Totlani J, et al. The Impact of Psilocybin on Patients Experiencing Psychiatric Symptoms: A Systematic Review of Randomized Clinical Trials. Innov Clin Neurosci. 2023;20(4–6):39–48. </w:t>
      </w:r>
    </w:p>
    <w:p w14:paraId="699B3A80" w14:textId="77777777" w:rsidR="006150E6" w:rsidRDefault="006150E6" w:rsidP="006150E6">
      <w:pPr>
        <w:pStyle w:val="Bibliography"/>
      </w:pPr>
      <w:r>
        <w:lastRenderedPageBreak/>
        <w:t>32.</w:t>
      </w:r>
      <w:r>
        <w:tab/>
        <w:t xml:space="preserve">Wong S, Meckling G, Fabiano N, Lee S, Jones BDM, Shorr R, et al. Effect of psilocybin therapy on suicidal ideation, attempts, and deaths in people with psychiatric diagnoses: a systematic review and meta-analysis. Therapeutic Advances in Psychopharmacology. 2025 </w:t>
      </w:r>
      <w:proofErr w:type="gramStart"/>
      <w:r>
        <w:t>Sept;15:20451253251372449</w:t>
      </w:r>
      <w:proofErr w:type="gramEnd"/>
      <w:r>
        <w:t xml:space="preserve">. </w:t>
      </w:r>
    </w:p>
    <w:p w14:paraId="03202BBA" w14:textId="77777777" w:rsidR="006150E6" w:rsidRDefault="006150E6" w:rsidP="006150E6">
      <w:pPr>
        <w:pStyle w:val="Bibliography"/>
      </w:pPr>
      <w:r>
        <w:t>33.</w:t>
      </w:r>
      <w:r>
        <w:tab/>
        <w:t>R Core Team. R: A Language and Environment for Statistical Computing [Internet]. Vienna, Austria: R Foundation for Statistical Computing; 2025. Available from: https://www.R-project.org/</w:t>
      </w:r>
    </w:p>
    <w:p w14:paraId="043A2F47" w14:textId="77777777" w:rsidR="006150E6" w:rsidRDefault="006150E6" w:rsidP="006150E6">
      <w:pPr>
        <w:pStyle w:val="Bibliography"/>
      </w:pPr>
      <w:r>
        <w:t>34.</w:t>
      </w:r>
      <w:r>
        <w:tab/>
        <w:t xml:space="preserve">Breitling LP, Duan C, Dragomir AD, Luta G. Using dagR to identify minimal sufficient adjustment sets and to simulate data based on directed acyclic graphs. International Journal of Epidemiology. 2022 Jan 6;50(6):1772–7. </w:t>
      </w:r>
    </w:p>
    <w:p w14:paraId="47346CD2" w14:textId="77777777" w:rsidR="006150E6" w:rsidRDefault="006150E6" w:rsidP="006150E6">
      <w:pPr>
        <w:pStyle w:val="Bibliography"/>
      </w:pPr>
      <w:r>
        <w:t>35.</w:t>
      </w:r>
      <w:r>
        <w:tab/>
        <w:t xml:space="preserve">Keele L, Kelly NJ. Dynamic Models for Dynamic Theories: The Ins and Outs of Lagged Dependent Variables. Political Analysis. 2006;14(2):186–205. </w:t>
      </w:r>
    </w:p>
    <w:p w14:paraId="413F7D56" w14:textId="77777777" w:rsidR="006150E6" w:rsidRDefault="006150E6" w:rsidP="006150E6">
      <w:pPr>
        <w:pStyle w:val="Bibliography"/>
      </w:pPr>
      <w:r>
        <w:t>36.</w:t>
      </w:r>
      <w:r>
        <w:tab/>
        <w:t xml:space="preserve">Tennant PWG, Arnold KF, Ellison GTH, Gilthorpe MS. Analyses of ‘change scores’ do not estimate causal effects in observational data. International Journal of Epidemiology. 2022 Oct 13;51(5):1604–15. </w:t>
      </w:r>
    </w:p>
    <w:p w14:paraId="3BB81A9E" w14:textId="77777777" w:rsidR="006150E6" w:rsidRDefault="006150E6" w:rsidP="006150E6">
      <w:pPr>
        <w:pStyle w:val="Bibliography"/>
      </w:pPr>
      <w:r>
        <w:t>37.</w:t>
      </w:r>
      <w:r>
        <w:tab/>
        <w:t xml:space="preserve">Austin PC, Stuart EA. Moving towards best practice when using inverse probability of treatment weighting (IPTW) using the propensity score to estimate causal treatment effects in observational studies. Statistics in Medicine. 2015 Dec 10;34(28):3661–79. </w:t>
      </w:r>
    </w:p>
    <w:p w14:paraId="20E1F917" w14:textId="77777777" w:rsidR="006150E6" w:rsidRDefault="006150E6" w:rsidP="006150E6">
      <w:pPr>
        <w:pStyle w:val="Bibliography"/>
      </w:pPr>
      <w:r>
        <w:t>38.</w:t>
      </w:r>
      <w:r>
        <w:tab/>
        <w:t>Conover W, Iman R. Multiple-comparisons procedures. Informal report [Internet]. 1979 Feb [cited 2025 Oct 23] p. LA-7677-MS, 6057803. Report No.: LA-7677-MS, 6057803. Available from: https://www.osti.gov/servlets/purl/6057803/</w:t>
      </w:r>
    </w:p>
    <w:p w14:paraId="181DAB18" w14:textId="77777777" w:rsidR="006150E6" w:rsidRDefault="006150E6" w:rsidP="006150E6">
      <w:pPr>
        <w:pStyle w:val="Bibliography"/>
      </w:pPr>
      <w:r>
        <w:t>39.</w:t>
      </w:r>
      <w:r>
        <w:tab/>
        <w:t>Kajonius PJ, Sjöström D, Claesdotter-Knutsson E. Big Five personality and the psychedelic experience: An initial report. JPS [Internet]. 2025 July 16 [cited 2025 Oct 23]; Available from: https://akjournals.com/view/journals/2054/aop/article-10.1556-2054.2025.00414/article-10.1556-2054.2025.00414.xml</w:t>
      </w:r>
    </w:p>
    <w:p w14:paraId="453972FD" w14:textId="77777777" w:rsidR="006150E6" w:rsidRDefault="006150E6" w:rsidP="006150E6">
      <w:pPr>
        <w:pStyle w:val="Bibliography"/>
      </w:pPr>
      <w:r>
        <w:t>40.</w:t>
      </w:r>
      <w:r>
        <w:tab/>
        <w:t xml:space="preserve">Totomanova I, Haijen ECHM, Hurks PPM, Ramaekers JG, Kuypers KPC. Between enhancement and risk: A critical review of psychedelic microdosing. Current Opinion in Psychology. 2025 </w:t>
      </w:r>
      <w:proofErr w:type="gramStart"/>
      <w:r>
        <w:t>Dec;66:102129</w:t>
      </w:r>
      <w:proofErr w:type="gramEnd"/>
      <w:r>
        <w:t xml:space="preserve">. </w:t>
      </w:r>
    </w:p>
    <w:p w14:paraId="47FD2163" w14:textId="77777777" w:rsidR="006150E6" w:rsidRDefault="006150E6" w:rsidP="006150E6">
      <w:pPr>
        <w:pStyle w:val="Bibliography"/>
      </w:pPr>
      <w:r>
        <w:t>41.</w:t>
      </w:r>
      <w:r>
        <w:tab/>
        <w:t xml:space="preserve">Hübner S, Haijen E, Kaelen M, Carhart-Harris RL, Kettner H. Turn on, </w:t>
      </w:r>
      <w:proofErr w:type="gramStart"/>
      <w:r>
        <w:t>Tune</w:t>
      </w:r>
      <w:proofErr w:type="gramEnd"/>
      <w:r>
        <w:t xml:space="preserve"> in, and </w:t>
      </w:r>
      <w:proofErr w:type="gramStart"/>
      <w:r>
        <w:t>Drop</w:t>
      </w:r>
      <w:proofErr w:type="gramEnd"/>
      <w:r>
        <w:t xml:space="preserve"> out: Predictors of Attrition in a Prospective Observational Cohort Study on Psychedelic Use. J Med Internet Res. 2021 July 28;23(7</w:t>
      </w:r>
      <w:proofErr w:type="gramStart"/>
      <w:r>
        <w:t>):e</w:t>
      </w:r>
      <w:proofErr w:type="gramEnd"/>
      <w:r>
        <w:t xml:space="preserve">25973. </w:t>
      </w:r>
    </w:p>
    <w:p w14:paraId="54F6A5C2" w14:textId="77777777" w:rsidR="006150E6" w:rsidRDefault="006150E6" w:rsidP="006150E6">
      <w:pPr>
        <w:pStyle w:val="Bibliography"/>
      </w:pPr>
      <w:r>
        <w:t>42.</w:t>
      </w:r>
      <w:r>
        <w:tab/>
        <w:t xml:space="preserve">American Psychiatric Association. Practice Guideline for the Treatment of Patients </w:t>
      </w:r>
      <w:proofErr w:type="gramStart"/>
      <w:r>
        <w:t>With</w:t>
      </w:r>
      <w:proofErr w:type="gramEnd"/>
      <w:r>
        <w:t xml:space="preserve"> Major Depressive Disorder [Internet]. American Psychiatric Association Publishing; 2023. Available from: https://www.apa.org/depression-guideline/guideline.pdf</w:t>
      </w:r>
    </w:p>
    <w:p w14:paraId="1541F8AB" w14:textId="77777777" w:rsidR="006150E6" w:rsidRDefault="006150E6" w:rsidP="006150E6">
      <w:pPr>
        <w:pStyle w:val="Bibliography"/>
      </w:pPr>
      <w:r>
        <w:lastRenderedPageBreak/>
        <w:t>43.</w:t>
      </w:r>
      <w:r>
        <w:tab/>
        <w:t xml:space="preserve">World Health Organization. Mental Health Gap Action Programme (mhGAP) guideline for mental, neurological and substance use disorders. Geneva: World Health Organization; 2023. 1 p. </w:t>
      </w:r>
    </w:p>
    <w:p w14:paraId="1EED6EE5" w14:textId="77777777" w:rsidR="006150E6" w:rsidRDefault="006150E6" w:rsidP="006150E6">
      <w:pPr>
        <w:pStyle w:val="Bibliography"/>
      </w:pPr>
      <w:r>
        <w:t>44.</w:t>
      </w:r>
      <w:r>
        <w:tab/>
        <w:t xml:space="preserve">Crichton P, Carel H, Kidd IJ. Epistemic injustice in psychiatry. BJPsych Bull. 2017 Apr;41(2):65–70. </w:t>
      </w:r>
    </w:p>
    <w:p w14:paraId="15C41891" w14:textId="77777777" w:rsidR="006150E6" w:rsidRDefault="006150E6" w:rsidP="006150E6">
      <w:pPr>
        <w:pStyle w:val="Bibliography"/>
      </w:pPr>
      <w:r w:rsidRPr="006150E6">
        <w:rPr>
          <w:lang w:val="es-EC"/>
        </w:rPr>
        <w:t>45.</w:t>
      </w:r>
      <w:r w:rsidRPr="006150E6">
        <w:rPr>
          <w:lang w:val="es-EC"/>
        </w:rPr>
        <w:tab/>
        <w:t xml:space="preserve">De Las Cuevas C, Peñate W, Sanz EJ. </w:t>
      </w:r>
      <w:r>
        <w:t xml:space="preserve">Risk factors for non-adherence to antidepressant treatment in patients with mood disorders. Eur J Clin Pharmacol. 2014 Jan;70(1):89–98. </w:t>
      </w:r>
    </w:p>
    <w:p w14:paraId="1EEF3032" w14:textId="77777777" w:rsidR="006150E6" w:rsidRDefault="006150E6" w:rsidP="006150E6">
      <w:pPr>
        <w:pStyle w:val="Bibliography"/>
      </w:pPr>
      <w:r>
        <w:t>46.</w:t>
      </w:r>
      <w:r>
        <w:tab/>
        <w:t xml:space="preserve">Jacob KS. Recovery Model of Mental Illness: A Complementary Approach to Psychiatric Care. Indian Journal of Psychological Medicine. 2015 Apr;37(2):117–9. </w:t>
      </w:r>
    </w:p>
    <w:p w14:paraId="5918A682" w14:textId="77777777" w:rsidR="006150E6" w:rsidRDefault="006150E6" w:rsidP="006150E6">
      <w:pPr>
        <w:pStyle w:val="Bibliography"/>
      </w:pPr>
      <w:r>
        <w:t>47.</w:t>
      </w:r>
      <w:r>
        <w:tab/>
        <w:t xml:space="preserve">Danborg PB, Valdersdorf M, Gøtzsche PC. Long-term harms from previous use of selective serotonin reuptake inhibitors: A systematic review. International Journal of Risk &amp; Safety in Medicine. 2019 May;30(2):59–71. </w:t>
      </w:r>
    </w:p>
    <w:p w14:paraId="21B8B9D9" w14:textId="77777777" w:rsidR="006150E6" w:rsidRDefault="006150E6" w:rsidP="006150E6">
      <w:pPr>
        <w:pStyle w:val="Bibliography"/>
      </w:pPr>
      <w:r>
        <w:t>48.</w:t>
      </w:r>
      <w:r>
        <w:tab/>
        <w:t xml:space="preserve">Moncrieff J. Against the stream: Antidepressants are not antidepressants – an alternative approach to drug action and implications for the use of antidepressants. BJPsych Bull. 2018 Feb;42(1):42–4. </w:t>
      </w:r>
    </w:p>
    <w:p w14:paraId="46BE6D88" w14:textId="77777777" w:rsidR="006150E6" w:rsidRDefault="006150E6" w:rsidP="006150E6">
      <w:pPr>
        <w:pStyle w:val="Bibliography"/>
      </w:pPr>
      <w:r>
        <w:t>49.</w:t>
      </w:r>
      <w:r>
        <w:tab/>
        <w:t xml:space="preserve">Moncrieff J. What does the latest meta-analysis really tell us about antidepressants? Epidemiol Psychiatr Sci. 2018 Oct;27(5):430–2. </w:t>
      </w:r>
    </w:p>
    <w:p w14:paraId="127CE0FC" w14:textId="77777777" w:rsidR="006150E6" w:rsidRDefault="006150E6" w:rsidP="006150E6">
      <w:pPr>
        <w:pStyle w:val="Bibliography"/>
      </w:pPr>
      <w:r>
        <w:t>50.</w:t>
      </w:r>
      <w:r>
        <w:tab/>
        <w:t xml:space="preserve">Moncrieff J, Cooper RE, Stockmann T, Amendola S, Hengartner MP, Horowitz MA. The serotonin theory of depression: a systematic umbrella review of the evidence. Mol Psychiatry. 2023 Aug;28(8):3243–56. </w:t>
      </w:r>
    </w:p>
    <w:p w14:paraId="5BCFF092" w14:textId="77777777" w:rsidR="006150E6" w:rsidRDefault="006150E6" w:rsidP="006150E6">
      <w:pPr>
        <w:pStyle w:val="Bibliography"/>
      </w:pPr>
      <w:r>
        <w:t>51.</w:t>
      </w:r>
      <w:r>
        <w:tab/>
        <w:t>Pirani Y, Delgado-Ron JA, Marinho P, Gupta A, Gray E, Watt S, et al. Frequency of self-reported persistent post-treatment genital hypesthesia among past antidepressant users: A cross-sectional survey of sexual and gender minority youth in Canada and the US. 2023 Nov 4; Available from: https://doi.org/10.31219/osf.io/qha9n</w:t>
      </w:r>
    </w:p>
    <w:p w14:paraId="534D06C0" w14:textId="77777777" w:rsidR="006150E6" w:rsidRDefault="006150E6" w:rsidP="006150E6">
      <w:pPr>
        <w:pStyle w:val="Bibliography"/>
      </w:pPr>
      <w:r>
        <w:t>52.</w:t>
      </w:r>
      <w:r>
        <w:tab/>
        <w:t xml:space="preserve">García E, Barandiaran XE. Varieties of normativity and mental health: an enactive approach. Synthese. 2025 Jan 16;205(2):53. </w:t>
      </w:r>
    </w:p>
    <w:p w14:paraId="4D08DB4D" w14:textId="77777777" w:rsidR="006150E6" w:rsidRDefault="006150E6" w:rsidP="006150E6">
      <w:pPr>
        <w:pStyle w:val="Bibliography"/>
      </w:pPr>
      <w:r>
        <w:t>53.</w:t>
      </w:r>
      <w:r>
        <w:tab/>
        <w:t xml:space="preserve">Hutto DD, Myin E. Radicalizing enactivism: basic minds without content. Cambridge, Mass.: MIT Press; 2013. 206 p. </w:t>
      </w:r>
    </w:p>
    <w:p w14:paraId="67D1F3DC" w14:textId="77777777" w:rsidR="006150E6" w:rsidRDefault="006150E6" w:rsidP="006150E6">
      <w:pPr>
        <w:pStyle w:val="Bibliography"/>
      </w:pPr>
      <w:r>
        <w:t>54.</w:t>
      </w:r>
      <w:r>
        <w:tab/>
        <w:t>De Haan S. Enactive Psychiatry [Internet]. 1st edn. Cambridge University Press; 2020 [cited 2025 Nov 3]. Available from: https://www.cambridge.org/core/product/identifier/9781108685214/type/book</w:t>
      </w:r>
    </w:p>
    <w:p w14:paraId="7C85256C" w14:textId="77777777" w:rsidR="006150E6" w:rsidRDefault="006150E6" w:rsidP="006150E6">
      <w:pPr>
        <w:pStyle w:val="Bibliography"/>
      </w:pPr>
      <w:r w:rsidRPr="006150E6">
        <w:rPr>
          <w:lang w:val="it-IT"/>
        </w:rPr>
        <w:t>55.</w:t>
      </w:r>
      <w:r w:rsidRPr="006150E6">
        <w:rPr>
          <w:lang w:val="it-IT"/>
        </w:rPr>
        <w:tab/>
        <w:t xml:space="preserve">Graziosi M, Singh M, Nayak SM, Yaden DB. </w:t>
      </w:r>
      <w:r>
        <w:t xml:space="preserve">Acute Subjective Effects of Psychedelics within and Beyond WEIRD Contexts. Journal of Psychoactive Drugs. 2023 Oct 20;55(5):558–69. </w:t>
      </w:r>
    </w:p>
    <w:p w14:paraId="1AF98CA9" w14:textId="77777777" w:rsidR="006150E6" w:rsidRDefault="006150E6" w:rsidP="006150E6">
      <w:pPr>
        <w:pStyle w:val="Bibliography"/>
      </w:pPr>
      <w:r>
        <w:lastRenderedPageBreak/>
        <w:t>56.</w:t>
      </w:r>
      <w:r>
        <w:tab/>
        <w:t xml:space="preserve">Griffiths RR, Richards WA, McCann U, Jesse R. Psilocybin can occasion mystical-type experiences having substantial and sustained personal meaning and spiritual significance. Psychopharmacology. 2006 Aug;187(3):268–83. </w:t>
      </w:r>
    </w:p>
    <w:p w14:paraId="7295DC93" w14:textId="77777777" w:rsidR="006150E6" w:rsidRDefault="006150E6" w:rsidP="006150E6">
      <w:pPr>
        <w:pStyle w:val="Bibliography"/>
      </w:pPr>
      <w:r>
        <w:t>57.</w:t>
      </w:r>
      <w:r>
        <w:tab/>
        <w:t xml:space="preserve">Lerner M, Lyvers M. Values and Beliefs of Psychedelic Drug Users: A Cross-Cultural Study. Journal of Psychoactive Drugs. 2006 June;38(2):143–7. </w:t>
      </w:r>
    </w:p>
    <w:p w14:paraId="7A3BE18B" w14:textId="77777777" w:rsidR="006150E6" w:rsidRDefault="006150E6" w:rsidP="006150E6">
      <w:pPr>
        <w:pStyle w:val="Bibliography"/>
      </w:pPr>
      <w:r>
        <w:t>58.</w:t>
      </w:r>
      <w:r>
        <w:tab/>
        <w:t xml:space="preserve">Kittur ME, Burgos M. LA, Jones BDM, Blumberger DM, Mulsant BH, Rosenblat JD, et al. Mapping psilocybin therapy: A systematic review of therapeutic frameworks, adaptations, and standardization across contemporary clinical trials. Journal of Affective Disorders. 2025 </w:t>
      </w:r>
      <w:proofErr w:type="gramStart"/>
      <w:r>
        <w:t>Dec;391:119952</w:t>
      </w:r>
      <w:proofErr w:type="gramEnd"/>
      <w:r>
        <w:t xml:space="preserve">. </w:t>
      </w:r>
    </w:p>
    <w:p w14:paraId="6648924C" w14:textId="77777777" w:rsidR="006150E6" w:rsidRDefault="006150E6" w:rsidP="006150E6">
      <w:pPr>
        <w:pStyle w:val="Bibliography"/>
      </w:pPr>
      <w:r>
        <w:t>59.</w:t>
      </w:r>
      <w:r>
        <w:tab/>
        <w:t xml:space="preserve">Avanceña ALV, Vuong L, Kahn JG, Marseille E. Psilocybin-assisted therapy for treatment-resistant depression in the US: a model-based cost-effectiveness analysis. Transl Psychiatry. 2025 Aug 29;15(1):330. </w:t>
      </w:r>
    </w:p>
    <w:p w14:paraId="092150BE" w14:textId="77777777" w:rsidR="006150E6" w:rsidRDefault="006150E6" w:rsidP="006150E6">
      <w:pPr>
        <w:pStyle w:val="Bibliography"/>
      </w:pPr>
      <w:r>
        <w:t>60.</w:t>
      </w:r>
      <w:r>
        <w:tab/>
        <w:t>Hieronymus F, López E, Werin Sjögren H, Lundberg J. Control Group Outcomes in Trials of Psilocybin, SSRIs, or Esketamine for Depression: A Meta-Analysis. JAMA Netw Open. 2025 July 30;8(7</w:t>
      </w:r>
      <w:proofErr w:type="gramStart"/>
      <w:r>
        <w:t>):e</w:t>
      </w:r>
      <w:proofErr w:type="gramEnd"/>
      <w:r>
        <w:t xml:space="preserve">2524119. </w:t>
      </w:r>
    </w:p>
    <w:p w14:paraId="5E234869" w14:textId="77777777" w:rsidR="006150E6" w:rsidRDefault="006150E6" w:rsidP="006150E6">
      <w:pPr>
        <w:pStyle w:val="Bibliography"/>
      </w:pPr>
      <w:r>
        <w:t>61.</w:t>
      </w:r>
      <w:r>
        <w:tab/>
        <w:t xml:space="preserve">Hinkle JT, Graziosi M, Nayak SM, Yaden DB. Adverse Events in Studies of Classic Psychedelics: A Systematic Review and Meta-Analysis. JAMA Psychiatry. 2024 Dec 1;81(12):1225. </w:t>
      </w:r>
    </w:p>
    <w:p w14:paraId="0A9DD79D" w14:textId="77777777" w:rsidR="006150E6" w:rsidRDefault="006150E6" w:rsidP="006150E6">
      <w:pPr>
        <w:pStyle w:val="Bibliography"/>
      </w:pPr>
      <w:r>
        <w:t>62.</w:t>
      </w:r>
      <w:r>
        <w:tab/>
        <w:t xml:space="preserve">Hultgren J, Hafsteinsson MH, Brulin JG. A dose of therapy with psilocybin - A meta-analysis of the relationship between the amount of therapy hours and treatment outcomes in psychedelic-assisted therapy. General Hospital Psychiatry. 2025 </w:t>
      </w:r>
      <w:proofErr w:type="gramStart"/>
      <w:r>
        <w:t>Sept;96:234</w:t>
      </w:r>
      <w:proofErr w:type="gramEnd"/>
      <w:r>
        <w:t xml:space="preserve">–43. </w:t>
      </w:r>
    </w:p>
    <w:p w14:paraId="646551FD" w14:textId="77777777" w:rsidR="006150E6" w:rsidRDefault="006150E6" w:rsidP="006150E6">
      <w:pPr>
        <w:pStyle w:val="Bibliography"/>
      </w:pPr>
      <w:r>
        <w:t>63.</w:t>
      </w:r>
      <w:r>
        <w:tab/>
        <w:t xml:space="preserve">Gillespie CM, Bering JM. Avoiding Stigma and Sensationalism in Therapeutic Psilocybin Communications: Considerations for Reaching Older Patients. The American Journal of Geriatric Psychiatry. 2025 Dec;33(12):1251–9. </w:t>
      </w:r>
    </w:p>
    <w:p w14:paraId="65502A0D" w14:textId="7AEC85A0" w:rsidR="007D5289" w:rsidRPr="00C82703" w:rsidRDefault="00BF6E1F" w:rsidP="00BF6E1F">
      <w:pPr>
        <w:rPr>
          <w:rFonts w:ascii="Times New Roman" w:hAnsi="Times New Roman" w:cs="Times New Roman"/>
        </w:rPr>
      </w:pPr>
      <w:r w:rsidRPr="00C82703">
        <w:rPr>
          <w:rFonts w:ascii="Times New Roman" w:hAnsi="Times New Roman" w:cs="Times New Roman"/>
          <w:lang w:val="fr-FR"/>
        </w:rPr>
        <w:fldChar w:fldCharType="end"/>
      </w:r>
    </w:p>
    <w:p w14:paraId="1E2116F9" w14:textId="77777777" w:rsidR="007D5289" w:rsidRPr="00C82703" w:rsidRDefault="007D5289">
      <w:pPr>
        <w:rPr>
          <w:rFonts w:ascii="Times New Roman" w:hAnsi="Times New Roman" w:cs="Times New Roman"/>
        </w:rPr>
      </w:pPr>
      <w:r w:rsidRPr="00C82703">
        <w:rPr>
          <w:rFonts w:ascii="Times New Roman" w:hAnsi="Times New Roman" w:cs="Times New Roman"/>
        </w:rPr>
        <w:br w:type="page"/>
      </w:r>
    </w:p>
    <w:p w14:paraId="294E0A23" w14:textId="52D9C5C1" w:rsidR="00BF6E1F" w:rsidRPr="00CD54D5" w:rsidRDefault="007D5289" w:rsidP="00CD54D5">
      <w:pPr>
        <w:jc w:val="center"/>
        <w:rPr>
          <w:rFonts w:ascii="Times New Roman" w:hAnsi="Times New Roman" w:cs="Times New Roman"/>
          <w:b/>
          <w:bCs/>
        </w:rPr>
      </w:pPr>
      <w:r w:rsidRPr="00CD54D5">
        <w:rPr>
          <w:rFonts w:ascii="Times New Roman" w:hAnsi="Times New Roman" w:cs="Times New Roman"/>
          <w:b/>
          <w:bCs/>
        </w:rPr>
        <w:lastRenderedPageBreak/>
        <w:t>Appendix</w:t>
      </w:r>
    </w:p>
    <w:p w14:paraId="03D3F727" w14:textId="30C292D9" w:rsidR="000036C8" w:rsidRPr="00CD54D5" w:rsidRDefault="000036C8" w:rsidP="00CD54D5">
      <w:pPr>
        <w:jc w:val="center"/>
        <w:rPr>
          <w:rFonts w:ascii="Times New Roman" w:hAnsi="Times New Roman" w:cs="Times New Roman"/>
          <w:b/>
          <w:bCs/>
        </w:rPr>
      </w:pPr>
      <w:r w:rsidRPr="00CD54D5">
        <w:rPr>
          <w:rFonts w:ascii="Times New Roman" w:hAnsi="Times New Roman" w:cs="Times New Roman"/>
          <w:b/>
          <w:bCs/>
        </w:rPr>
        <w:t>Figure S1. Residual plots for the LDV and IPTW models.</w:t>
      </w:r>
    </w:p>
    <w:p w14:paraId="40AF9E2C" w14:textId="010630BC" w:rsidR="000036C8" w:rsidRDefault="000036C8" w:rsidP="00CD54D5">
      <w:pPr>
        <w:jc w:val="center"/>
        <w:rPr>
          <w:rFonts w:ascii="Times New Roman" w:hAnsi="Times New Roman" w:cs="Times New Roman"/>
          <w:lang w:val="fr-FR"/>
        </w:rPr>
      </w:pPr>
      <w:r w:rsidRPr="00C82703">
        <w:rPr>
          <w:rFonts w:ascii="Times New Roman" w:hAnsi="Times New Roman" w:cs="Times New Roman"/>
          <w:noProof/>
          <w:lang w:val="fr-FR"/>
        </w:rPr>
        <w:drawing>
          <wp:inline distT="0" distB="0" distL="0" distR="0" wp14:anchorId="2996B3CA" wp14:editId="76D8745E">
            <wp:extent cx="2880000" cy="2044765"/>
            <wp:effectExtent l="0" t="0" r="0" b="0"/>
            <wp:docPr id="68360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r w:rsidRPr="00C82703">
        <w:rPr>
          <w:rFonts w:ascii="Times New Roman" w:hAnsi="Times New Roman" w:cs="Times New Roman"/>
          <w:noProof/>
          <w:lang w:val="fr-FR"/>
        </w:rPr>
        <w:drawing>
          <wp:inline distT="0" distB="0" distL="0" distR="0" wp14:anchorId="0F8846DC" wp14:editId="1F234A9B">
            <wp:extent cx="2880000" cy="2044765"/>
            <wp:effectExtent l="0" t="0" r="0" b="0"/>
            <wp:docPr id="20199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p>
    <w:p w14:paraId="153FED05" w14:textId="77777777" w:rsidR="00CD54D5" w:rsidRPr="00C82703" w:rsidRDefault="00CD54D5" w:rsidP="00CD54D5">
      <w:pPr>
        <w:jc w:val="center"/>
        <w:rPr>
          <w:rFonts w:ascii="Times New Roman" w:hAnsi="Times New Roman" w:cs="Times New Roman"/>
          <w:lang w:val="fr-FR"/>
        </w:rPr>
      </w:pPr>
    </w:p>
    <w:p w14:paraId="4133E93C" w14:textId="53C6EF43" w:rsidR="007D5289" w:rsidRPr="00CD54D5" w:rsidRDefault="007D5289" w:rsidP="00CD54D5">
      <w:pPr>
        <w:jc w:val="center"/>
        <w:rPr>
          <w:rFonts w:ascii="Times New Roman" w:hAnsi="Times New Roman" w:cs="Times New Roman"/>
          <w:b/>
          <w:bCs/>
        </w:rPr>
      </w:pPr>
      <w:r w:rsidRPr="00CD54D5">
        <w:rPr>
          <w:rFonts w:ascii="Times New Roman" w:hAnsi="Times New Roman" w:cs="Times New Roman"/>
          <w:b/>
          <w:bCs/>
        </w:rPr>
        <w:t>Figure S</w:t>
      </w:r>
      <w:r w:rsidR="000036C8" w:rsidRPr="00CD54D5">
        <w:rPr>
          <w:rFonts w:ascii="Times New Roman" w:hAnsi="Times New Roman" w:cs="Times New Roman"/>
          <w:b/>
          <w:bCs/>
        </w:rPr>
        <w:t>2. Propensity scores by treatment group.</w:t>
      </w:r>
    </w:p>
    <w:p w14:paraId="7C30B2FD" w14:textId="4088C9C0" w:rsidR="007D5289" w:rsidRPr="00C82703" w:rsidRDefault="007D5289" w:rsidP="00CD54D5">
      <w:pPr>
        <w:jc w:val="center"/>
        <w:rPr>
          <w:rFonts w:ascii="Times New Roman" w:hAnsi="Times New Roman" w:cs="Times New Roman"/>
          <w:lang w:val="fr-FR"/>
        </w:rPr>
      </w:pPr>
      <w:r w:rsidRPr="00C82703">
        <w:rPr>
          <w:rFonts w:ascii="Times New Roman" w:hAnsi="Times New Roman" w:cs="Times New Roman"/>
          <w:noProof/>
          <w:lang w:val="fr-FR"/>
        </w:rPr>
        <w:drawing>
          <wp:inline distT="0" distB="0" distL="0" distR="0" wp14:anchorId="658BDCBE" wp14:editId="14F2E993">
            <wp:extent cx="5335848" cy="3788388"/>
            <wp:effectExtent l="0" t="0" r="0" b="3175"/>
            <wp:docPr id="1975592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5831" cy="3795476"/>
                    </a:xfrm>
                    <a:prstGeom prst="rect">
                      <a:avLst/>
                    </a:prstGeom>
                    <a:noFill/>
                  </pic:spPr>
                </pic:pic>
              </a:graphicData>
            </a:graphic>
          </wp:inline>
        </w:drawing>
      </w:r>
    </w:p>
    <w:sectPr w:rsidR="007D5289" w:rsidRPr="00C8270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80EA" w14:textId="77777777" w:rsidR="00715147" w:rsidRDefault="00715147" w:rsidP="003A2499">
      <w:pPr>
        <w:spacing w:after="0" w:line="240" w:lineRule="auto"/>
      </w:pPr>
      <w:r>
        <w:separator/>
      </w:r>
    </w:p>
  </w:endnote>
  <w:endnote w:type="continuationSeparator" w:id="0">
    <w:p w14:paraId="205DA6BB" w14:textId="77777777" w:rsidR="00715147" w:rsidRDefault="00715147" w:rsidP="003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7FFEB" w14:textId="77777777" w:rsidR="00715147" w:rsidRDefault="00715147" w:rsidP="003A2499">
      <w:pPr>
        <w:spacing w:after="0" w:line="240" w:lineRule="auto"/>
      </w:pPr>
      <w:r>
        <w:separator/>
      </w:r>
    </w:p>
  </w:footnote>
  <w:footnote w:type="continuationSeparator" w:id="0">
    <w:p w14:paraId="0D676E83" w14:textId="77777777" w:rsidR="00715147" w:rsidRDefault="00715147" w:rsidP="003A2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6A31"/>
    <w:multiLevelType w:val="hybridMultilevel"/>
    <w:tmpl w:val="54CEFBC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4636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NjI3Mjc3MTYztDRU0lEKTi0uzszPAykwrQUAXyPzxCwAAAA="/>
  </w:docVars>
  <w:rsids>
    <w:rsidRoot w:val="00C000F2"/>
    <w:rsid w:val="0000343F"/>
    <w:rsid w:val="000036C8"/>
    <w:rsid w:val="00010983"/>
    <w:rsid w:val="00076819"/>
    <w:rsid w:val="000858F0"/>
    <w:rsid w:val="0008750F"/>
    <w:rsid w:val="00094D86"/>
    <w:rsid w:val="000B5C67"/>
    <w:rsid w:val="0011665C"/>
    <w:rsid w:val="00121F01"/>
    <w:rsid w:val="00122446"/>
    <w:rsid w:val="0014069B"/>
    <w:rsid w:val="001535CC"/>
    <w:rsid w:val="001A3CB4"/>
    <w:rsid w:val="001B07FD"/>
    <w:rsid w:val="001B15BB"/>
    <w:rsid w:val="001B2ED8"/>
    <w:rsid w:val="001D335E"/>
    <w:rsid w:val="001D3C75"/>
    <w:rsid w:val="001E1C6B"/>
    <w:rsid w:val="001E6654"/>
    <w:rsid w:val="001F3E6D"/>
    <w:rsid w:val="00203A00"/>
    <w:rsid w:val="0023435C"/>
    <w:rsid w:val="00234F0A"/>
    <w:rsid w:val="00262039"/>
    <w:rsid w:val="0026344A"/>
    <w:rsid w:val="00264E97"/>
    <w:rsid w:val="002A428E"/>
    <w:rsid w:val="002A7ACA"/>
    <w:rsid w:val="002D1651"/>
    <w:rsid w:val="002E606F"/>
    <w:rsid w:val="002E6347"/>
    <w:rsid w:val="002F1A27"/>
    <w:rsid w:val="002F614B"/>
    <w:rsid w:val="00316AEE"/>
    <w:rsid w:val="0032614C"/>
    <w:rsid w:val="0034045B"/>
    <w:rsid w:val="0035086C"/>
    <w:rsid w:val="00371A04"/>
    <w:rsid w:val="00376CEF"/>
    <w:rsid w:val="003773C5"/>
    <w:rsid w:val="0038575A"/>
    <w:rsid w:val="003A2499"/>
    <w:rsid w:val="003B7976"/>
    <w:rsid w:val="003F339F"/>
    <w:rsid w:val="003F34C9"/>
    <w:rsid w:val="003F35B2"/>
    <w:rsid w:val="003F46AD"/>
    <w:rsid w:val="00401E4E"/>
    <w:rsid w:val="0045077D"/>
    <w:rsid w:val="004750CF"/>
    <w:rsid w:val="00483072"/>
    <w:rsid w:val="00487DD8"/>
    <w:rsid w:val="00492E29"/>
    <w:rsid w:val="00497A0B"/>
    <w:rsid w:val="004C39CE"/>
    <w:rsid w:val="004C4899"/>
    <w:rsid w:val="005362BE"/>
    <w:rsid w:val="00540E93"/>
    <w:rsid w:val="0056166F"/>
    <w:rsid w:val="00567365"/>
    <w:rsid w:val="00574F20"/>
    <w:rsid w:val="00587194"/>
    <w:rsid w:val="00592423"/>
    <w:rsid w:val="005A4C11"/>
    <w:rsid w:val="005A7F5D"/>
    <w:rsid w:val="00601994"/>
    <w:rsid w:val="00612644"/>
    <w:rsid w:val="006150E6"/>
    <w:rsid w:val="006600D6"/>
    <w:rsid w:val="00670472"/>
    <w:rsid w:val="00683590"/>
    <w:rsid w:val="00692700"/>
    <w:rsid w:val="00692AFA"/>
    <w:rsid w:val="006B6C93"/>
    <w:rsid w:val="006C35A0"/>
    <w:rsid w:val="006D23F3"/>
    <w:rsid w:val="006E219C"/>
    <w:rsid w:val="00715147"/>
    <w:rsid w:val="00716A92"/>
    <w:rsid w:val="007328B0"/>
    <w:rsid w:val="00763841"/>
    <w:rsid w:val="00776F0D"/>
    <w:rsid w:val="007822E7"/>
    <w:rsid w:val="00794B3D"/>
    <w:rsid w:val="007A334A"/>
    <w:rsid w:val="007B28C8"/>
    <w:rsid w:val="007D5289"/>
    <w:rsid w:val="007E0DA1"/>
    <w:rsid w:val="0080363E"/>
    <w:rsid w:val="008327EB"/>
    <w:rsid w:val="00833C7D"/>
    <w:rsid w:val="00843B2C"/>
    <w:rsid w:val="00847DA8"/>
    <w:rsid w:val="00852AAD"/>
    <w:rsid w:val="00884919"/>
    <w:rsid w:val="008B607C"/>
    <w:rsid w:val="008E29F5"/>
    <w:rsid w:val="008E41B6"/>
    <w:rsid w:val="00963F7E"/>
    <w:rsid w:val="009650E6"/>
    <w:rsid w:val="00973642"/>
    <w:rsid w:val="009B43AA"/>
    <w:rsid w:val="009C6FA4"/>
    <w:rsid w:val="009E5373"/>
    <w:rsid w:val="00A051F7"/>
    <w:rsid w:val="00A07C7D"/>
    <w:rsid w:val="00A3252C"/>
    <w:rsid w:val="00A33B3D"/>
    <w:rsid w:val="00A61E0C"/>
    <w:rsid w:val="00A77975"/>
    <w:rsid w:val="00A807BE"/>
    <w:rsid w:val="00AB243E"/>
    <w:rsid w:val="00AC2842"/>
    <w:rsid w:val="00AC7781"/>
    <w:rsid w:val="00AF4872"/>
    <w:rsid w:val="00AF600F"/>
    <w:rsid w:val="00B116B6"/>
    <w:rsid w:val="00B352D7"/>
    <w:rsid w:val="00B35948"/>
    <w:rsid w:val="00B54EDE"/>
    <w:rsid w:val="00B60426"/>
    <w:rsid w:val="00B60CB6"/>
    <w:rsid w:val="00B62F2E"/>
    <w:rsid w:val="00B70A91"/>
    <w:rsid w:val="00B76733"/>
    <w:rsid w:val="00BC19F0"/>
    <w:rsid w:val="00BE05FD"/>
    <w:rsid w:val="00BE2481"/>
    <w:rsid w:val="00BE6148"/>
    <w:rsid w:val="00BF6E1F"/>
    <w:rsid w:val="00BF7FA6"/>
    <w:rsid w:val="00C000F2"/>
    <w:rsid w:val="00C0654E"/>
    <w:rsid w:val="00C4027C"/>
    <w:rsid w:val="00C40605"/>
    <w:rsid w:val="00C51743"/>
    <w:rsid w:val="00C62639"/>
    <w:rsid w:val="00C66C71"/>
    <w:rsid w:val="00C771D2"/>
    <w:rsid w:val="00C810AE"/>
    <w:rsid w:val="00C82703"/>
    <w:rsid w:val="00CB6CF2"/>
    <w:rsid w:val="00CB7B30"/>
    <w:rsid w:val="00CC29CC"/>
    <w:rsid w:val="00CC6501"/>
    <w:rsid w:val="00CD1A75"/>
    <w:rsid w:val="00CD248C"/>
    <w:rsid w:val="00CD54D5"/>
    <w:rsid w:val="00CE19C5"/>
    <w:rsid w:val="00CF07DC"/>
    <w:rsid w:val="00CF3FE0"/>
    <w:rsid w:val="00D17D35"/>
    <w:rsid w:val="00D23F13"/>
    <w:rsid w:val="00D63894"/>
    <w:rsid w:val="00D73CE9"/>
    <w:rsid w:val="00D83D18"/>
    <w:rsid w:val="00D93E75"/>
    <w:rsid w:val="00DA3DE5"/>
    <w:rsid w:val="00DC0868"/>
    <w:rsid w:val="00DF66C2"/>
    <w:rsid w:val="00E21D02"/>
    <w:rsid w:val="00E45466"/>
    <w:rsid w:val="00E62315"/>
    <w:rsid w:val="00EA309F"/>
    <w:rsid w:val="00EB1B86"/>
    <w:rsid w:val="00EB281F"/>
    <w:rsid w:val="00EC34F4"/>
    <w:rsid w:val="00EC4F42"/>
    <w:rsid w:val="00ED00B3"/>
    <w:rsid w:val="00F24710"/>
    <w:rsid w:val="00F2739D"/>
    <w:rsid w:val="00F51558"/>
    <w:rsid w:val="00F56660"/>
    <w:rsid w:val="00F70701"/>
    <w:rsid w:val="00FC29CB"/>
    <w:rsid w:val="00FC4951"/>
    <w:rsid w:val="00FD5F56"/>
    <w:rsid w:val="00FF1F05"/>
    <w:rsid w:val="00FF71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6DCC"/>
  <w15:chartTrackingRefBased/>
  <w15:docId w15:val="{7C8CE184-FB27-4BD5-8500-BE55C287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F2"/>
    <w:rPr>
      <w:rFonts w:eastAsiaTheme="majorEastAsia" w:cstheme="majorBidi"/>
      <w:color w:val="272727" w:themeColor="text1" w:themeTint="D8"/>
    </w:rPr>
  </w:style>
  <w:style w:type="paragraph" w:styleId="Title">
    <w:name w:val="Title"/>
    <w:basedOn w:val="Normal"/>
    <w:next w:val="Normal"/>
    <w:link w:val="TitleChar"/>
    <w:uiPriority w:val="10"/>
    <w:qFormat/>
    <w:rsid w:val="00C0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F2"/>
    <w:pPr>
      <w:spacing w:before="160"/>
      <w:jc w:val="center"/>
    </w:pPr>
    <w:rPr>
      <w:i/>
      <w:iCs/>
      <w:color w:val="404040" w:themeColor="text1" w:themeTint="BF"/>
    </w:rPr>
  </w:style>
  <w:style w:type="character" w:customStyle="1" w:styleId="QuoteChar">
    <w:name w:val="Quote Char"/>
    <w:basedOn w:val="DefaultParagraphFont"/>
    <w:link w:val="Quote"/>
    <w:uiPriority w:val="29"/>
    <w:rsid w:val="00C000F2"/>
    <w:rPr>
      <w:i/>
      <w:iCs/>
      <w:color w:val="404040" w:themeColor="text1" w:themeTint="BF"/>
    </w:rPr>
  </w:style>
  <w:style w:type="paragraph" w:styleId="ListParagraph">
    <w:name w:val="List Paragraph"/>
    <w:basedOn w:val="Normal"/>
    <w:uiPriority w:val="34"/>
    <w:qFormat/>
    <w:rsid w:val="00C000F2"/>
    <w:pPr>
      <w:ind w:left="720"/>
      <w:contextualSpacing/>
    </w:pPr>
  </w:style>
  <w:style w:type="character" w:styleId="IntenseEmphasis">
    <w:name w:val="Intense Emphasis"/>
    <w:basedOn w:val="DefaultParagraphFont"/>
    <w:uiPriority w:val="21"/>
    <w:qFormat/>
    <w:rsid w:val="00C000F2"/>
    <w:rPr>
      <w:i/>
      <w:iCs/>
      <w:color w:val="0F4761" w:themeColor="accent1" w:themeShade="BF"/>
    </w:rPr>
  </w:style>
  <w:style w:type="paragraph" w:styleId="IntenseQuote">
    <w:name w:val="Intense Quote"/>
    <w:basedOn w:val="Normal"/>
    <w:next w:val="Normal"/>
    <w:link w:val="IntenseQuoteChar"/>
    <w:uiPriority w:val="30"/>
    <w:qFormat/>
    <w:rsid w:val="00C0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F2"/>
    <w:rPr>
      <w:i/>
      <w:iCs/>
      <w:color w:val="0F4761" w:themeColor="accent1" w:themeShade="BF"/>
    </w:rPr>
  </w:style>
  <w:style w:type="character" w:styleId="IntenseReference">
    <w:name w:val="Intense Reference"/>
    <w:basedOn w:val="DefaultParagraphFont"/>
    <w:uiPriority w:val="32"/>
    <w:qFormat/>
    <w:rsid w:val="00C000F2"/>
    <w:rPr>
      <w:b/>
      <w:bCs/>
      <w:smallCaps/>
      <w:color w:val="0F4761" w:themeColor="accent1" w:themeShade="BF"/>
      <w:spacing w:val="5"/>
    </w:rPr>
  </w:style>
  <w:style w:type="character" w:styleId="Hyperlink">
    <w:name w:val="Hyperlink"/>
    <w:basedOn w:val="DefaultParagraphFont"/>
    <w:uiPriority w:val="99"/>
    <w:unhideWhenUsed/>
    <w:rsid w:val="00F56660"/>
    <w:rPr>
      <w:color w:val="467886" w:themeColor="hyperlink"/>
      <w:u w:val="single"/>
    </w:rPr>
  </w:style>
  <w:style w:type="character" w:styleId="UnresolvedMention">
    <w:name w:val="Unresolved Mention"/>
    <w:basedOn w:val="DefaultParagraphFont"/>
    <w:uiPriority w:val="99"/>
    <w:semiHidden/>
    <w:unhideWhenUsed/>
    <w:rsid w:val="00F56660"/>
    <w:rPr>
      <w:color w:val="605E5C"/>
      <w:shd w:val="clear" w:color="auto" w:fill="E1DFDD"/>
    </w:rPr>
  </w:style>
  <w:style w:type="paragraph" w:styleId="Bibliography">
    <w:name w:val="Bibliography"/>
    <w:basedOn w:val="Normal"/>
    <w:next w:val="Normal"/>
    <w:uiPriority w:val="37"/>
    <w:unhideWhenUsed/>
    <w:rsid w:val="00BE2481"/>
    <w:pPr>
      <w:tabs>
        <w:tab w:val="left" w:pos="384"/>
      </w:tabs>
      <w:spacing w:after="240" w:line="240" w:lineRule="auto"/>
      <w:ind w:left="384" w:hanging="384"/>
    </w:pPr>
  </w:style>
  <w:style w:type="paragraph" w:styleId="FootnoteText">
    <w:name w:val="footnote text"/>
    <w:basedOn w:val="Normal"/>
    <w:link w:val="FootnoteTextChar"/>
    <w:uiPriority w:val="99"/>
    <w:semiHidden/>
    <w:unhideWhenUsed/>
    <w:rsid w:val="003A2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499"/>
    <w:rPr>
      <w:sz w:val="20"/>
      <w:szCs w:val="20"/>
    </w:rPr>
  </w:style>
  <w:style w:type="character" w:styleId="FootnoteReference">
    <w:name w:val="footnote reference"/>
    <w:basedOn w:val="DefaultParagraphFont"/>
    <w:uiPriority w:val="99"/>
    <w:semiHidden/>
    <w:unhideWhenUsed/>
    <w:rsid w:val="003A2499"/>
    <w:rPr>
      <w:vertAlign w:val="superscript"/>
    </w:rPr>
  </w:style>
  <w:style w:type="paragraph" w:styleId="Caption">
    <w:name w:val="caption"/>
    <w:basedOn w:val="Normal"/>
    <w:next w:val="Normal"/>
    <w:uiPriority w:val="35"/>
    <w:unhideWhenUsed/>
    <w:qFormat/>
    <w:rsid w:val="00E45466"/>
    <w:pPr>
      <w:spacing w:after="200" w:line="240" w:lineRule="auto"/>
    </w:pPr>
    <w:rPr>
      <w:i/>
      <w:iCs/>
      <w:color w:val="0E2841" w:themeColor="text2"/>
      <w:sz w:val="18"/>
      <w:szCs w:val="18"/>
    </w:rPr>
  </w:style>
  <w:style w:type="character" w:styleId="Strong">
    <w:name w:val="Strong"/>
    <w:basedOn w:val="DefaultParagraphFont"/>
    <w:uiPriority w:val="22"/>
    <w:qFormat/>
    <w:rsid w:val="008E29F5"/>
    <w:rPr>
      <w:b/>
      <w:bCs/>
    </w:rPr>
  </w:style>
  <w:style w:type="character" w:styleId="CommentReference">
    <w:name w:val="annotation reference"/>
    <w:basedOn w:val="DefaultParagraphFont"/>
    <w:uiPriority w:val="99"/>
    <w:semiHidden/>
    <w:unhideWhenUsed/>
    <w:rsid w:val="0026344A"/>
    <w:rPr>
      <w:sz w:val="16"/>
      <w:szCs w:val="16"/>
    </w:rPr>
  </w:style>
  <w:style w:type="paragraph" w:styleId="CommentText">
    <w:name w:val="annotation text"/>
    <w:basedOn w:val="Normal"/>
    <w:link w:val="CommentTextChar"/>
    <w:uiPriority w:val="99"/>
    <w:unhideWhenUsed/>
    <w:rsid w:val="0026344A"/>
    <w:pPr>
      <w:spacing w:line="240" w:lineRule="auto"/>
    </w:pPr>
    <w:rPr>
      <w:sz w:val="20"/>
      <w:szCs w:val="20"/>
    </w:rPr>
  </w:style>
  <w:style w:type="character" w:customStyle="1" w:styleId="CommentTextChar">
    <w:name w:val="Comment Text Char"/>
    <w:basedOn w:val="DefaultParagraphFont"/>
    <w:link w:val="CommentText"/>
    <w:uiPriority w:val="99"/>
    <w:rsid w:val="0026344A"/>
    <w:rPr>
      <w:sz w:val="20"/>
      <w:szCs w:val="20"/>
    </w:rPr>
  </w:style>
  <w:style w:type="paragraph" w:styleId="CommentSubject">
    <w:name w:val="annotation subject"/>
    <w:basedOn w:val="CommentText"/>
    <w:next w:val="CommentText"/>
    <w:link w:val="CommentSubjectChar"/>
    <w:uiPriority w:val="99"/>
    <w:semiHidden/>
    <w:unhideWhenUsed/>
    <w:rsid w:val="0026344A"/>
    <w:rPr>
      <w:b/>
      <w:bCs/>
    </w:rPr>
  </w:style>
  <w:style w:type="character" w:customStyle="1" w:styleId="CommentSubjectChar">
    <w:name w:val="Comment Subject Char"/>
    <w:basedOn w:val="CommentTextChar"/>
    <w:link w:val="CommentSubject"/>
    <w:uiPriority w:val="99"/>
    <w:semiHidden/>
    <w:rsid w:val="002634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574A6-B877-4C27-A510-AABEB6F1D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27</Pages>
  <Words>28133</Words>
  <Characters>160361</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Delgado Ron</dc:creator>
  <cp:keywords/>
  <dc:description/>
  <cp:lastModifiedBy>Andrés Delgado Ron</cp:lastModifiedBy>
  <cp:revision>3</cp:revision>
  <dcterms:created xsi:type="dcterms:W3CDTF">2025-11-06T19:07:00Z</dcterms:created>
  <dcterms:modified xsi:type="dcterms:W3CDTF">2025-11-06T19:16:00Z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id="BGiVlf92"/&gt;&lt;style id="http://www.zotero.org/styles/vancouver" locale="en-GB" hasBibliography="1" bibliographyStyleHasBeenSet="1"/&gt;&lt;prefs&gt;&lt;pref name="fieldType" value="Field"/&gt;&lt;/prefs&gt;&lt;/data&gt;</vt:lpwstr>
  </property>
</Properties>
</file>