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color w:val="222222"/>
          <w:highlight w:val="white"/>
          <w:rtl w:val="0"/>
        </w:rPr>
        <w:t xml:space="preserve">Adeshina, S. A., &amp; Ojo, A. (2019, December). Maintaining voting integrity using blockchain. In </w:t>
      </w:r>
      <w:r w:rsidDel="00000000" w:rsidR="00000000" w:rsidRPr="00000000">
        <w:rPr>
          <w:i w:val="1"/>
          <w:color w:val="222222"/>
          <w:highlight w:val="white"/>
          <w:rtl w:val="0"/>
        </w:rPr>
        <w:t xml:space="preserve">2019 15th International Conference on Electronics, Computer and Computation (ICECCO)</w:t>
      </w:r>
      <w:r w:rsidDel="00000000" w:rsidR="00000000" w:rsidRPr="00000000">
        <w:rPr>
          <w:color w:val="222222"/>
          <w:highlight w:val="white"/>
          <w:rtl w:val="0"/>
        </w:rPr>
        <w:t xml:space="preserve"> (pp. 1-5). IEEE.</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Maintaining Voting Integrity Using Blockchain</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ind w:right="0" w:firstLine="0"/>
        <w:jc w:val="both"/>
        <w:rPr>
          <w:sz w:val="24"/>
          <w:szCs w:val="24"/>
        </w:rPr>
      </w:pPr>
      <w:r w:rsidDel="00000000" w:rsidR="00000000" w:rsidRPr="00000000">
        <w:rPr>
          <w:b w:val="1"/>
          <w:sz w:val="24"/>
          <w:szCs w:val="24"/>
          <w:rtl w:val="0"/>
        </w:rPr>
        <w:t xml:space="preserve">Brief Description of the Topic</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In a global landscape where technological advancements continually intersect with democratic processes, the paper serves as an exploration into the pivotal nexus of electronic voting (e-voting) and the transformative capabilities of blockchain technology. Elections, fundamental to democratic systems, demand utmost integrity and trust in their processes. However, in many regions, especially developing countries, challenges persist in ensuring the credibility and fairness of electoral practices due to inadequate civic identification systems and governance issues. The paper systematically navigates these complexities by spotlighting the promise and potential of blockchain technology in fortifying the integrity of voting processes. It investigates the multifaceted applications of blockchain in e-voting, dissecting two distinct streams: one that directly integrates blockchain into e-voting systems and another that employs blockchain as a supporting mechanism, bolstering integrity without intrusively altering the existing voting processes. Through meticulous analysis, the paper delineates how blockchain-based voting systems offer verifiable, auditable, and transparent processes, ensuring voter anonymity while eliminating reliance on centralized authorities. This exploration underscores the crucial role of blockchain's cryptographic algorithms and consensus mechanisms in safeguarding voting processes against external threats, thereby fostering decentralized, secure, and transparent electoral systems.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Conclusions of the Paper</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paper outlines the crucial role of blockchain technology in bolstering the integrity of voting processes. It discusses two streams of blockchain application in e-voting: one employing blockchain directly for e-voting and another utilizing blockchain as a non-intrusive supporter or third-party verifier in the voting process. Blockchain-based voting systems ensure individual voting verification, auditability, anonymity, and transparency while eliminating the reliance on a trusted third party. The integrity of these systems relies on cryptographic algorithms and blockchain's consensus mechanisms, offering decentralized, secure, and transparent voting processes.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Moreover, the paper emphasizes the importance of electoral integrity, asserting that public confidence in electoral and political processes is fundamental. It highlights the necessity of strengthening the independence of election officials, judges, and courts to ensure impartial and transparent electoral systems. Additionally, the discussion emphasizes the global significance of electoral integrity, not limited to transitioning democracies but extending to established democracies facing varying dimensions of integrity challenges.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Critical Opinion of the Paper</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paper provides an insightful analysis of the role of blockchain in maintaining voting integrity. It effectively outlines the challenges in electoral integrity faced by developing countries, such as the absence of robust civic identification systems and governance issues affecting integrity maintenance. By proposing blockchain as a solution, the paper presents a comprehensive framework that accommodates various scenarios, including direct implementation of blockchain in e-voting systems or using it as an integrity layer around existing systems.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However, while the paper advocates for blockchain as a solution to integrity issues, it also acknowledges the complexities. Integrating blockchain into the existing legal framework, ensuring third-party audits, and addressing sustainability concerns arising from dependence on foreign suppliers or licensed software pose significant challenges. Moreover, the paper rightly points out that while blockchain offers potential solutions, it's not a panacea and requires meticulous consideration and adaptation to diverse electoral contexts.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Overall, the paper makes a compelling case for the integration of blockchain technology to fortify voting integrity. It effectively navigates through the complexities and nuances of electoral integrity issues while offering a robust framework for blockchain-based solutions, showcasing the potential to address these critical challenges in the electoral and voting processes.</w:t>
      </w:r>
    </w:p>
    <w:p w:rsidR="00000000" w:rsidDel="00000000" w:rsidP="00000000" w:rsidRDefault="00000000" w:rsidRPr="00000000" w14:paraId="00000015">
      <w:pPr>
        <w:jc w:val="both"/>
        <w:rPr>
          <w:sz w:val="24"/>
          <w:szCs w:val="24"/>
        </w:rPr>
      </w:pPr>
      <w:r w:rsidDel="00000000" w:rsidR="00000000" w:rsidRPr="00000000">
        <w:rPr>
          <w:rtl w:val="0"/>
        </w:rPr>
      </w:r>
    </w:p>
    <w:sectPr>
      <w:pgSz w:h="15840" w:w="12240" w:orient="portrait"/>
      <w:pgMar w:bottom="630" w:top="450" w:left="54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