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22222"/>
          <w:sz w:val="24"/>
          <w:szCs w:val="24"/>
          <w:highlight w:val="white"/>
        </w:rPr>
      </w:pPr>
      <w:r w:rsidDel="00000000" w:rsidR="00000000" w:rsidRPr="00000000">
        <w:rPr>
          <w:color w:val="222222"/>
          <w:sz w:val="24"/>
          <w:szCs w:val="24"/>
          <w:highlight w:val="white"/>
          <w:rtl w:val="0"/>
        </w:rPr>
        <w:t xml:space="preserve">Benabdallah, A., Audras, A., Coudert, L., El Madhoun, N., &amp; Badra, M. (2022). Analysis of blockchain solutions for E-voting: A systematic literature review. </w:t>
      </w:r>
      <w:r w:rsidDel="00000000" w:rsidR="00000000" w:rsidRPr="00000000">
        <w:rPr>
          <w:i w:val="1"/>
          <w:color w:val="222222"/>
          <w:sz w:val="24"/>
          <w:szCs w:val="24"/>
          <w:highlight w:val="white"/>
          <w:rtl w:val="0"/>
        </w:rPr>
        <w:t xml:space="preserve">IEEE Access</w:t>
      </w:r>
      <w:r w:rsidDel="00000000" w:rsidR="00000000" w:rsidRPr="00000000">
        <w:rPr>
          <w:color w:val="222222"/>
          <w:sz w:val="24"/>
          <w:szCs w:val="24"/>
          <w:highlight w:val="white"/>
          <w:rtl w:val="0"/>
        </w:rPr>
        <w:t xml:space="preserve">.</w:t>
      </w:r>
    </w:p>
    <w:p w:rsidR="00000000" w:rsidDel="00000000" w:rsidP="00000000" w:rsidRDefault="00000000" w:rsidRPr="00000000" w14:paraId="00000002">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Analysis of Blockchain Solutions for E-Voting: A Summary</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Brief Description of the Topic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 response to the evolving landscape of elections, this paper 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paper 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Conclusions of the Paper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comprehensive analysis 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While acknowledging the promise of blockchain in fortifying voting processes, the paper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Critical Opinion of the Paper</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This paper's 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rsidR="00000000" w:rsidDel="00000000" w:rsidP="00000000" w:rsidRDefault="00000000" w:rsidRPr="00000000" w14:paraId="00000018">
      <w:pPr>
        <w:jc w:val="both"/>
        <w:rPr>
          <w:sz w:val="24"/>
          <w:szCs w:val="24"/>
        </w:rPr>
      </w:pPr>
      <w:r w:rsidDel="00000000" w:rsidR="00000000" w:rsidRPr="00000000">
        <w:rPr>
          <w:rtl w:val="0"/>
        </w:rPr>
      </w:r>
    </w:p>
    <w:sectPr>
      <w:pgSz w:h="15840" w:w="12240" w:orient="portrait"/>
      <w:pgMar w:bottom="180" w:top="450" w:left="63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