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</w:pPr>
      <w:r>
        <w:rPr>
          <w:rFonts w:ascii="Courier New" w:hAnsi="Courier New" w:eastAsia="Courier New" w:cs="Courier New"/>
          <w:b/>
          <w:rtl w:val="0"/>
        </w:rPr>
        <w:t>Estructura del Código fuente del Aplicativo</w:t>
      </w:r>
    </w:p>
    <w:p>
      <w:pPr>
        <w:contextualSpacing w:val="0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rtl w:val="0"/>
        </w:rPr>
        <w:t>El marco de trabajo de desarrollo organiza la aplicación en directorios de configuración y ubicación del código fuente bajo la siguiente estructura de árbol:</w:t>
      </w:r>
    </w:p>
    <w:p>
      <w:pPr>
        <w:contextualSpacing w:val="0"/>
      </w:pPr>
    </w:p>
    <w:p>
      <w:pPr>
        <w:contextualSpacing w:val="0"/>
      </w:pPr>
      <w:r>
        <w:rPr>
          <w:rFonts w:ascii="Courier New" w:hAnsi="Courier New" w:eastAsia="Courier New" w:cs="Courier New"/>
          <w:b/>
          <w:rtl w:val="0"/>
        </w:rPr>
        <w:t>/valueme (aplicación web)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├── gradle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└── wrapper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├── </w:t>
      </w:r>
      <w:r>
        <w:rPr>
          <w:rFonts w:ascii="Courier New" w:hAnsi="Courier New" w:eastAsia="Courier New" w:cs="Courier New"/>
          <w:b/>
          <w:rtl w:val="0"/>
        </w:rPr>
        <w:t>grails-app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assets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├── images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├── javascripts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stylesheets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    └── themes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        └── default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            └── assets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                ├── fonts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                └── images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conf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spring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controllers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valueme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domain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valueme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i18n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init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valueme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services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valueme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├── </w:t>
      </w:r>
      <w:r>
        <w:rPr>
          <w:rFonts w:ascii="Courier New" w:hAnsi="Courier New" w:eastAsia="Courier New" w:cs="Courier New"/>
          <w:b/>
          <w:color w:val="0000FF"/>
          <w:rtl w:val="0"/>
        </w:rPr>
        <w:t>taglib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│   └── valueme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 xml:space="preserve">│   └── </w:t>
      </w:r>
      <w:r>
        <w:rPr>
          <w:rFonts w:ascii="Courier New" w:hAnsi="Courier New" w:eastAsia="Courier New" w:cs="Courier New"/>
          <w:b/>
          <w:color w:val="0000FF"/>
          <w:rtl w:val="0"/>
        </w:rPr>
        <w:t>views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appInfo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assessment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category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categoryType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customField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emails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layouts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login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meci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param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permission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progress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question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role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schedule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score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├── survey</w:t>
      </w:r>
    </w:p>
    <w:p>
      <w:pPr>
        <w:contextualSpacing w:val="0"/>
      </w:pPr>
      <w:r>
        <w:rPr>
          <w:rFonts w:ascii="Courier New" w:hAnsi="Courier New" w:eastAsia="Courier New" w:cs="Courier New"/>
          <w:rtl w:val="0"/>
        </w:rPr>
        <w:t>│       └── userAccount</w:t>
      </w:r>
    </w:p>
    <w:p>
      <w:pPr>
        <w:contextualSpacing w:val="0"/>
      </w:pPr>
    </w:p>
    <w:p>
      <w:pPr>
        <w:contextualSpacing w:val="0"/>
      </w:pPr>
      <w:r>
        <w:rPr>
          <w:rFonts w:ascii="Courier New" w:hAnsi="Courier New" w:eastAsia="Courier New" w:cs="Courier New"/>
          <w:b/>
          <w:rtl w:val="0"/>
        </w:rPr>
        <w:t>Directorios Principales:</w:t>
      </w:r>
    </w:p>
    <w:p>
      <w:pPr>
        <w:contextualSpacing w:val="0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rtl w:val="0"/>
        </w:rPr>
        <w:t>grails-app:</w:t>
      </w:r>
      <w:r>
        <w:rPr>
          <w:rFonts w:ascii="Courier New" w:hAnsi="Courier New" w:eastAsia="Courier New" w:cs="Courier New"/>
          <w:rtl w:val="0"/>
        </w:rPr>
        <w:t xml:space="preserve"> Contiene el directorio principal del código fuente de desarrollo de propósito específico.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>assets:</w:t>
      </w:r>
      <w:r>
        <w:rPr>
          <w:rFonts w:ascii="Courier New" w:hAnsi="Courier New" w:eastAsia="Courier New" w:cs="Courier New"/>
          <w:color w:val="434343"/>
          <w:rtl w:val="0"/>
        </w:rPr>
        <w:t xml:space="preserve"> En este directorio se almacena el código fuente que gestionan los estilos visuales CSS y el código en Javascript requerido en la aplicación:</w:t>
      </w:r>
    </w:p>
    <w:p>
      <w:pPr>
        <w:numPr>
          <w:ilvl w:val="0"/>
          <w:numId w:val="1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Estilos CSS</w:t>
      </w:r>
    </w:p>
    <w:p>
      <w:pPr>
        <w:numPr>
          <w:ilvl w:val="0"/>
          <w:numId w:val="1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Librería Semantic UI</w:t>
      </w:r>
    </w:p>
    <w:p>
      <w:pPr>
        <w:numPr>
          <w:ilvl w:val="0"/>
          <w:numId w:val="1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Librería Google Charts</w:t>
      </w:r>
    </w:p>
    <w:p>
      <w:pPr>
        <w:numPr>
          <w:ilvl w:val="0"/>
          <w:numId w:val="1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Librerías de AngularJS, Jquery.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images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favicon.ico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fondo_idipron.png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meci.png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paragraph.png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└── processmap.png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javascripts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analyticstracking.js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angular-app.js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angular.min.js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angular-resource.min.js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angular-route.min.js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application.js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calendar.js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charts.js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jquery-2.2.0.min.js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jquery.gfeed.js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jquery.maphilight.js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├── semantic.min.js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│   └── tbl-cstom-field.js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└── stylesheets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application.css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calendar.css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errors.css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semantic.min.css</w:t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conf: </w:t>
      </w:r>
      <w:r>
        <w:rPr>
          <w:rFonts w:ascii="Courier New" w:hAnsi="Courier New" w:eastAsia="Courier New" w:cs="Courier New"/>
          <w:color w:val="434343"/>
          <w:rtl w:val="0"/>
        </w:rPr>
        <w:t>En este directorio se configuran los parámetros de la aplicación mediante archivos de configuración:</w:t>
      </w:r>
    </w:p>
    <w:p>
      <w:pPr>
        <w:numPr>
          <w:ilvl w:val="0"/>
          <w:numId w:val="2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Spring Security.</w:t>
      </w:r>
    </w:p>
    <w:p>
      <w:pPr>
        <w:numPr>
          <w:ilvl w:val="0"/>
          <w:numId w:val="2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Servicio de correo electrónico.</w:t>
      </w:r>
    </w:p>
    <w:p>
      <w:pPr>
        <w:numPr>
          <w:ilvl w:val="0"/>
          <w:numId w:val="2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Configuración de la base de datos.</w:t>
      </w:r>
    </w:p>
    <w:p>
      <w:pPr>
        <w:numPr>
          <w:ilvl w:val="0"/>
          <w:numId w:val="2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Configuración de ambientes de producción y pruebas.</w:t>
      </w:r>
    </w:p>
    <w:p>
      <w:pPr>
        <w:numPr>
          <w:ilvl w:val="0"/>
          <w:numId w:val="2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Parámetros de sesión.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application.groovy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application.yml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logback.groovy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└── spring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resources.groovy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controllers: </w:t>
      </w:r>
      <w:r>
        <w:rPr>
          <w:rFonts w:ascii="Courier New" w:hAnsi="Courier New" w:eastAsia="Courier New" w:cs="Courier New"/>
          <w:color w:val="434343"/>
          <w:rtl w:val="0"/>
        </w:rPr>
        <w:t xml:space="preserve">En este directorio se gestionan todos los controladores de la arquitectura MVC, cada controlador proporciona acceso a los servicios y objetos de dominio, los controladores se encargan de procesar las peticiones del navegador web. </w:t>
      </w:r>
    </w:p>
    <w:p>
      <w:pPr>
        <w:numPr>
          <w:ilvl w:val="0"/>
          <w:numId w:val="3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Controladores: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AppInfoController.groovy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AssessmentController.groovy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CategoryController.groovy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CategoryTypeController.groovy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CustomFieldController.groovy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MeciController.groovy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ParamController.groovy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PermissionController.groovy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ProgressController.groovy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QuestionController.groovy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RoleController.groovy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ScheduleController.groovy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ScoreController.groovy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SurveyController.groovy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UrlMappings.groovy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UserAccountController.groovy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domain: </w:t>
      </w:r>
      <w:r>
        <w:rPr>
          <w:rFonts w:ascii="Courier New" w:hAnsi="Courier New" w:eastAsia="Courier New" w:cs="Courier New"/>
          <w:color w:val="434343"/>
          <w:rtl w:val="0"/>
        </w:rPr>
        <w:t>En este directorio contiene todas las clases de dominio de la aplicación definidas en el modelo de dominio.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Cada clase de dominio puede tener relaciones de asociación con otras.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Las clases de dominio contienen configuraciones de validaciones de datos del lado del servidor.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 xml:space="preserve">Cada clase de dominio es mapeada mediante el patrón de </w:t>
      </w:r>
      <w:r>
        <w:rPr>
          <w:rFonts w:ascii="Courier New" w:hAnsi="Courier New" w:eastAsia="Courier New" w:cs="Courier New"/>
          <w:b/>
          <w:color w:val="434343"/>
          <w:rtl w:val="0"/>
        </w:rPr>
        <w:t>Registro Activo</w:t>
      </w:r>
      <w:r>
        <w:rPr>
          <w:rFonts w:ascii="Courier New" w:hAnsi="Courier New" w:eastAsia="Courier New" w:cs="Courier New"/>
          <w:color w:val="434343"/>
          <w:rtl w:val="0"/>
        </w:rPr>
        <w:t xml:space="preserve"> en la base de datos.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 xml:space="preserve">Las clases de dominio son responsables por guardar su estado, contienen métodos heredados </w:t>
      </w:r>
      <w:r>
        <w:rPr>
          <w:rFonts w:ascii="Courier New" w:hAnsi="Courier New" w:eastAsia="Courier New" w:cs="Courier New"/>
          <w:b/>
          <w:color w:val="434343"/>
          <w:rtl w:val="0"/>
        </w:rPr>
        <w:t xml:space="preserve">CRUD </w:t>
      </w:r>
      <w:r>
        <w:rPr>
          <w:rFonts w:ascii="Courier New" w:hAnsi="Courier New" w:eastAsia="Courier New" w:cs="Courier New"/>
          <w:color w:val="434343"/>
          <w:rtl w:val="0"/>
        </w:rPr>
        <w:t xml:space="preserve">que a su vez representan objetos </w:t>
      </w:r>
      <w:r>
        <w:rPr>
          <w:rFonts w:ascii="Courier New" w:hAnsi="Courier New" w:eastAsia="Courier New" w:cs="Courier New"/>
          <w:b/>
          <w:color w:val="434343"/>
          <w:rtl w:val="0"/>
        </w:rPr>
        <w:t>DAO</w:t>
      </w:r>
      <w:r>
        <w:rPr>
          <w:rFonts w:ascii="Courier New" w:hAnsi="Courier New" w:eastAsia="Courier New" w:cs="Courier New"/>
          <w:color w:val="434343"/>
          <w:rtl w:val="0"/>
        </w:rPr>
        <w:t xml:space="preserve"> en la comunicación con la base de datos.</w:t>
      </w:r>
    </w:p>
    <w:p>
      <w:pPr>
        <w:numPr>
          <w:ilvl w:val="0"/>
          <w:numId w:val="4"/>
        </w:numPr>
        <w:ind w:left="720" w:hanging="360"/>
        <w:contextualSpacing/>
        <w:jc w:val="both"/>
        <w:rPr>
          <w:rFonts w:ascii="Courier New" w:hAnsi="Courier New" w:eastAsia="Courier New" w:cs="Courier New"/>
          <w:color w:val="434343"/>
          <w:u w:val="none"/>
        </w:rPr>
      </w:pPr>
      <w:r>
        <w:rPr>
          <w:rFonts w:ascii="Courier New" w:hAnsi="Courier New" w:eastAsia="Courier New" w:cs="Courier New"/>
          <w:color w:val="434343"/>
          <w:rtl w:val="0"/>
        </w:rPr>
        <w:t>Clases de dominio: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 xml:space="preserve">  </w:t>
      </w:r>
      <w:r>
        <w:rPr>
          <w:rFonts w:ascii="Courier New" w:hAnsi="Courier New" w:eastAsia="Courier New" w:cs="Courier New"/>
          <w:b/>
          <w:color w:val="434343"/>
          <w:rtl w:val="0"/>
        </w:rPr>
        <w:t xml:space="preserve">  ├── Answer.groovy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Assessment.groovy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Category.groovy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CategoryType.groovy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CustomField.groovy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Param.groovy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Permission.groovy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Question.groovy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Role.groovy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Schedule.groovy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Survey.groovy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UserAccount.groovy</w:t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i18n: </w:t>
      </w:r>
      <w:r>
        <w:rPr>
          <w:rFonts w:ascii="Courier New" w:hAnsi="Courier New" w:eastAsia="Courier New" w:cs="Courier New"/>
          <w:color w:val="434343"/>
          <w:rtl w:val="0"/>
        </w:rPr>
        <w:t>En este directorio se configuran todos los mensajes de la aplicación, cada mensaje se encuentra identificado mediante un código en las vistas de formato GSP. El framework permite utilizar varios lenguajes a mostrar de las vistas, los lenguajes actualizados en la aplicación son español e inglés.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messages_cs_CZ.properties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messages_da.properties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messages_de.properties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messages_es.properties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messages_fr.properties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messages_it.properties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messages_ja.properties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messages_nb.properties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messages_nl.properties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messages_pl.properties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messages.properties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messages_pt_BR.properties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messages_pt_PT.properties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messages_ru.properties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messages_sv.properties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├── messages_th.properties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>└── messages_zh_CN.properties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init: </w:t>
      </w:r>
      <w:r>
        <w:rPr>
          <w:rFonts w:ascii="Courier New" w:hAnsi="Courier New" w:eastAsia="Courier New" w:cs="Courier New"/>
          <w:color w:val="434343"/>
          <w:rtl w:val="0"/>
        </w:rPr>
        <w:t>En este directorio se configuran los parámetros de inicio de la aplicación, contiene la rutina de arranque (método main) y cargue de información para bases de datos en blanco.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BootStrap.groovy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└── valueme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Application.groovy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services: </w:t>
      </w:r>
      <w:r>
        <w:rPr>
          <w:rFonts w:ascii="Courier New" w:hAnsi="Courier New" w:eastAsia="Courier New" w:cs="Courier New"/>
          <w:color w:val="434343"/>
          <w:rtl w:val="0"/>
        </w:rPr>
        <w:t>En este directorio se configuran las clases que actúan como servicios de aplicación: Un servicio de aplicación consolida varias tareas individuales, se emplea para la gestión general de usuarios, categorías y cálculo de resultados.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── valueme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CategoryService.groovy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ScoreService.groovy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SurveyService.groovy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UserAccountService.groovy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taglib: </w:t>
      </w:r>
      <w:r>
        <w:rPr>
          <w:rFonts w:ascii="Courier New" w:hAnsi="Courier New" w:eastAsia="Courier New" w:cs="Courier New"/>
          <w:color w:val="434343"/>
          <w:rtl w:val="0"/>
        </w:rPr>
        <w:t>En este directorio se configuran las etiquetas personalizadas de las vistas para facilitar el desarrollo de componentes visuales reutilizables.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── valueme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├── CustomTagLib.groovy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 xml:space="preserve">    └── SecurityTagLib.groovy</w:t>
      </w: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0000FF"/>
          <w:rtl w:val="0"/>
        </w:rPr>
        <w:t xml:space="preserve">views: </w:t>
      </w:r>
      <w:r>
        <w:rPr>
          <w:rFonts w:ascii="Courier New" w:hAnsi="Courier New" w:eastAsia="Courier New" w:cs="Courier New"/>
          <w:color w:val="434343"/>
          <w:rtl w:val="0"/>
        </w:rPr>
        <w:t>Este directorio contiene todas las vistas de la aplicación. Se encuentran organizadas en subdirectorios visibles en el código fuente de la aplicación y a través de la URL del navegador web. Las vistas manejan la notación GSP para componentes del framework de grails y Código HTML.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appInfo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assessment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category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categoryType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customField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emails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layouts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login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meci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param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permission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progress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question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role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schedule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score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survey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└── userAccount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color w:val="434343"/>
          <w:rtl w:val="0"/>
        </w:rPr>
        <w:t xml:space="preserve">Cada vista contiene los métodos </w:t>
      </w:r>
      <w:r>
        <w:rPr>
          <w:rFonts w:ascii="Courier New" w:hAnsi="Courier New" w:eastAsia="Courier New" w:cs="Courier New"/>
          <w:b/>
          <w:color w:val="434343"/>
          <w:rtl w:val="0"/>
        </w:rPr>
        <w:t>CRUD</w:t>
      </w:r>
      <w:r>
        <w:rPr>
          <w:rFonts w:ascii="Courier New" w:hAnsi="Courier New" w:eastAsia="Courier New" w:cs="Courier New"/>
          <w:color w:val="434343"/>
          <w:rtl w:val="0"/>
        </w:rPr>
        <w:t xml:space="preserve"> de las operaciones definidas en el mapa de navegación ej: </w:t>
      </w:r>
      <w:r>
        <w:rPr>
          <w:rFonts w:ascii="Courier New" w:hAnsi="Courier New" w:eastAsia="Courier New" w:cs="Courier New"/>
          <w:b/>
          <w:color w:val="434343"/>
          <w:rtl w:val="0"/>
        </w:rPr>
        <w:t>assessment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/valueme/grails-app/views/assessment/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create.gsp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edit.gsp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index.gsp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434343"/>
          <w:rtl w:val="0"/>
        </w:rPr>
        <w:t>├── show.gsp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9900FF"/>
          <w:rtl w:val="0"/>
        </w:rPr>
        <w:t>├── _step.gsp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9900FF"/>
          <w:rtl w:val="0"/>
        </w:rPr>
        <w:t>├── _stepShow.gsp</w:t>
      </w: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9900FF"/>
          <w:rtl w:val="0"/>
        </w:rPr>
        <w:t>└── thankyou.gsp</w:t>
      </w:r>
    </w:p>
    <w:p>
      <w:pPr>
        <w:contextualSpacing w:val="0"/>
        <w:jc w:val="both"/>
      </w:pPr>
    </w:p>
    <w:p>
      <w:pPr>
        <w:contextualSpacing w:val="0"/>
        <w:jc w:val="both"/>
      </w:pPr>
      <w:r>
        <w:rPr>
          <w:rFonts w:ascii="Courier New" w:hAnsi="Courier New" w:eastAsia="Courier New" w:cs="Courier New"/>
          <w:b/>
          <w:color w:val="9900FF"/>
          <w:rtl w:val="0"/>
        </w:rPr>
        <w:t xml:space="preserve">_step.gsp,_stepShow.gsp,thankyou.gsp </w:t>
      </w:r>
      <w:r>
        <w:rPr>
          <w:rFonts w:ascii="Courier New" w:hAnsi="Courier New" w:eastAsia="Courier New" w:cs="Courier New"/>
          <w:rtl w:val="0"/>
        </w:rPr>
        <w:t xml:space="preserve">Son componentes visuales de apoyo para las vistas principales </w:t>
      </w:r>
      <w:r>
        <w:rPr>
          <w:rFonts w:ascii="Courier New" w:hAnsi="Courier New" w:eastAsia="Courier New" w:cs="Courier New"/>
          <w:b/>
          <w:rtl w:val="0"/>
        </w:rPr>
        <w:t>CRUD</w:t>
      </w:r>
      <w:r>
        <w:rPr>
          <w:rFonts w:ascii="Courier New" w:hAnsi="Courier New" w:eastAsia="Courier New" w:cs="Courier New"/>
          <w:rtl w:val="0"/>
        </w:rPr>
        <w:t>. Manejan un sistema de plantillas para las páginas GSP con funcionalidades específicas.</w:t>
      </w:r>
      <w:bookmarkStart w:id="0" w:name="_GoBack"/>
      <w:bookmarkEnd w:id="0"/>
    </w:p>
    <w:p>
      <w:pPr>
        <w:contextualSpacing w:val="0"/>
      </w:pPr>
    </w:p>
    <w:p>
      <w:pPr>
        <w:contextualSpacing w:val="0"/>
      </w:pPr>
    </w:p>
    <w:sectPr>
      <w:pgSz w:w="11906" w:h="16838"/>
      <w:pgMar w:top="566" w:right="1440" w:bottom="566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Nunito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unito ExtraLight">
    <w:panose1 w:val="00000300000000000000"/>
    <w:charset w:val="00"/>
    <w:family w:val="auto"/>
    <w:pitch w:val="default"/>
    <w:sig w:usb0="20000007" w:usb1="00000001" w:usb2="00000000" w:usb3="00000000" w:csb0="20000193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F7BC5"/>
    <w:multiLevelType w:val="multilevel"/>
    <w:tmpl w:val="9BEF7BC5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DFDE32D8"/>
    <w:multiLevelType w:val="multilevel"/>
    <w:tmpl w:val="DFDE32D8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FEFA6B47"/>
    <w:multiLevelType w:val="multilevel"/>
    <w:tmpl w:val="FEFA6B47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7D3312C"/>
    <w:multiLevelType w:val="multilevel"/>
    <w:tmpl w:val="07D3312C"/>
    <w:lvl w:ilvl="0" w:tentative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F9FD78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al" w:hAnsi="Arial" w:eastAsia="Arial" w:cs="Arial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  <w:contextualSpacing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2020-02-04T21:32:26Z</dcterms:created>
  <dc:creator>jet</dc:creator>
  <cp:lastModifiedBy>jet</cp:lastModifiedBy>
  <dcterms:modified xsi:type="dcterms:W3CDTF">2020-02-04T21:32:57Z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