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64748B"/>
          <w:sz w:val="22"/>
        </w:rPr>
        <w:t>GRUPO MERCANTIL EMPRESARIAL S.A. DE C.V.</w:t>
        <w:br/>
      </w:r>
      <w:r>
        <w:rPr>
          <w:b/>
          <w:color w:val="0F4C3A"/>
          <w:sz w:val="34"/>
        </w:rPr>
        <w:t>JLG FACTURACIÓN | MANUAL TÉCNICO DEL PORTAL WEB Y BACKEND API</w:t>
        <w:br/>
      </w:r>
      <w:r>
        <w:rPr>
          <w:color w:val="1E40AF"/>
          <w:sz w:val="23"/>
        </w:rPr>
        <w:t>Plataforma Web Reactiva, Servicios REST Node.js, Motor Fiscal CFDI 4.0 SAT, Despliegue Cloud en Render y Auditoría Contable</w:t>
      </w:r>
    </w:p>
    <w:p>
      <w:pPr>
        <w:spacing w:before="120" w:after="280"/>
      </w:pPr>
      <w:r>
        <w:rPr>
          <w:i/>
          <w:color w:val="64748B"/>
          <w:sz w:val="18"/>
        </w:rPr>
        <w:t>Versión del Sistema: 3.0.0  |  Normativa Fiscal: SAT Anexo 20 / Art. 28 LISR  |  Entorno: Cloud Render (24/7)</w:t>
      </w:r>
    </w:p>
    <w:p>
      <w:pPr>
        <w:pStyle w:val="Heading1"/>
        <w:keepNext/>
        <w:spacing w:before="280" w:after="120"/>
      </w:pPr>
      <w:r>
        <w:rPr>
          <w:b/>
          <w:color w:val="0F4C3A"/>
          <w:sz w:val="30"/>
        </w:rPr>
        <w:t>1. Resumen Ejecutivo del Portal Web y Servidor Central</w:t>
      </w:r>
    </w:p>
    <w:p>
      <w:pPr>
        <w:spacing w:before="0" w:after="80" w:line="276" w:lineRule="auto"/>
      </w:pPr>
      <w:r>
        <w:rPr>
          <w:color w:val="334155"/>
          <w:sz w:val="20"/>
        </w:rPr>
        <w:t>El Portal Web de Jlg Facturación es una aplicación web empresarial (Single-Page Application) concebida para la gestión, fiscalización y comprobación de viáticos en México. Funciona en simbiosis con un motor backend en Node.js que procesa comprobantes fiscales digitales por internet (CFDI 4.0), contrastando cada factura contra los topes diarios de deducibilidad establecidos en el Artículo 28 Fracción V de la Ley del Impuesto sobre la Renta (LISR).</w:t>
      </w:r>
    </w:p>
    <w:tbl>
      <w:tblPr>
        <w:tblW w:type="auto" w:w="0"/>
        <w:jc w:val="center"/>
        <w:tblLayout w:type="fixed"/>
        <w:tblLook w:firstColumn="1" w:firstRow="1" w:lastColumn="0" w:lastRow="0" w:noHBand="0" w:noVBand="1" w:val="04A0"/>
      </w:tblPr>
      <w:tblGrid>
        <w:gridCol w:w="9936"/>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b/>
                <w:color w:val="0F4C3A"/>
                <w:sz w:val="20"/>
              </w:rPr>
              <w:t>Características Sobresalientes de la Plataforma Web v3.0</w:t>
              <w:br/>
            </w:r>
            <w:r>
              <w:rPr>
                <w:color w:val="334155"/>
                <w:sz w:val="19"/>
              </w:rPr>
              <w:t>• Acceso Directo y Discreto: El ingreso para el Administrador se encuentra 100% integrado dentro del directorio corporativo de colaboradores, eliminando botones externos o formularios visibles que alerten a terceros.</w:t>
              <w:br/>
              <w:t>• Sincronización Reactiva en Tiempo Real: Polling no intrusivo cada 3 segundos que detecta y refleja cualquier factura o cambio subido desde la app móvil Android sin necesidad de recargar la página.</w:t>
              <w:br/>
              <w:t>• Panel de Auditoría Fiscal: Módulo para revisar el detalle de comprobantes de cada empleado, autorizarlos o rechazarlos con captura obligatoria del motivo contable de auditoría.</w:t>
              <w:br/>
              <w:t>• Despliegue Continuo (CI/CD): Hospedado en la nube con Render y sincronizado con GitHub bajo protocolo HTTPS seguro.</w:t>
            </w:r>
          </w:p>
        </w:tc>
      </w:tr>
    </w:tbl>
    <w:p>
      <w:pPr>
        <w:spacing w:after="80"/>
      </w:pPr>
    </w:p>
    <w:p>
      <w:pPr>
        <w:pStyle w:val="Heading1"/>
        <w:keepNext/>
        <w:spacing w:before="280" w:after="120"/>
      </w:pPr>
      <w:r>
        <w:rPr>
          <w:b/>
          <w:color w:val="0F4C3A"/>
          <w:sz w:val="30"/>
        </w:rPr>
        <w:t>2. Stack Tecnológico de la Plataforma Web y API</w:t>
      </w:r>
    </w:p>
    <w:p>
      <w:pPr>
        <w:spacing w:before="0" w:after="80" w:line="276" w:lineRule="auto"/>
      </w:pPr>
      <w:r>
        <w:rPr>
          <w:color w:val="334155"/>
          <w:sz w:val="20"/>
        </w:rPr>
        <w:t>El portal web y el backend han sido construidos con tecnologías optimizadas para garantizar tiempos de respuesta ultrarrápidos y nula complejidad de mantenimiento:</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4C3A"/>
            <w:tcMar>
              <w:top w:w="100" w:type="dxa"/>
              <w:bottom w:w="100" w:type="dxa"/>
              <w:left w:w="120" w:type="dxa"/>
              <w:right w:w="120" w:type="dxa"/>
            </w:tcMar>
          </w:tcPr>
          <w:p>
            <w:pPr>
              <w:jc w:val="center"/>
            </w:pPr>
            <w:r>
              <w:rPr>
                <w:b/>
                <w:color w:val="FFFFFF"/>
                <w:sz w:val="18"/>
              </w:rPr>
              <w:t>Componente</w:t>
            </w:r>
          </w:p>
        </w:tc>
        <w:tc>
          <w:tcPr>
            <w:tcW w:type="dxa" w:w="2592"/>
            <w:shd w:fill="0F4C3A"/>
            <w:tcMar>
              <w:top w:w="100" w:type="dxa"/>
              <w:bottom w:w="100" w:type="dxa"/>
              <w:left w:w="120" w:type="dxa"/>
              <w:right w:w="120" w:type="dxa"/>
            </w:tcMar>
          </w:tcPr>
          <w:p>
            <w:pPr>
              <w:jc w:val="center"/>
            </w:pPr>
            <w:r>
              <w:rPr>
                <w:b/>
                <w:color w:val="FFFFFF"/>
                <w:sz w:val="18"/>
              </w:rPr>
              <w:t>Tecnología / Framework</w:t>
            </w:r>
          </w:p>
        </w:tc>
        <w:tc>
          <w:tcPr>
            <w:tcW w:type="dxa" w:w="2304"/>
            <w:shd w:fill="0F4C3A"/>
            <w:tcMar>
              <w:top w:w="100" w:type="dxa"/>
              <w:bottom w:w="100" w:type="dxa"/>
              <w:left w:w="120" w:type="dxa"/>
              <w:right w:w="120" w:type="dxa"/>
            </w:tcMar>
          </w:tcPr>
          <w:p>
            <w:pPr>
              <w:jc w:val="center"/>
            </w:pPr>
            <w:r>
              <w:rPr>
                <w:b/>
                <w:color w:val="FFFFFF"/>
                <w:sz w:val="18"/>
              </w:rPr>
              <w:t>Librerías / Dependencias</w:t>
            </w:r>
          </w:p>
        </w:tc>
        <w:tc>
          <w:tcPr>
            <w:tcW w:type="dxa" w:w="2304"/>
            <w:shd w:fill="0F4C3A"/>
            <w:tcMar>
              <w:top w:w="100" w:type="dxa"/>
              <w:bottom w:w="100" w:type="dxa"/>
              <w:left w:w="120" w:type="dxa"/>
              <w:right w:w="120" w:type="dxa"/>
            </w:tcMar>
          </w:tcPr>
          <w:p>
            <w:pPr>
              <w:jc w:val="center"/>
            </w:pPr>
            <w:r>
              <w:rPr>
                <w:b/>
                <w:color w:val="FFFFFF"/>
                <w:sz w:val="18"/>
              </w:rPr>
              <w:t>Propósito en la Plataforma</w:t>
            </w:r>
          </w:p>
        </w:tc>
      </w:tr>
      <w:tr>
        <w:tc>
          <w:tcPr>
            <w:tcW w:type="dxa" w:w="2160"/>
            <w:shd w:fill="FFFFFF"/>
            <w:tcMar>
              <w:top w:w="90" w:type="dxa"/>
              <w:bottom w:w="90" w:type="dxa"/>
              <w:left w:w="120" w:type="dxa"/>
              <w:right w:w="120" w:type="dxa"/>
            </w:tcMar>
          </w:tcPr>
          <w:p>
            <w:pPr>
              <w:jc w:val="left"/>
            </w:pPr>
            <w:r>
              <w:rPr>
                <w:color w:val="1E293B"/>
                <w:sz w:val="17"/>
              </w:rPr>
              <w:t>Servidor Backend</w:t>
            </w:r>
          </w:p>
        </w:tc>
        <w:tc>
          <w:tcPr>
            <w:tcW w:type="dxa" w:w="2592"/>
            <w:shd w:fill="FFFFFF"/>
            <w:tcMar>
              <w:top w:w="90" w:type="dxa"/>
              <w:bottom w:w="90" w:type="dxa"/>
              <w:left w:w="120" w:type="dxa"/>
              <w:right w:w="120" w:type="dxa"/>
            </w:tcMar>
          </w:tcPr>
          <w:p>
            <w:pPr>
              <w:jc w:val="left"/>
            </w:pPr>
            <w:r>
              <w:rPr>
                <w:color w:val="1E293B"/>
                <w:sz w:val="17"/>
              </w:rPr>
              <w:t>Node.js v20+ / Express 4.19</w:t>
            </w:r>
          </w:p>
        </w:tc>
        <w:tc>
          <w:tcPr>
            <w:tcW w:type="dxa" w:w="2304"/>
            <w:shd w:fill="FFFFFF"/>
            <w:tcMar>
              <w:top w:w="90" w:type="dxa"/>
              <w:bottom w:w="90" w:type="dxa"/>
              <w:left w:w="120" w:type="dxa"/>
              <w:right w:w="120" w:type="dxa"/>
            </w:tcMar>
          </w:tcPr>
          <w:p>
            <w:pPr>
              <w:jc w:val="center"/>
            </w:pPr>
            <w:r>
              <w:rPr>
                <w:color w:val="1E293B"/>
                <w:sz w:val="17"/>
              </w:rPr>
              <w:t>CORS, Crypto, Body-Parser</w:t>
            </w:r>
          </w:p>
        </w:tc>
        <w:tc>
          <w:tcPr>
            <w:tcW w:type="dxa" w:w="2304"/>
            <w:shd w:fill="FFFFFF"/>
            <w:tcMar>
              <w:top w:w="90" w:type="dxa"/>
              <w:bottom w:w="90" w:type="dxa"/>
              <w:left w:w="120" w:type="dxa"/>
              <w:right w:w="120" w:type="dxa"/>
            </w:tcMar>
          </w:tcPr>
          <w:p>
            <w:pPr>
              <w:jc w:val="center"/>
            </w:pPr>
            <w:r>
              <w:rPr>
                <w:color w:val="1E293B"/>
                <w:sz w:val="17"/>
              </w:rPr>
              <w:t>Procesamiento de peticiones REST, orquestación de datos y lógica fiscal.</w:t>
            </w:r>
          </w:p>
        </w:tc>
      </w:tr>
      <w:tr>
        <w:tc>
          <w:tcPr>
            <w:tcW w:type="dxa" w:w="2160"/>
            <w:shd w:fill="F8FAFC"/>
            <w:tcMar>
              <w:top w:w="90" w:type="dxa"/>
              <w:bottom w:w="90" w:type="dxa"/>
              <w:left w:w="120" w:type="dxa"/>
              <w:right w:w="120" w:type="dxa"/>
            </w:tcMar>
          </w:tcPr>
          <w:p>
            <w:pPr>
              <w:jc w:val="left"/>
            </w:pPr>
            <w:r>
              <w:rPr>
                <w:color w:val="1E293B"/>
                <w:sz w:val="17"/>
              </w:rPr>
              <w:t>Seguridad &amp; Cifrado</w:t>
            </w:r>
          </w:p>
        </w:tc>
        <w:tc>
          <w:tcPr>
            <w:tcW w:type="dxa" w:w="2592"/>
            <w:shd w:fill="F8FAFC"/>
            <w:tcMar>
              <w:top w:w="90" w:type="dxa"/>
              <w:bottom w:w="90" w:type="dxa"/>
              <w:left w:w="120" w:type="dxa"/>
              <w:right w:w="120" w:type="dxa"/>
            </w:tcMar>
          </w:tcPr>
          <w:p>
            <w:pPr>
              <w:jc w:val="left"/>
            </w:pPr>
            <w:r>
              <w:rPr>
                <w:color w:val="1E293B"/>
                <w:sz w:val="17"/>
              </w:rPr>
              <w:t>Bcrypt 5.1</w:t>
            </w:r>
          </w:p>
        </w:tc>
        <w:tc>
          <w:tcPr>
            <w:tcW w:type="dxa" w:w="2304"/>
            <w:shd w:fill="F8FAFC"/>
            <w:tcMar>
              <w:top w:w="90" w:type="dxa"/>
              <w:bottom w:w="90" w:type="dxa"/>
              <w:left w:w="120" w:type="dxa"/>
              <w:right w:w="120" w:type="dxa"/>
            </w:tcMar>
          </w:tcPr>
          <w:p>
            <w:pPr>
              <w:jc w:val="center"/>
            </w:pPr>
            <w:r>
              <w:rPr>
                <w:color w:val="1E293B"/>
                <w:sz w:val="17"/>
              </w:rPr>
              <w:t>Hash con salteado (10 rondas)</w:t>
            </w:r>
          </w:p>
        </w:tc>
        <w:tc>
          <w:tcPr>
            <w:tcW w:type="dxa" w:w="2304"/>
            <w:shd w:fill="F8FAFC"/>
            <w:tcMar>
              <w:top w:w="90" w:type="dxa"/>
              <w:bottom w:w="90" w:type="dxa"/>
              <w:left w:w="120" w:type="dxa"/>
              <w:right w:w="120" w:type="dxa"/>
            </w:tcMar>
          </w:tcPr>
          <w:p>
            <w:pPr>
              <w:jc w:val="center"/>
            </w:pPr>
            <w:r>
              <w:rPr>
                <w:color w:val="1E293B"/>
                <w:sz w:val="17"/>
              </w:rPr>
              <w:t>Protección robusta de contraseñas de administrador en almacenamiento.</w:t>
            </w:r>
          </w:p>
        </w:tc>
      </w:tr>
      <w:tr>
        <w:tc>
          <w:tcPr>
            <w:tcW w:type="dxa" w:w="2160"/>
            <w:shd w:fill="FFFFFF"/>
            <w:tcMar>
              <w:top w:w="90" w:type="dxa"/>
              <w:bottom w:w="90" w:type="dxa"/>
              <w:left w:w="120" w:type="dxa"/>
              <w:right w:w="120" w:type="dxa"/>
            </w:tcMar>
          </w:tcPr>
          <w:p>
            <w:pPr>
              <w:jc w:val="left"/>
            </w:pPr>
            <w:r>
              <w:rPr>
                <w:color w:val="1E293B"/>
                <w:sz w:val="17"/>
              </w:rPr>
              <w:t>Prevención de Ataques</w:t>
            </w:r>
          </w:p>
        </w:tc>
        <w:tc>
          <w:tcPr>
            <w:tcW w:type="dxa" w:w="2592"/>
            <w:shd w:fill="FFFFFF"/>
            <w:tcMar>
              <w:top w:w="90" w:type="dxa"/>
              <w:bottom w:w="90" w:type="dxa"/>
              <w:left w:w="120" w:type="dxa"/>
              <w:right w:w="120" w:type="dxa"/>
            </w:tcMar>
          </w:tcPr>
          <w:p>
            <w:pPr>
              <w:jc w:val="left"/>
            </w:pPr>
            <w:r>
              <w:rPr>
                <w:color w:val="1E293B"/>
                <w:sz w:val="17"/>
              </w:rPr>
              <w:t>Rate Limiter en Memoria</w:t>
            </w:r>
          </w:p>
        </w:tc>
        <w:tc>
          <w:tcPr>
            <w:tcW w:type="dxa" w:w="2304"/>
            <w:shd w:fill="FFFFFF"/>
            <w:tcMar>
              <w:top w:w="90" w:type="dxa"/>
              <w:bottom w:w="90" w:type="dxa"/>
              <w:left w:w="120" w:type="dxa"/>
              <w:right w:w="120" w:type="dxa"/>
            </w:tcMar>
          </w:tcPr>
          <w:p>
            <w:pPr>
              <w:jc w:val="center"/>
            </w:pPr>
            <w:r>
              <w:rPr>
                <w:color w:val="1E293B"/>
                <w:sz w:val="17"/>
              </w:rPr>
              <w:t>Control de IPs y ventanas temporales</w:t>
            </w:r>
          </w:p>
        </w:tc>
        <w:tc>
          <w:tcPr>
            <w:tcW w:type="dxa" w:w="2304"/>
            <w:shd w:fill="FFFFFF"/>
            <w:tcMar>
              <w:top w:w="90" w:type="dxa"/>
              <w:bottom w:w="90" w:type="dxa"/>
              <w:left w:w="120" w:type="dxa"/>
              <w:right w:w="120" w:type="dxa"/>
            </w:tcMar>
          </w:tcPr>
          <w:p>
            <w:pPr>
              <w:jc w:val="center"/>
            </w:pPr>
            <w:r>
              <w:rPr>
                <w:color w:val="1E293B"/>
                <w:sz w:val="17"/>
              </w:rPr>
              <w:t>Mitigación automática contra ataques de fuerza bruta en logins.</w:t>
            </w:r>
          </w:p>
        </w:tc>
      </w:tr>
      <w:tr>
        <w:tc>
          <w:tcPr>
            <w:tcW w:type="dxa" w:w="2160"/>
            <w:shd w:fill="F8FAFC"/>
            <w:tcMar>
              <w:top w:w="90" w:type="dxa"/>
              <w:bottom w:w="90" w:type="dxa"/>
              <w:left w:w="120" w:type="dxa"/>
              <w:right w:w="120" w:type="dxa"/>
            </w:tcMar>
          </w:tcPr>
          <w:p>
            <w:pPr>
              <w:jc w:val="left"/>
            </w:pPr>
            <w:r>
              <w:rPr>
                <w:color w:val="1E293B"/>
                <w:sz w:val="17"/>
              </w:rPr>
              <w:t>Frontend Web UI</w:t>
            </w:r>
          </w:p>
        </w:tc>
        <w:tc>
          <w:tcPr>
            <w:tcW w:type="dxa" w:w="2592"/>
            <w:shd w:fill="F8FAFC"/>
            <w:tcMar>
              <w:top w:w="90" w:type="dxa"/>
              <w:bottom w:w="90" w:type="dxa"/>
              <w:left w:w="120" w:type="dxa"/>
              <w:right w:w="120" w:type="dxa"/>
            </w:tcMar>
          </w:tcPr>
          <w:p>
            <w:pPr>
              <w:jc w:val="left"/>
            </w:pPr>
            <w:r>
              <w:rPr>
                <w:color w:val="1E293B"/>
                <w:sz w:val="17"/>
              </w:rPr>
              <w:t>Vanilla JavaScript ES6+ (SPA)</w:t>
            </w:r>
          </w:p>
        </w:tc>
        <w:tc>
          <w:tcPr>
            <w:tcW w:type="dxa" w:w="2304"/>
            <w:shd w:fill="F8FAFC"/>
            <w:tcMar>
              <w:top w:w="90" w:type="dxa"/>
              <w:bottom w:w="90" w:type="dxa"/>
              <w:left w:w="120" w:type="dxa"/>
              <w:right w:w="120" w:type="dxa"/>
            </w:tcMar>
          </w:tcPr>
          <w:p>
            <w:pPr>
              <w:jc w:val="center"/>
            </w:pPr>
            <w:r>
              <w:rPr>
                <w:color w:val="1E293B"/>
                <w:sz w:val="17"/>
              </w:rPr>
              <w:t>TailwindCSS 3.4, FontAwesome 6.5.1</w:t>
            </w:r>
          </w:p>
        </w:tc>
        <w:tc>
          <w:tcPr>
            <w:tcW w:type="dxa" w:w="2304"/>
            <w:shd w:fill="F8FAFC"/>
            <w:tcMar>
              <w:top w:w="90" w:type="dxa"/>
              <w:bottom w:w="90" w:type="dxa"/>
              <w:left w:w="120" w:type="dxa"/>
              <w:right w:w="120" w:type="dxa"/>
            </w:tcMar>
          </w:tcPr>
          <w:p>
            <w:pPr>
              <w:jc w:val="center"/>
            </w:pPr>
            <w:r>
              <w:rPr>
                <w:color w:val="1E293B"/>
                <w:sz w:val="17"/>
              </w:rPr>
              <w:t>Interfaz reactiva modular sin frameworks pesados ni empaquetados lentos.</w:t>
            </w:r>
          </w:p>
        </w:tc>
      </w:tr>
      <w:tr>
        <w:tc>
          <w:tcPr>
            <w:tcW w:type="dxa" w:w="2160"/>
            <w:shd w:fill="FFFFFF"/>
            <w:tcMar>
              <w:top w:w="90" w:type="dxa"/>
              <w:bottom w:w="90" w:type="dxa"/>
              <w:left w:w="120" w:type="dxa"/>
              <w:right w:w="120" w:type="dxa"/>
            </w:tcMar>
          </w:tcPr>
          <w:p>
            <w:pPr>
              <w:jc w:val="left"/>
            </w:pPr>
            <w:r>
              <w:rPr>
                <w:color w:val="1E293B"/>
                <w:sz w:val="17"/>
              </w:rPr>
              <w:t>Motor Fiscal SAT</w:t>
            </w:r>
          </w:p>
        </w:tc>
        <w:tc>
          <w:tcPr>
            <w:tcW w:type="dxa" w:w="2592"/>
            <w:shd w:fill="FFFFFF"/>
            <w:tcMar>
              <w:top w:w="90" w:type="dxa"/>
              <w:bottom w:w="90" w:type="dxa"/>
              <w:left w:w="120" w:type="dxa"/>
              <w:right w:w="120" w:type="dxa"/>
            </w:tcMar>
          </w:tcPr>
          <w:p>
            <w:pPr>
              <w:jc w:val="left"/>
            </w:pPr>
            <w:r>
              <w:rPr>
                <w:color w:val="1E293B"/>
                <w:sz w:val="17"/>
              </w:rPr>
              <w:t>XML Parser Nativo (RegEx)</w:t>
            </w:r>
          </w:p>
        </w:tc>
        <w:tc>
          <w:tcPr>
            <w:tcW w:type="dxa" w:w="2304"/>
            <w:shd w:fill="FFFFFF"/>
            <w:tcMar>
              <w:top w:w="90" w:type="dxa"/>
              <w:bottom w:w="90" w:type="dxa"/>
              <w:left w:w="120" w:type="dxa"/>
              <w:right w:w="120" w:type="dxa"/>
            </w:tcMar>
          </w:tcPr>
          <w:p>
            <w:pPr>
              <w:jc w:val="center"/>
            </w:pPr>
            <w:r>
              <w:rPr>
                <w:color w:val="1E293B"/>
                <w:sz w:val="17"/>
              </w:rPr>
              <w:t>Anexo 20 SAT / Art. 28 LISR</w:t>
            </w:r>
          </w:p>
        </w:tc>
        <w:tc>
          <w:tcPr>
            <w:tcW w:type="dxa" w:w="2304"/>
            <w:shd w:fill="FFFFFF"/>
            <w:tcMar>
              <w:top w:w="90" w:type="dxa"/>
              <w:bottom w:w="90" w:type="dxa"/>
              <w:left w:w="120" w:type="dxa"/>
              <w:right w:w="120" w:type="dxa"/>
            </w:tcMar>
          </w:tcPr>
          <w:p>
            <w:pPr>
              <w:jc w:val="center"/>
            </w:pPr>
            <w:r>
              <w:rPr>
                <w:color w:val="1E293B"/>
                <w:sz w:val="17"/>
              </w:rPr>
              <w:t>Extracción de atributos CFDI 4.0 y cálculo de deducibilidad en milisegundos.</w:t>
            </w:r>
          </w:p>
        </w:tc>
      </w:tr>
      <w:tr>
        <w:tc>
          <w:tcPr>
            <w:tcW w:type="dxa" w:w="2160"/>
            <w:shd w:fill="F8FAFC"/>
            <w:tcMar>
              <w:top w:w="90" w:type="dxa"/>
              <w:bottom w:w="90" w:type="dxa"/>
              <w:left w:w="120" w:type="dxa"/>
              <w:right w:w="120" w:type="dxa"/>
            </w:tcMar>
          </w:tcPr>
          <w:p>
            <w:pPr>
              <w:jc w:val="left"/>
            </w:pPr>
            <w:r>
              <w:rPr>
                <w:color w:val="1E293B"/>
                <w:sz w:val="17"/>
              </w:rPr>
              <w:t>Base de Datos</w:t>
            </w:r>
          </w:p>
        </w:tc>
        <w:tc>
          <w:tcPr>
            <w:tcW w:type="dxa" w:w="2592"/>
            <w:shd w:fill="F8FAFC"/>
            <w:tcMar>
              <w:top w:w="90" w:type="dxa"/>
              <w:bottom w:w="90" w:type="dxa"/>
              <w:left w:w="120" w:type="dxa"/>
              <w:right w:w="120" w:type="dxa"/>
            </w:tcMar>
          </w:tcPr>
          <w:p>
            <w:pPr>
              <w:jc w:val="left"/>
            </w:pPr>
            <w:r>
              <w:rPr>
                <w:color w:val="1E293B"/>
                <w:sz w:val="17"/>
              </w:rPr>
              <w:t>JSON Database Persistente</w:t>
            </w:r>
          </w:p>
        </w:tc>
        <w:tc>
          <w:tcPr>
            <w:tcW w:type="dxa" w:w="2304"/>
            <w:shd w:fill="F8FAFC"/>
            <w:tcMar>
              <w:top w:w="90" w:type="dxa"/>
              <w:bottom w:w="90" w:type="dxa"/>
              <w:left w:w="120" w:type="dxa"/>
              <w:right w:w="120" w:type="dxa"/>
            </w:tcMar>
          </w:tcPr>
          <w:p>
            <w:pPr>
              <w:jc w:val="center"/>
            </w:pPr>
            <w:r>
              <w:rPr>
                <w:color w:val="1E293B"/>
                <w:sz w:val="17"/>
              </w:rPr>
              <w:t>data/comprobantes.json</w:t>
            </w:r>
          </w:p>
        </w:tc>
        <w:tc>
          <w:tcPr>
            <w:tcW w:type="dxa" w:w="2304"/>
            <w:shd w:fill="F8FAFC"/>
            <w:tcMar>
              <w:top w:w="90" w:type="dxa"/>
              <w:bottom w:w="90" w:type="dxa"/>
              <w:left w:w="120" w:type="dxa"/>
              <w:right w:w="120" w:type="dxa"/>
            </w:tcMar>
          </w:tcPr>
          <w:p>
            <w:pPr>
              <w:jc w:val="center"/>
            </w:pPr>
            <w:r>
              <w:rPr>
                <w:color w:val="1E293B"/>
                <w:sz w:val="17"/>
              </w:rPr>
              <w:t>Resguardo de comprobantes, usuarios y auditorías tolerante a reinicios.</w:t>
            </w:r>
          </w:p>
        </w:tc>
      </w:tr>
    </w:tbl>
    <w:p>
      <w:pPr>
        <w:spacing w:after="80"/>
      </w:pPr>
    </w:p>
    <w:p>
      <w:pPr>
        <w:pStyle w:val="Heading1"/>
        <w:keepNext/>
        <w:spacing w:before="280" w:after="120"/>
      </w:pPr>
      <w:r>
        <w:rPr>
          <w:b/>
          <w:color w:val="0F4C3A"/>
          <w:sz w:val="30"/>
        </w:rPr>
        <w:t>3. Mecanismo de Autenticación Unificado y Discreto</w:t>
      </w:r>
    </w:p>
    <w:p>
      <w:pPr>
        <w:spacing w:before="0" w:after="80" w:line="276" w:lineRule="auto"/>
      </w:pPr>
      <w:r>
        <w:rPr>
          <w:color w:val="334155"/>
          <w:sz w:val="20"/>
        </w:rPr>
        <w:t>A diferencia de portales tradicionales donde existe una sección evidente de 'Acceso Administrador' que despierta curiosidad no deseada, la versión 3.0 integra un acceso corporativo uniforme:</w:t>
      </w:r>
    </w:p>
    <w:p>
      <w:pPr>
        <w:pStyle w:val="ListBullet"/>
        <w:spacing w:before="0" w:after="60" w:line="276" w:lineRule="auto"/>
      </w:pPr>
      <w:r>
        <w:rPr>
          <w:b/>
          <w:color w:val="0F172A"/>
          <w:sz w:val="19"/>
        </w:rPr>
        <w:t xml:space="preserve">Presentación Única: </w:t>
      </w:r>
      <w:r>
        <w:rPr>
          <w:color w:val="334155"/>
          <w:sz w:val="19"/>
        </w:rPr>
        <w:t>La pantalla de bienvenida muestra una única tarjeta de acceso corporativo ('Portal de Comprobación y Control de Gastos') orientada a todo el personal de la empresa.</w:t>
      </w:r>
    </w:p>
    <w:p>
      <w:pPr>
        <w:pStyle w:val="ListBullet"/>
        <w:spacing w:before="0" w:after="60" w:line="276" w:lineRule="auto"/>
      </w:pPr>
      <w:r>
        <w:rPr>
          <w:b/>
          <w:color w:val="0F172A"/>
          <w:sz w:val="19"/>
        </w:rPr>
        <w:t xml:space="preserve">Integración en el Directorio: </w:t>
      </w:r>
      <w:r>
        <w:rPr>
          <w:color w:val="334155"/>
          <w:sz w:val="19"/>
        </w:rPr>
        <w:t>Dentro del menú desplegable de colaboradores aparece de forma natural el perfil 'Damian Spears — Dirección General', conviviendo con los comisionados técnicos y gerentes.</w:t>
      </w:r>
    </w:p>
    <w:p>
      <w:pPr>
        <w:pStyle w:val="ListBullet"/>
        <w:spacing w:before="0" w:after="60" w:line="276" w:lineRule="auto"/>
      </w:pPr>
      <w:r>
        <w:rPr>
          <w:b/>
          <w:color w:val="0F172A"/>
          <w:sz w:val="19"/>
        </w:rPr>
        <w:t xml:space="preserve">Flujo para Colaboradores: </w:t>
      </w:r>
      <w:r>
        <w:rPr>
          <w:color w:val="334155"/>
          <w:sz w:val="19"/>
        </w:rPr>
        <w:t>Si se elige a un colaborador comisionado (ej. Julián López, Sandra Urquilla), el sistema valida su clave única alfanumérica y desbloquea el módulo de 'Comprobación de Viáticos'.</w:t>
      </w:r>
    </w:p>
    <w:p>
      <w:pPr>
        <w:pStyle w:val="ListBullet"/>
        <w:spacing w:before="0" w:after="60" w:line="276" w:lineRule="auto"/>
      </w:pPr>
      <w:r>
        <w:rPr>
          <w:b/>
          <w:color w:val="0F172A"/>
          <w:sz w:val="19"/>
        </w:rPr>
        <w:t xml:space="preserve">Flujo para Administrador: </w:t>
      </w:r>
      <w:r>
        <w:rPr>
          <w:color w:val="334155"/>
          <w:sz w:val="19"/>
        </w:rPr>
        <w:t>Si se elige a 'Damian Spears' y se ingresa la contraseña maestra ('Papaleta723!'), el portal detecta los privilegios de administración, autentica con Bcrypt y abre de inmediato el 'Módulo de Administración de Usuarios y Auditoría Fiscal'.</w:t>
      </w:r>
    </w:p>
    <w:p>
      <w:pPr>
        <w:pStyle w:val="ListBullet"/>
        <w:spacing w:before="0" w:after="60" w:line="276" w:lineRule="auto"/>
      </w:pPr>
      <w:r>
        <w:rPr>
          <w:b/>
          <w:color w:val="0F172A"/>
          <w:sz w:val="19"/>
        </w:rPr>
        <w:t xml:space="preserve">Ocultamiento en Navbar: </w:t>
      </w:r>
      <w:r>
        <w:rPr>
          <w:color w:val="334155"/>
          <w:sz w:val="19"/>
        </w:rPr>
        <w:t>El botón de inicio de sesión de admin fue retirado de la barra de navegación superior, garantizando confidencialidad absoluta.</w:t>
      </w:r>
    </w:p>
    <w:p>
      <w:pPr>
        <w:pStyle w:val="Heading1"/>
        <w:keepNext/>
        <w:spacing w:before="280" w:after="120"/>
      </w:pPr>
      <w:r>
        <w:rPr>
          <w:b/>
          <w:color w:val="0F4C3A"/>
          <w:sz w:val="30"/>
        </w:rPr>
        <w:t>4. Módulo de Comprobación de Viáticos (Vista Colaborador)</w:t>
      </w:r>
    </w:p>
    <w:p>
      <w:pPr>
        <w:spacing w:before="0" w:after="80" w:line="276" w:lineRule="auto"/>
      </w:pPr>
      <w:r>
        <w:rPr>
          <w:color w:val="334155"/>
          <w:sz w:val="20"/>
        </w:rPr>
        <w:t>Cuando un comisionado accede con su clave, dispone de una suite visual completa para el seguimiento de sus viáticos:</w:t>
      </w:r>
    </w:p>
    <w:p>
      <w:pPr>
        <w:pStyle w:val="ListBullet"/>
        <w:spacing w:before="0" w:after="60" w:line="276" w:lineRule="auto"/>
      </w:pPr>
      <w:r>
        <w:rPr>
          <w:b/>
          <w:color w:val="0F172A"/>
          <w:sz w:val="19"/>
        </w:rPr>
        <w:t xml:space="preserve">1. Tarjetas Financieras Dinámicas: </w:t>
      </w:r>
      <w:r>
        <w:rPr>
          <w:color w:val="334155"/>
          <w:sz w:val="19"/>
        </w:rPr>
        <w:t>Muestra el anticipo otorgado, el total gastado, el monto deducible validado por el SAT y el saldo pendiente de reintegro o reembolso.</w:t>
      </w:r>
    </w:p>
    <w:p>
      <w:pPr>
        <w:pStyle w:val="ListBullet"/>
        <w:spacing w:before="0" w:after="60" w:line="276" w:lineRule="auto"/>
      </w:pPr>
      <w:r>
        <w:rPr>
          <w:b/>
          <w:color w:val="0F172A"/>
          <w:sz w:val="19"/>
        </w:rPr>
        <w:t xml:space="preserve">2. Modo de Privacidad Multinivel: </w:t>
      </w:r>
      <w:r>
        <w:rPr>
          <w:color w:val="334155"/>
          <w:sz w:val="19"/>
        </w:rPr>
        <w:t>Permite ocultar o mostrar cifras mediante asteriscos (••••••) con un solo clic, garantizando privacidad en espacios públicos.</w:t>
      </w:r>
    </w:p>
    <w:p>
      <w:pPr>
        <w:pStyle w:val="ListBullet"/>
        <w:spacing w:before="0" w:after="60" w:line="276" w:lineRule="auto"/>
      </w:pPr>
      <w:r>
        <w:rPr>
          <w:b/>
          <w:color w:val="0F172A"/>
          <w:sz w:val="19"/>
        </w:rPr>
        <w:t xml:space="preserve">3. Validador Drag &amp; Drop de XML: </w:t>
      </w:r>
      <w:r>
        <w:rPr>
          <w:color w:val="334155"/>
          <w:sz w:val="19"/>
        </w:rPr>
        <w:t>Zona de arrastre interactiva que valida archivos XML CFDI 4.0 contra estructura SAT, RFC receptor, temporalidad y topes de gasto.</w:t>
      </w:r>
    </w:p>
    <w:p>
      <w:pPr>
        <w:pStyle w:val="ListBullet"/>
        <w:spacing w:before="0" w:after="60" w:line="276" w:lineRule="auto"/>
      </w:pPr>
      <w:r>
        <w:rPr>
          <w:b/>
          <w:color w:val="0F172A"/>
          <w:sz w:val="19"/>
        </w:rPr>
        <w:t xml:space="preserve">4. Historial Detallado de Facturas: </w:t>
      </w:r>
      <w:r>
        <w:rPr>
          <w:color w:val="334155"/>
          <w:sz w:val="19"/>
        </w:rPr>
        <w:t>Bitácora con fecha, emisor, UUID fiscal, categoría y desglose deducible/no deducible de cada factura registrada.</w:t>
      </w:r>
    </w:p>
    <w:p>
      <w:pPr>
        <w:pStyle w:val="Heading1"/>
        <w:keepNext/>
        <w:spacing w:before="280" w:after="120"/>
      </w:pPr>
      <w:r>
        <w:rPr>
          <w:b/>
          <w:color w:val="0F4C3A"/>
          <w:sz w:val="30"/>
        </w:rPr>
        <w:t>5. Módulo de Administración de Personal y Auditoría Fiscal</w:t>
      </w:r>
    </w:p>
    <w:p>
      <w:pPr>
        <w:spacing w:before="0" w:after="80" w:line="276" w:lineRule="auto"/>
      </w:pPr>
      <w:r>
        <w:rPr>
          <w:color w:val="334155"/>
          <w:sz w:val="20"/>
        </w:rPr>
        <w:t>El panel de control administrativo ofrece supervisión integral de toda la nómina corporativa:</w:t>
      </w:r>
    </w:p>
    <w:p>
      <w:pPr>
        <w:pStyle w:val="ListBullet"/>
        <w:spacing w:before="0" w:after="60" w:line="276" w:lineRule="auto"/>
      </w:pPr>
      <w:r>
        <w:rPr>
          <w:b/>
          <w:color w:val="0F172A"/>
          <w:sz w:val="19"/>
        </w:rPr>
        <w:t xml:space="preserve">Alta de Colaboradores: </w:t>
      </w:r>
      <w:r>
        <w:rPr>
          <w:color w:val="334155"/>
          <w:sz w:val="19"/>
        </w:rPr>
        <w:t>Permite registrar colaboradores capturando 12 parámetros obligatorios: Nombre, RFC, Email, Puesto, Departamento, Clave Única, Estatus, Destino, Motivo, Fechas Inicio/Fin y Anticipo.</w:t>
      </w:r>
    </w:p>
    <w:p>
      <w:pPr>
        <w:pStyle w:val="ListBullet"/>
        <w:spacing w:before="0" w:after="60" w:line="276" w:lineRule="auto"/>
      </w:pPr>
      <w:r>
        <w:rPr>
          <w:b/>
          <w:color w:val="0F172A"/>
          <w:sz w:val="19"/>
        </w:rPr>
        <w:t xml:space="preserve">Edición en Caliente: </w:t>
      </w:r>
      <w:r>
        <w:rPr>
          <w:color w:val="334155"/>
          <w:sz w:val="19"/>
        </w:rPr>
        <w:t>Botón '✏️ Editar' en cada tarjeta de usuario para modificar información operativa, claves o presupuesto en vivo sin tocar la base de datos manualmente.</w:t>
      </w:r>
    </w:p>
    <w:p>
      <w:pPr>
        <w:pStyle w:val="ListBullet"/>
        <w:spacing w:before="0" w:after="60" w:line="276" w:lineRule="auto"/>
      </w:pPr>
      <w:r>
        <w:rPr>
          <w:b/>
          <w:color w:val="0F172A"/>
          <w:sz w:val="19"/>
        </w:rPr>
        <w:t xml:space="preserve">Auditoría con Motivo de Rechazo: </w:t>
      </w:r>
      <w:r>
        <w:rPr>
          <w:color w:val="334155"/>
          <w:sz w:val="19"/>
        </w:rPr>
        <w:t>Al presionar '🔍 Movimientos', el auditor visualiza las facturas de ese empleado con opción de Aceptar (✓) o Rechazar (✕). Al rechazar, se exige un motivo de auditoría que se guarda y anula el importe deducible a $0.00.</w:t>
      </w:r>
    </w:p>
    <w:p>
      <w:pPr>
        <w:pStyle w:val="Heading1"/>
        <w:keepNext/>
        <w:spacing w:before="280" w:after="120"/>
      </w:pPr>
      <w:r>
        <w:rPr>
          <w:b/>
          <w:color w:val="0F4C3A"/>
          <w:sz w:val="30"/>
        </w:rPr>
        <w:t>6. Catálogo Oficial de Endpoints API REST</w:t>
      </w:r>
    </w:p>
    <w:p>
      <w:pPr>
        <w:spacing w:before="0" w:after="80" w:line="276" w:lineRule="auto"/>
      </w:pPr>
      <w:r>
        <w:rPr>
          <w:color w:val="334155"/>
          <w:sz w:val="20"/>
        </w:rPr>
        <w:t>El backend expone 12 servicios REST documentados a continuación: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0F4C3A"/>
            <w:tcMar>
              <w:top w:w="100" w:type="dxa"/>
              <w:bottom w:w="100" w:type="dxa"/>
              <w:left w:w="120" w:type="dxa"/>
              <w:right w:w="120" w:type="dxa"/>
            </w:tcMar>
          </w:tcPr>
          <w:p>
            <w:pPr>
              <w:jc w:val="center"/>
            </w:pPr>
            <w:r>
              <w:rPr>
                <w:b/>
                <w:color w:val="FFFFFF"/>
                <w:sz w:val="18"/>
              </w:rPr>
              <w:t>Método</w:t>
            </w:r>
          </w:p>
        </w:tc>
        <w:tc>
          <w:tcPr>
            <w:tcW w:type="dxa" w:w="3312"/>
            <w:shd w:fill="0F4C3A"/>
            <w:tcMar>
              <w:top w:w="100" w:type="dxa"/>
              <w:bottom w:w="100" w:type="dxa"/>
              <w:left w:w="120" w:type="dxa"/>
              <w:right w:w="120" w:type="dxa"/>
            </w:tcMar>
          </w:tcPr>
          <w:p>
            <w:pPr>
              <w:jc w:val="center"/>
            </w:pPr>
            <w:r>
              <w:rPr>
                <w:b/>
                <w:color w:val="FFFFFF"/>
                <w:sz w:val="18"/>
              </w:rPr>
              <w:t>Endpoint</w:t>
            </w:r>
          </w:p>
        </w:tc>
        <w:tc>
          <w:tcPr>
            <w:tcW w:type="dxa" w:w="3024"/>
            <w:shd w:fill="0F4C3A"/>
            <w:tcMar>
              <w:top w:w="100" w:type="dxa"/>
              <w:bottom w:w="100" w:type="dxa"/>
              <w:left w:w="120" w:type="dxa"/>
              <w:right w:w="120" w:type="dxa"/>
            </w:tcMar>
          </w:tcPr>
          <w:p>
            <w:pPr>
              <w:jc w:val="center"/>
            </w:pPr>
            <w:r>
              <w:rPr>
                <w:b/>
                <w:color w:val="FFFFFF"/>
                <w:sz w:val="18"/>
              </w:rPr>
              <w:t>Descripción / Operación</w:t>
            </w:r>
          </w:p>
        </w:tc>
        <w:tc>
          <w:tcPr>
            <w:tcW w:type="dxa" w:w="1872"/>
            <w:shd w:fill="0F4C3A"/>
            <w:tcMar>
              <w:top w:w="100" w:type="dxa"/>
              <w:bottom w:w="100" w:type="dxa"/>
              <w:left w:w="120" w:type="dxa"/>
              <w:right w:w="120" w:type="dxa"/>
            </w:tcMar>
          </w:tcPr>
          <w:p>
            <w:pPr>
              <w:jc w:val="center"/>
            </w:pPr>
            <w:r>
              <w:rPr>
                <w:b/>
                <w:color w:val="FFFFFF"/>
                <w:sz w:val="18"/>
              </w:rPr>
              <w:t>Seguridad</w:t>
            </w:r>
          </w:p>
        </w:tc>
      </w:tr>
      <w:tr>
        <w:tc>
          <w:tcPr>
            <w:tcW w:type="dxa" w:w="1152"/>
            <w:shd w:fill="FFFFFF"/>
            <w:tcMar>
              <w:top w:w="90" w:type="dxa"/>
              <w:bottom w:w="90" w:type="dxa"/>
              <w:left w:w="120" w:type="dxa"/>
              <w:right w:w="120" w:type="dxa"/>
            </w:tcMar>
          </w:tcPr>
          <w:p>
            <w:pPr>
              <w:jc w:val="left"/>
            </w:pPr>
            <w:r>
              <w:rPr>
                <w:color w:val="1E293B"/>
                <w:sz w:val="17"/>
              </w:rPr>
              <w:t>GET</w:t>
            </w:r>
          </w:p>
        </w:tc>
        <w:tc>
          <w:tcPr>
            <w:tcW w:type="dxa" w:w="3312"/>
            <w:shd w:fill="FFFFFF"/>
            <w:tcMar>
              <w:top w:w="90" w:type="dxa"/>
              <w:bottom w:w="90" w:type="dxa"/>
              <w:left w:w="120" w:type="dxa"/>
              <w:right w:w="120" w:type="dxa"/>
            </w:tcMar>
          </w:tcPr>
          <w:p>
            <w:pPr>
              <w:jc w:val="left"/>
            </w:pPr>
            <w:r>
              <w:rPr>
                <w:color w:val="1E293B"/>
                <w:sz w:val="17"/>
              </w:rPr>
              <w:t>/api/empleados</w:t>
            </w:r>
          </w:p>
        </w:tc>
        <w:tc>
          <w:tcPr>
            <w:tcW w:type="dxa" w:w="3024"/>
            <w:shd w:fill="FFFFFF"/>
            <w:tcMar>
              <w:top w:w="90" w:type="dxa"/>
              <w:bottom w:w="90" w:type="dxa"/>
              <w:left w:w="120" w:type="dxa"/>
              <w:right w:w="120" w:type="dxa"/>
            </w:tcMar>
          </w:tcPr>
          <w:p>
            <w:pPr>
              <w:jc w:val="center"/>
            </w:pPr>
            <w:r>
              <w:rPr>
                <w:color w:val="1E293B"/>
                <w:sz w:val="17"/>
              </w:rPr>
              <w:t>Obtiene la lista de colaboradores con montos enmascarados.</w:t>
            </w:r>
          </w:p>
        </w:tc>
        <w:tc>
          <w:tcPr>
            <w:tcW w:type="dxa" w:w="1872"/>
            <w:shd w:fill="FFFFFF"/>
            <w:tcMar>
              <w:top w:w="90" w:type="dxa"/>
              <w:bottom w:w="90" w:type="dxa"/>
              <w:left w:w="120" w:type="dxa"/>
              <w:right w:w="120" w:type="dxa"/>
            </w:tcMar>
          </w:tcPr>
          <w:p>
            <w:pPr>
              <w:jc w:val="center"/>
            </w:pPr>
            <w:r>
              <w:rPr>
                <w:color w:val="1E293B"/>
                <w:sz w:val="17"/>
              </w:rPr>
              <w:t>Público</w:t>
            </w:r>
          </w:p>
        </w:tc>
      </w:tr>
      <w:tr>
        <w:tc>
          <w:tcPr>
            <w:tcW w:type="dxa" w:w="1152"/>
            <w:shd w:fill="F8FAFC"/>
            <w:tcMar>
              <w:top w:w="90" w:type="dxa"/>
              <w:bottom w:w="90" w:type="dxa"/>
              <w:left w:w="120" w:type="dxa"/>
              <w:right w:w="120" w:type="dxa"/>
            </w:tcMar>
          </w:tcPr>
          <w:p>
            <w:pPr>
              <w:jc w:val="left"/>
            </w:pPr>
            <w:r>
              <w:rPr>
                <w:color w:val="1E293B"/>
                <w:sz w:val="17"/>
              </w:rPr>
              <w:t>POST</w:t>
            </w:r>
          </w:p>
        </w:tc>
        <w:tc>
          <w:tcPr>
            <w:tcW w:type="dxa" w:w="3312"/>
            <w:shd w:fill="F8FAFC"/>
            <w:tcMar>
              <w:top w:w="90" w:type="dxa"/>
              <w:bottom w:w="90" w:type="dxa"/>
              <w:left w:w="120" w:type="dxa"/>
              <w:right w:w="120" w:type="dxa"/>
            </w:tcMar>
          </w:tcPr>
          <w:p>
            <w:pPr>
              <w:jc w:val="left"/>
            </w:pPr>
            <w:r>
              <w:rPr>
                <w:color w:val="1E293B"/>
                <w:sz w:val="17"/>
              </w:rPr>
              <w:t>/api/empleados/:id/verificar-clave</w:t>
            </w:r>
          </w:p>
        </w:tc>
        <w:tc>
          <w:tcPr>
            <w:tcW w:type="dxa" w:w="3024"/>
            <w:shd w:fill="F8FAFC"/>
            <w:tcMar>
              <w:top w:w="90" w:type="dxa"/>
              <w:bottom w:w="90" w:type="dxa"/>
              <w:left w:w="120" w:type="dxa"/>
              <w:right w:w="120" w:type="dxa"/>
            </w:tcMar>
          </w:tcPr>
          <w:p>
            <w:pPr>
              <w:jc w:val="center"/>
            </w:pPr>
            <w:r>
              <w:rPr>
                <w:color w:val="1E293B"/>
                <w:sz w:val="17"/>
              </w:rPr>
              <w:t>Valida la clave única alfanumérica del colaborador.</w:t>
            </w:r>
          </w:p>
        </w:tc>
        <w:tc>
          <w:tcPr>
            <w:tcW w:type="dxa" w:w="1872"/>
            <w:shd w:fill="F8FAFC"/>
            <w:tcMar>
              <w:top w:w="90" w:type="dxa"/>
              <w:bottom w:w="90" w:type="dxa"/>
              <w:left w:w="120" w:type="dxa"/>
              <w:right w:w="120" w:type="dxa"/>
            </w:tcMar>
          </w:tcPr>
          <w:p>
            <w:pPr>
              <w:jc w:val="center"/>
            </w:pPr>
            <w:r>
              <w:rPr>
                <w:color w:val="1E293B"/>
                <w:sz w:val="17"/>
              </w:rPr>
              <w:t>Público</w:t>
            </w:r>
          </w:p>
        </w:tc>
      </w:tr>
      <w:tr>
        <w:tc>
          <w:tcPr>
            <w:tcW w:type="dxa" w:w="1152"/>
            <w:shd w:fill="FFFFFF"/>
            <w:tcMar>
              <w:top w:w="90" w:type="dxa"/>
              <w:bottom w:w="90" w:type="dxa"/>
              <w:left w:w="120" w:type="dxa"/>
              <w:right w:w="120" w:type="dxa"/>
            </w:tcMar>
          </w:tcPr>
          <w:p>
            <w:pPr>
              <w:jc w:val="left"/>
            </w:pPr>
            <w:r>
              <w:rPr>
                <w:color w:val="1E293B"/>
                <w:sz w:val="17"/>
              </w:rPr>
              <w:t>GET</w:t>
            </w:r>
          </w:p>
        </w:tc>
        <w:tc>
          <w:tcPr>
            <w:tcW w:type="dxa" w:w="3312"/>
            <w:shd w:fill="FFFFFF"/>
            <w:tcMar>
              <w:top w:w="90" w:type="dxa"/>
              <w:bottom w:w="90" w:type="dxa"/>
              <w:left w:w="120" w:type="dxa"/>
              <w:right w:w="120" w:type="dxa"/>
            </w:tcMar>
          </w:tcPr>
          <w:p>
            <w:pPr>
              <w:jc w:val="left"/>
            </w:pPr>
            <w:r>
              <w:rPr>
                <w:color w:val="1E293B"/>
                <w:sz w:val="17"/>
              </w:rPr>
              <w:t>/api/empleados/:id/viaje</w:t>
            </w:r>
          </w:p>
        </w:tc>
        <w:tc>
          <w:tcPr>
            <w:tcW w:type="dxa" w:w="3024"/>
            <w:shd w:fill="FFFFFF"/>
            <w:tcMar>
              <w:top w:w="90" w:type="dxa"/>
              <w:bottom w:w="90" w:type="dxa"/>
              <w:left w:w="120" w:type="dxa"/>
              <w:right w:w="120" w:type="dxa"/>
            </w:tcMar>
          </w:tcPr>
          <w:p>
            <w:pPr>
              <w:jc w:val="center"/>
            </w:pPr>
            <w:r>
              <w:rPr>
                <w:color w:val="1E293B"/>
                <w:sz w:val="17"/>
              </w:rPr>
              <w:t>Obtiene el viaje asignado, saldos y facturas del empleado.</w:t>
            </w:r>
          </w:p>
        </w:tc>
        <w:tc>
          <w:tcPr>
            <w:tcW w:type="dxa" w:w="1872"/>
            <w:shd w:fill="FFFFFF"/>
            <w:tcMar>
              <w:top w:w="90" w:type="dxa"/>
              <w:bottom w:w="90" w:type="dxa"/>
              <w:left w:w="120" w:type="dxa"/>
              <w:right w:w="120" w:type="dxa"/>
            </w:tcMar>
          </w:tcPr>
          <w:p>
            <w:pPr>
              <w:jc w:val="center"/>
            </w:pPr>
            <w:r>
              <w:rPr>
                <w:color w:val="1E293B"/>
                <w:sz w:val="17"/>
              </w:rPr>
              <w:t>Público</w:t>
            </w:r>
          </w:p>
        </w:tc>
      </w:tr>
      <w:tr>
        <w:tc>
          <w:tcPr>
            <w:tcW w:type="dxa" w:w="1152"/>
            <w:shd w:fill="F8FAFC"/>
            <w:tcMar>
              <w:top w:w="90" w:type="dxa"/>
              <w:bottom w:w="90" w:type="dxa"/>
              <w:left w:w="120" w:type="dxa"/>
              <w:right w:w="120" w:type="dxa"/>
            </w:tcMar>
          </w:tcPr>
          <w:p>
            <w:pPr>
              <w:jc w:val="left"/>
            </w:pPr>
            <w:r>
              <w:rPr>
                <w:color w:val="1E293B"/>
                <w:sz w:val="17"/>
              </w:rPr>
              <w:t>POST</w:t>
            </w:r>
          </w:p>
        </w:tc>
        <w:tc>
          <w:tcPr>
            <w:tcW w:type="dxa" w:w="3312"/>
            <w:shd w:fill="F8FAFC"/>
            <w:tcMar>
              <w:top w:w="90" w:type="dxa"/>
              <w:bottom w:w="90" w:type="dxa"/>
              <w:left w:w="120" w:type="dxa"/>
              <w:right w:w="120" w:type="dxa"/>
            </w:tcMar>
          </w:tcPr>
          <w:p>
            <w:pPr>
              <w:jc w:val="left"/>
            </w:pPr>
            <w:r>
              <w:rPr>
                <w:color w:val="1E293B"/>
                <w:sz w:val="17"/>
              </w:rPr>
              <w:t>/api/empleados/:id/validar-comprobante</w:t>
            </w:r>
          </w:p>
        </w:tc>
        <w:tc>
          <w:tcPr>
            <w:tcW w:type="dxa" w:w="3024"/>
            <w:shd w:fill="F8FAFC"/>
            <w:tcMar>
              <w:top w:w="90" w:type="dxa"/>
              <w:bottom w:w="90" w:type="dxa"/>
              <w:left w:w="120" w:type="dxa"/>
              <w:right w:w="120" w:type="dxa"/>
            </w:tcMar>
          </w:tcPr>
          <w:p>
            <w:pPr>
              <w:jc w:val="center"/>
            </w:pPr>
            <w:r>
              <w:rPr>
                <w:color w:val="1E293B"/>
                <w:sz w:val="17"/>
              </w:rPr>
              <w:t>Valida y registra XML CFDI 4.0 contra SAT y Art. 28 LISR.</w:t>
            </w:r>
          </w:p>
        </w:tc>
        <w:tc>
          <w:tcPr>
            <w:tcW w:type="dxa" w:w="1872"/>
            <w:shd w:fill="F8FAFC"/>
            <w:tcMar>
              <w:top w:w="90" w:type="dxa"/>
              <w:bottom w:w="90" w:type="dxa"/>
              <w:left w:w="120" w:type="dxa"/>
              <w:right w:w="120" w:type="dxa"/>
            </w:tcMar>
          </w:tcPr>
          <w:p>
            <w:pPr>
              <w:jc w:val="center"/>
            </w:pPr>
            <w:r>
              <w:rPr>
                <w:color w:val="1E293B"/>
                <w:sz w:val="17"/>
              </w:rPr>
              <w:t>Público</w:t>
            </w:r>
          </w:p>
        </w:tc>
      </w:tr>
      <w:tr>
        <w:tc>
          <w:tcPr>
            <w:tcW w:type="dxa" w:w="1152"/>
            <w:shd w:fill="FFFFFF"/>
            <w:tcMar>
              <w:top w:w="90" w:type="dxa"/>
              <w:bottom w:w="90" w:type="dxa"/>
              <w:left w:w="120" w:type="dxa"/>
              <w:right w:w="120" w:type="dxa"/>
            </w:tcMar>
          </w:tcPr>
          <w:p>
            <w:pPr>
              <w:jc w:val="left"/>
            </w:pPr>
            <w:r>
              <w:rPr>
                <w:color w:val="1E293B"/>
                <w:sz w:val="17"/>
              </w:rPr>
              <w:t>POST</w:t>
            </w:r>
          </w:p>
        </w:tc>
        <w:tc>
          <w:tcPr>
            <w:tcW w:type="dxa" w:w="3312"/>
            <w:shd w:fill="FFFFFF"/>
            <w:tcMar>
              <w:top w:w="90" w:type="dxa"/>
              <w:bottom w:w="90" w:type="dxa"/>
              <w:left w:w="120" w:type="dxa"/>
              <w:right w:w="120" w:type="dxa"/>
            </w:tcMar>
          </w:tcPr>
          <w:p>
            <w:pPr>
              <w:jc w:val="left"/>
            </w:pPr>
            <w:r>
              <w:rPr>
                <w:color w:val="1E293B"/>
                <w:sz w:val="17"/>
              </w:rPr>
              <w:t>/api/admin/login</w:t>
            </w:r>
          </w:p>
        </w:tc>
        <w:tc>
          <w:tcPr>
            <w:tcW w:type="dxa" w:w="3024"/>
            <w:shd w:fill="FFFFFF"/>
            <w:tcMar>
              <w:top w:w="90" w:type="dxa"/>
              <w:bottom w:w="90" w:type="dxa"/>
              <w:left w:w="120" w:type="dxa"/>
              <w:right w:w="120" w:type="dxa"/>
            </w:tcMar>
          </w:tcPr>
          <w:p>
            <w:pPr>
              <w:jc w:val="center"/>
            </w:pPr>
            <w:r>
              <w:rPr>
                <w:color w:val="1E293B"/>
                <w:sz w:val="17"/>
              </w:rPr>
              <w:t>Autenticación maestra con Bcrypt y generación de token de sesión.</w:t>
            </w:r>
          </w:p>
        </w:tc>
        <w:tc>
          <w:tcPr>
            <w:tcW w:type="dxa" w:w="1872"/>
            <w:shd w:fill="FFFFFF"/>
            <w:tcMar>
              <w:top w:w="90" w:type="dxa"/>
              <w:bottom w:w="90" w:type="dxa"/>
              <w:left w:w="120" w:type="dxa"/>
              <w:right w:w="120" w:type="dxa"/>
            </w:tcMar>
          </w:tcPr>
          <w:p>
            <w:pPr>
              <w:jc w:val="center"/>
            </w:pPr>
            <w:r>
              <w:rPr>
                <w:color w:val="1E293B"/>
                <w:sz w:val="17"/>
              </w:rPr>
              <w:t>Rate Limited</w:t>
            </w:r>
          </w:p>
        </w:tc>
      </w:tr>
      <w:tr>
        <w:tc>
          <w:tcPr>
            <w:tcW w:type="dxa" w:w="1152"/>
            <w:shd w:fill="F8FAFC"/>
            <w:tcMar>
              <w:top w:w="90" w:type="dxa"/>
              <w:bottom w:w="90" w:type="dxa"/>
              <w:left w:w="120" w:type="dxa"/>
              <w:right w:w="120" w:type="dxa"/>
            </w:tcMar>
          </w:tcPr>
          <w:p>
            <w:pPr>
              <w:jc w:val="left"/>
            </w:pPr>
            <w:r>
              <w:rPr>
                <w:color w:val="1E293B"/>
                <w:sz w:val="17"/>
              </w:rPr>
              <w:t>GET</w:t>
            </w:r>
          </w:p>
        </w:tc>
        <w:tc>
          <w:tcPr>
            <w:tcW w:type="dxa" w:w="3312"/>
            <w:shd w:fill="F8FAFC"/>
            <w:tcMar>
              <w:top w:w="90" w:type="dxa"/>
              <w:bottom w:w="90" w:type="dxa"/>
              <w:left w:w="120" w:type="dxa"/>
              <w:right w:w="120" w:type="dxa"/>
            </w:tcMar>
          </w:tcPr>
          <w:p>
            <w:pPr>
              <w:jc w:val="left"/>
            </w:pPr>
            <w:r>
              <w:rPr>
                <w:color w:val="1E293B"/>
                <w:sz w:val="17"/>
              </w:rPr>
              <w:t>/api/admin/verificar-sesion</w:t>
            </w:r>
          </w:p>
        </w:tc>
        <w:tc>
          <w:tcPr>
            <w:tcW w:type="dxa" w:w="3024"/>
            <w:shd w:fill="F8FAFC"/>
            <w:tcMar>
              <w:top w:w="90" w:type="dxa"/>
              <w:bottom w:w="90" w:type="dxa"/>
              <w:left w:w="120" w:type="dxa"/>
              <w:right w:w="120" w:type="dxa"/>
            </w:tcMar>
          </w:tcPr>
          <w:p>
            <w:pPr>
              <w:jc w:val="center"/>
            </w:pPr>
            <w:r>
              <w:rPr>
                <w:color w:val="1E293B"/>
                <w:sz w:val="17"/>
              </w:rPr>
              <w:t>Verifica si el token Bearer del administrador sigue vigente.</w:t>
            </w:r>
          </w:p>
        </w:tc>
        <w:tc>
          <w:tcPr>
            <w:tcW w:type="dxa" w:w="1872"/>
            <w:shd w:fill="F8FAFC"/>
            <w:tcMar>
              <w:top w:w="90" w:type="dxa"/>
              <w:bottom w:w="90" w:type="dxa"/>
              <w:left w:w="120" w:type="dxa"/>
              <w:right w:w="120" w:type="dxa"/>
            </w:tcMar>
          </w:tcPr>
          <w:p>
            <w:pPr>
              <w:jc w:val="center"/>
            </w:pPr>
            <w:r>
              <w:rPr>
                <w:color w:val="1E293B"/>
                <w:sz w:val="17"/>
              </w:rPr>
              <w:t>Bearer Token</w:t>
            </w:r>
          </w:p>
        </w:tc>
      </w:tr>
      <w:tr>
        <w:tc>
          <w:tcPr>
            <w:tcW w:type="dxa" w:w="1152"/>
            <w:shd w:fill="FFFFFF"/>
            <w:tcMar>
              <w:top w:w="90" w:type="dxa"/>
              <w:bottom w:w="90" w:type="dxa"/>
              <w:left w:w="120" w:type="dxa"/>
              <w:right w:w="120" w:type="dxa"/>
            </w:tcMar>
          </w:tcPr>
          <w:p>
            <w:pPr>
              <w:jc w:val="left"/>
            </w:pPr>
            <w:r>
              <w:rPr>
                <w:color w:val="1E293B"/>
                <w:sz w:val="17"/>
              </w:rPr>
              <w:t>POST</w:t>
            </w:r>
          </w:p>
        </w:tc>
        <w:tc>
          <w:tcPr>
            <w:tcW w:type="dxa" w:w="3312"/>
            <w:shd w:fill="FFFFFF"/>
            <w:tcMar>
              <w:top w:w="90" w:type="dxa"/>
              <w:bottom w:w="90" w:type="dxa"/>
              <w:left w:w="120" w:type="dxa"/>
              <w:right w:w="120" w:type="dxa"/>
            </w:tcMar>
          </w:tcPr>
          <w:p>
            <w:pPr>
              <w:jc w:val="left"/>
            </w:pPr>
            <w:r>
              <w:rPr>
                <w:color w:val="1E293B"/>
                <w:sz w:val="17"/>
              </w:rPr>
              <w:t>/api/admin/logout</w:t>
            </w:r>
          </w:p>
        </w:tc>
        <w:tc>
          <w:tcPr>
            <w:tcW w:type="dxa" w:w="3024"/>
            <w:shd w:fill="FFFFFF"/>
            <w:tcMar>
              <w:top w:w="90" w:type="dxa"/>
              <w:bottom w:w="90" w:type="dxa"/>
              <w:left w:w="120" w:type="dxa"/>
              <w:right w:w="120" w:type="dxa"/>
            </w:tcMar>
          </w:tcPr>
          <w:p>
            <w:pPr>
              <w:jc w:val="center"/>
            </w:pPr>
            <w:r>
              <w:rPr>
                <w:color w:val="1E293B"/>
                <w:sz w:val="17"/>
              </w:rPr>
              <w:t>Revoca la sesión administrativa activa en el servidor.</w:t>
            </w:r>
          </w:p>
        </w:tc>
        <w:tc>
          <w:tcPr>
            <w:tcW w:type="dxa" w:w="1872"/>
            <w:shd w:fill="FFFFFF"/>
            <w:tcMar>
              <w:top w:w="90" w:type="dxa"/>
              <w:bottom w:w="90" w:type="dxa"/>
              <w:left w:w="120" w:type="dxa"/>
              <w:right w:w="120" w:type="dxa"/>
            </w:tcMar>
          </w:tcPr>
          <w:p>
            <w:pPr>
              <w:jc w:val="center"/>
            </w:pPr>
            <w:r>
              <w:rPr>
                <w:color w:val="1E293B"/>
                <w:sz w:val="17"/>
              </w:rPr>
              <w:t>Bearer Token</w:t>
            </w:r>
          </w:p>
        </w:tc>
      </w:tr>
      <w:tr>
        <w:tc>
          <w:tcPr>
            <w:tcW w:type="dxa" w:w="1152"/>
            <w:shd w:fill="F8FAFC"/>
            <w:tcMar>
              <w:top w:w="90" w:type="dxa"/>
              <w:bottom w:w="90" w:type="dxa"/>
              <w:left w:w="120" w:type="dxa"/>
              <w:right w:w="120" w:type="dxa"/>
            </w:tcMar>
          </w:tcPr>
          <w:p>
            <w:pPr>
              <w:jc w:val="left"/>
            </w:pPr>
            <w:r>
              <w:rPr>
                <w:color w:val="1E293B"/>
                <w:sz w:val="17"/>
              </w:rPr>
              <w:t>GET</w:t>
            </w:r>
          </w:p>
        </w:tc>
        <w:tc>
          <w:tcPr>
            <w:tcW w:type="dxa" w:w="3312"/>
            <w:shd w:fill="F8FAFC"/>
            <w:tcMar>
              <w:top w:w="90" w:type="dxa"/>
              <w:bottom w:w="90" w:type="dxa"/>
              <w:left w:w="120" w:type="dxa"/>
              <w:right w:w="120" w:type="dxa"/>
            </w:tcMar>
          </w:tcPr>
          <w:p>
            <w:pPr>
              <w:jc w:val="left"/>
            </w:pPr>
            <w:r>
              <w:rPr>
                <w:color w:val="1E293B"/>
                <w:sz w:val="17"/>
              </w:rPr>
              <w:t>/api/admin/usuarios</w:t>
            </w:r>
          </w:p>
        </w:tc>
        <w:tc>
          <w:tcPr>
            <w:tcW w:type="dxa" w:w="3024"/>
            <w:shd w:fill="F8FAFC"/>
            <w:tcMar>
              <w:top w:w="90" w:type="dxa"/>
              <w:bottom w:w="90" w:type="dxa"/>
              <w:left w:w="120" w:type="dxa"/>
              <w:right w:w="120" w:type="dxa"/>
            </w:tcMar>
          </w:tcPr>
          <w:p>
            <w:pPr>
              <w:jc w:val="center"/>
            </w:pPr>
            <w:r>
              <w:rPr>
                <w:color w:val="1E293B"/>
                <w:sz w:val="17"/>
              </w:rPr>
              <w:t>Lista completa de colaboradores con claves y viajes visibles.</w:t>
            </w:r>
          </w:p>
        </w:tc>
        <w:tc>
          <w:tcPr>
            <w:tcW w:type="dxa" w:w="1872"/>
            <w:shd w:fill="F8FAFC"/>
            <w:tcMar>
              <w:top w:w="90" w:type="dxa"/>
              <w:bottom w:w="90" w:type="dxa"/>
              <w:left w:w="120" w:type="dxa"/>
              <w:right w:w="120" w:type="dxa"/>
            </w:tcMar>
          </w:tcPr>
          <w:p>
            <w:pPr>
              <w:jc w:val="center"/>
            </w:pPr>
            <w:r>
              <w:rPr>
                <w:color w:val="1E293B"/>
                <w:sz w:val="17"/>
              </w:rPr>
              <w:t>Bearer Token</w:t>
            </w:r>
          </w:p>
        </w:tc>
      </w:tr>
      <w:tr>
        <w:tc>
          <w:tcPr>
            <w:tcW w:type="dxa" w:w="1152"/>
            <w:shd w:fill="FFFFFF"/>
            <w:tcMar>
              <w:top w:w="90" w:type="dxa"/>
              <w:bottom w:w="90" w:type="dxa"/>
              <w:left w:w="120" w:type="dxa"/>
              <w:right w:w="120" w:type="dxa"/>
            </w:tcMar>
          </w:tcPr>
          <w:p>
            <w:pPr>
              <w:jc w:val="left"/>
            </w:pPr>
            <w:r>
              <w:rPr>
                <w:color w:val="1E293B"/>
                <w:sz w:val="17"/>
              </w:rPr>
              <w:t>POST</w:t>
            </w:r>
          </w:p>
        </w:tc>
        <w:tc>
          <w:tcPr>
            <w:tcW w:type="dxa" w:w="3312"/>
            <w:shd w:fill="FFFFFF"/>
            <w:tcMar>
              <w:top w:w="90" w:type="dxa"/>
              <w:bottom w:w="90" w:type="dxa"/>
              <w:left w:w="120" w:type="dxa"/>
              <w:right w:w="120" w:type="dxa"/>
            </w:tcMar>
          </w:tcPr>
          <w:p>
            <w:pPr>
              <w:jc w:val="left"/>
            </w:pPr>
            <w:r>
              <w:rPr>
                <w:color w:val="1E293B"/>
                <w:sz w:val="17"/>
              </w:rPr>
              <w:t>/api/admin/usuarios</w:t>
            </w:r>
          </w:p>
        </w:tc>
        <w:tc>
          <w:tcPr>
            <w:tcW w:type="dxa" w:w="3024"/>
            <w:shd w:fill="FFFFFF"/>
            <w:tcMar>
              <w:top w:w="90" w:type="dxa"/>
              <w:bottom w:w="90" w:type="dxa"/>
              <w:left w:w="120" w:type="dxa"/>
              <w:right w:w="120" w:type="dxa"/>
            </w:tcMar>
          </w:tcPr>
          <w:p>
            <w:pPr>
              <w:jc w:val="center"/>
            </w:pPr>
            <w:r>
              <w:rPr>
                <w:color w:val="1E293B"/>
                <w:sz w:val="17"/>
              </w:rPr>
              <w:t>Alta de nuevo colaborador con 12 campos completos.</w:t>
            </w:r>
          </w:p>
        </w:tc>
        <w:tc>
          <w:tcPr>
            <w:tcW w:type="dxa" w:w="1872"/>
            <w:shd w:fill="FFFFFF"/>
            <w:tcMar>
              <w:top w:w="90" w:type="dxa"/>
              <w:bottom w:w="90" w:type="dxa"/>
              <w:left w:w="120" w:type="dxa"/>
              <w:right w:w="120" w:type="dxa"/>
            </w:tcMar>
          </w:tcPr>
          <w:p>
            <w:pPr>
              <w:jc w:val="center"/>
            </w:pPr>
            <w:r>
              <w:rPr>
                <w:color w:val="1E293B"/>
                <w:sz w:val="17"/>
              </w:rPr>
              <w:t>Bearer Token</w:t>
            </w:r>
          </w:p>
        </w:tc>
      </w:tr>
      <w:tr>
        <w:tc>
          <w:tcPr>
            <w:tcW w:type="dxa" w:w="1152"/>
            <w:shd w:fill="F8FAFC"/>
            <w:tcMar>
              <w:top w:w="90" w:type="dxa"/>
              <w:bottom w:w="90" w:type="dxa"/>
              <w:left w:w="120" w:type="dxa"/>
              <w:right w:w="120" w:type="dxa"/>
            </w:tcMar>
          </w:tcPr>
          <w:p>
            <w:pPr>
              <w:jc w:val="left"/>
            </w:pPr>
            <w:r>
              <w:rPr>
                <w:color w:val="1E293B"/>
                <w:sz w:val="17"/>
              </w:rPr>
              <w:t>PUT</w:t>
            </w:r>
          </w:p>
        </w:tc>
        <w:tc>
          <w:tcPr>
            <w:tcW w:type="dxa" w:w="3312"/>
            <w:shd w:fill="F8FAFC"/>
            <w:tcMar>
              <w:top w:w="90" w:type="dxa"/>
              <w:bottom w:w="90" w:type="dxa"/>
              <w:left w:w="120" w:type="dxa"/>
              <w:right w:w="120" w:type="dxa"/>
            </w:tcMar>
          </w:tcPr>
          <w:p>
            <w:pPr>
              <w:jc w:val="left"/>
            </w:pPr>
            <w:r>
              <w:rPr>
                <w:color w:val="1E293B"/>
                <w:sz w:val="17"/>
              </w:rPr>
              <w:t>/api/admin/usuarios/:id</w:t>
            </w:r>
          </w:p>
        </w:tc>
        <w:tc>
          <w:tcPr>
            <w:tcW w:type="dxa" w:w="3024"/>
            <w:shd w:fill="F8FAFC"/>
            <w:tcMar>
              <w:top w:w="90" w:type="dxa"/>
              <w:bottom w:w="90" w:type="dxa"/>
              <w:left w:w="120" w:type="dxa"/>
              <w:right w:w="120" w:type="dxa"/>
            </w:tcMar>
          </w:tcPr>
          <w:p>
            <w:pPr>
              <w:jc w:val="center"/>
            </w:pPr>
            <w:r>
              <w:rPr>
                <w:color w:val="1E293B"/>
                <w:sz w:val="17"/>
              </w:rPr>
              <w:t>Actualización en vivo de datos y viáticos de un colaborador.</w:t>
            </w:r>
          </w:p>
        </w:tc>
        <w:tc>
          <w:tcPr>
            <w:tcW w:type="dxa" w:w="1872"/>
            <w:shd w:fill="F8FAFC"/>
            <w:tcMar>
              <w:top w:w="90" w:type="dxa"/>
              <w:bottom w:w="90" w:type="dxa"/>
              <w:left w:w="120" w:type="dxa"/>
              <w:right w:w="120" w:type="dxa"/>
            </w:tcMar>
          </w:tcPr>
          <w:p>
            <w:pPr>
              <w:jc w:val="center"/>
            </w:pPr>
            <w:r>
              <w:rPr>
                <w:color w:val="1E293B"/>
                <w:sz w:val="17"/>
              </w:rPr>
              <w:t>Bearer Token</w:t>
            </w:r>
          </w:p>
        </w:tc>
      </w:tr>
      <w:tr>
        <w:tc>
          <w:tcPr>
            <w:tcW w:type="dxa" w:w="1152"/>
            <w:shd w:fill="FFFFFF"/>
            <w:tcMar>
              <w:top w:w="90" w:type="dxa"/>
              <w:bottom w:w="90" w:type="dxa"/>
              <w:left w:w="120" w:type="dxa"/>
              <w:right w:w="120" w:type="dxa"/>
            </w:tcMar>
          </w:tcPr>
          <w:p>
            <w:pPr>
              <w:jc w:val="left"/>
            </w:pPr>
            <w:r>
              <w:rPr>
                <w:color w:val="1E293B"/>
                <w:sz w:val="17"/>
              </w:rPr>
              <w:t>PUT</w:t>
            </w:r>
          </w:p>
        </w:tc>
        <w:tc>
          <w:tcPr>
            <w:tcW w:type="dxa" w:w="3312"/>
            <w:shd w:fill="FFFFFF"/>
            <w:tcMar>
              <w:top w:w="90" w:type="dxa"/>
              <w:bottom w:w="90" w:type="dxa"/>
              <w:left w:w="120" w:type="dxa"/>
              <w:right w:w="120" w:type="dxa"/>
            </w:tcMar>
          </w:tcPr>
          <w:p>
            <w:pPr>
              <w:jc w:val="left"/>
            </w:pPr>
            <w:r>
              <w:rPr>
                <w:color w:val="1E293B"/>
                <w:sz w:val="17"/>
              </w:rPr>
              <w:t>/api/admin/empleados/:id/comprobantes/:uuid/estatus</w:t>
            </w:r>
          </w:p>
        </w:tc>
        <w:tc>
          <w:tcPr>
            <w:tcW w:type="dxa" w:w="3024"/>
            <w:shd w:fill="FFFFFF"/>
            <w:tcMar>
              <w:top w:w="90" w:type="dxa"/>
              <w:bottom w:w="90" w:type="dxa"/>
              <w:left w:w="120" w:type="dxa"/>
              <w:right w:w="120" w:type="dxa"/>
            </w:tcMar>
          </w:tcPr>
          <w:p>
            <w:pPr>
              <w:jc w:val="center"/>
            </w:pPr>
            <w:r>
              <w:rPr>
                <w:color w:val="1E293B"/>
                <w:sz w:val="17"/>
              </w:rPr>
              <w:t>Dictamen de factura (Aprobado / Rechazado) con motivo.</w:t>
            </w:r>
          </w:p>
        </w:tc>
        <w:tc>
          <w:tcPr>
            <w:tcW w:type="dxa" w:w="1872"/>
            <w:shd w:fill="FFFFFF"/>
            <w:tcMar>
              <w:top w:w="90" w:type="dxa"/>
              <w:bottom w:w="90" w:type="dxa"/>
              <w:left w:w="120" w:type="dxa"/>
              <w:right w:w="120" w:type="dxa"/>
            </w:tcMar>
          </w:tcPr>
          <w:p>
            <w:pPr>
              <w:jc w:val="center"/>
            </w:pPr>
            <w:r>
              <w:rPr>
                <w:color w:val="1E293B"/>
                <w:sz w:val="17"/>
              </w:rPr>
              <w:t>Bearer Token</w:t>
            </w:r>
          </w:p>
        </w:tc>
      </w:tr>
      <w:tr>
        <w:tc>
          <w:tcPr>
            <w:tcW w:type="dxa" w:w="1152"/>
            <w:shd w:fill="F8FAFC"/>
            <w:tcMar>
              <w:top w:w="90" w:type="dxa"/>
              <w:bottom w:w="90" w:type="dxa"/>
              <w:left w:w="120" w:type="dxa"/>
              <w:right w:w="120" w:type="dxa"/>
            </w:tcMar>
          </w:tcPr>
          <w:p>
            <w:pPr>
              <w:jc w:val="left"/>
            </w:pPr>
            <w:r>
              <w:rPr>
                <w:color w:val="1E293B"/>
                <w:sz w:val="17"/>
              </w:rPr>
              <w:t>GET</w:t>
            </w:r>
          </w:p>
        </w:tc>
        <w:tc>
          <w:tcPr>
            <w:tcW w:type="dxa" w:w="3312"/>
            <w:shd w:fill="F8FAFC"/>
            <w:tcMar>
              <w:top w:w="90" w:type="dxa"/>
              <w:bottom w:w="90" w:type="dxa"/>
              <w:left w:w="120" w:type="dxa"/>
              <w:right w:w="120" w:type="dxa"/>
            </w:tcMar>
          </w:tcPr>
          <w:p>
            <w:pPr>
              <w:jc w:val="left"/>
            </w:pPr>
            <w:r>
              <w:rPr>
                <w:color w:val="1E293B"/>
                <w:sz w:val="17"/>
              </w:rPr>
              <w:t>/ViaticosApp.apk</w:t>
            </w:r>
          </w:p>
        </w:tc>
        <w:tc>
          <w:tcPr>
            <w:tcW w:type="dxa" w:w="3024"/>
            <w:shd w:fill="F8FAFC"/>
            <w:tcMar>
              <w:top w:w="90" w:type="dxa"/>
              <w:bottom w:w="90" w:type="dxa"/>
              <w:left w:w="120" w:type="dxa"/>
              <w:right w:w="120" w:type="dxa"/>
            </w:tcMar>
          </w:tcPr>
          <w:p>
            <w:pPr>
              <w:jc w:val="center"/>
            </w:pPr>
            <w:r>
              <w:rPr>
                <w:color w:val="1E293B"/>
                <w:sz w:val="17"/>
              </w:rPr>
              <w:t>Descarga directa del instalador de la app móvil Android.</w:t>
            </w:r>
          </w:p>
        </w:tc>
        <w:tc>
          <w:tcPr>
            <w:tcW w:type="dxa" w:w="1872"/>
            <w:shd w:fill="F8FAFC"/>
            <w:tcMar>
              <w:top w:w="90" w:type="dxa"/>
              <w:bottom w:w="90" w:type="dxa"/>
              <w:left w:w="120" w:type="dxa"/>
              <w:right w:w="120" w:type="dxa"/>
            </w:tcMar>
          </w:tcPr>
          <w:p>
            <w:pPr>
              <w:jc w:val="center"/>
            </w:pPr>
            <w:r>
              <w:rPr>
                <w:color w:val="1E293B"/>
                <w:sz w:val="17"/>
              </w:rPr>
              <w:t>Público</w:t>
            </w:r>
          </w:p>
        </w:tc>
      </w:tr>
    </w:tbl>
    <w:p>
      <w:pPr>
        <w:spacing w:after="80"/>
      </w:pPr>
    </w:p>
    <w:p>
      <w:pPr>
        <w:pStyle w:val="Heading1"/>
        <w:keepNext/>
        <w:spacing w:before="280" w:after="120"/>
      </w:pPr>
      <w:r>
        <w:rPr>
          <w:b/>
          <w:color w:val="0F4C3A"/>
          <w:sz w:val="30"/>
        </w:rPr>
        <w:t>7. Despliegue en la Nube y Control de Versiones</w:t>
      </w:r>
    </w:p>
    <w:tbl>
      <w:tblPr>
        <w:tblW w:type="auto" w:w="0"/>
        <w:jc w:val="center"/>
        <w:tblLayout w:type="fixed"/>
        <w:tblLook w:firstColumn="1" w:firstRow="1" w:lastColumn="0" w:lastRow="0" w:noHBand="0" w:noVBand="1" w:val="04A0"/>
      </w:tblPr>
      <w:tblGrid>
        <w:gridCol w:w="9936"/>
      </w:tblGrid>
      <w:tr>
        <w:tc>
          <w:tcPr>
            <w:tcW w:type="dxa" w:w="9360"/>
            <w:shd w:fill="EFF6FF"/>
            <w:tcMar>
              <w:top w:w="120" w:type="dxa"/>
              <w:bottom w:w="120" w:type="dxa"/>
              <w:left w:w="180" w:type="dxa"/>
              <w:right w:w="180" w:type="dxa"/>
            </w:tcMar>
            <w:tcBorders>
              <w:left w:val="single" w:sz="24" w:space="0" w:color="3B82F6"/>
              <w:top w:val="none"/>
              <w:right w:val="none"/>
              <w:bottom w:val="none"/>
            </w:tcBorders>
          </w:tcPr>
          <w:p>
            <w:pPr>
              <w:spacing w:before="40" w:after="40" w:line="276" w:lineRule="auto"/>
            </w:pPr>
            <w:r>
              <w:rPr>
                <w:b/>
                <w:color w:val="0F4C3A"/>
                <w:sz w:val="20"/>
              </w:rPr>
              <w:t>🌐 Infraestructura de Producción 24/7 en Render Cloud</w:t>
              <w:br/>
            </w:r>
            <w:r>
              <w:rPr>
                <w:color w:val="334155"/>
                <w:sz w:val="19"/>
              </w:rPr>
              <w:t>• URL Oficial del Portal: https://jlg-facturacion.onrender.com/</w:t>
              <w:br/>
              <w:t>• Repositorio en GitHub: https://github.com/jorgecesba/jlg-facturacion.git</w:t>
              <w:br/>
              <w:t>• Integración Continua (CI/CD): Todo cambio confirmado a la rama 'main' activa un build y despliegue automático en la nube.</w:t>
              <w:br/>
              <w:t>• Botón de Descarga APK: La cabecera del portal incluye el botón '📱 Descargar App Android' para instalar la app en cualquier celular.</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