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32"/>
        </w:rPr>
        <w:t>Capítulo VI</w:t>
      </w:r>
    </w:p>
    <w:p>
      <w:pPr>
        <w:spacing w:after="240"/>
      </w:pPr>
      <w:r>
        <w:rPr>
          <w:b/>
          <w:sz w:val="28"/>
        </w:rPr>
        <w:t>Caracterización de los mercados de los minerales críticos</w:t>
      </w:r>
    </w:p>
    <w:p>
      <w:pPr>
        <w:spacing w:before="280" w:after="120"/>
      </w:pPr>
      <w:r>
        <w:rPr>
          <w:b/>
          <w:color w:val="1A1A1A"/>
          <w:sz w:val="28"/>
        </w:rPr>
        <w:t>VI.1  Propósito y enfoque</w:t>
      </w:r>
    </w:p>
    <w:p>
      <w:pPr>
        <w:spacing w:after="120" w:line="276" w:lineRule="auto"/>
        <w:ind w:firstLine="420"/>
        <w:jc w:val="both"/>
      </w:pPr>
      <w:r>
        <w:t xml:space="preserve">Este capítulo caracteriza, mineral por mineral, los diez mercados de minerales críticos y construye una </w:t>
      </w:r>
      <w:r>
        <w:rPr>
          <w:b/>
          <w:i w:val="0"/>
        </w:rPr>
        <w:t>tipología descriptiva</w:t>
      </w:r>
      <w:r>
        <w:t xml:space="preserve"> de su posición en las cadenas de valor. Integra los tres objetivos previos —la estructura extractiva y los encadenamientos (Cap. V), la cadena de valor local (empresas de transformación) y la inserción en las cadenas globales (comercio por etapa)— en un retrato único por mineral. No es un modelo de panel ni una estimación causal: los índices (HHI, coeficiente de Ghosh, participación por etapa) se emplean como </w:t>
      </w:r>
      <w:r>
        <w:rPr>
          <w:b/>
          <w:i w:val="0"/>
        </w:rPr>
        <w:t>descriptores</w:t>
      </w:r>
      <w:r>
        <w:t xml:space="preserve"> para situar cada mineral en la escala que va de la exportación en bruto a la transformación de mayor valor, bajo la lente del enclave estructural.</w:t>
      </w:r>
    </w:p>
    <w:p>
      <w:pPr>
        <w:spacing w:after="120" w:line="276" w:lineRule="auto"/>
        <w:jc w:val="both"/>
      </w:pPr>
      <w:r>
        <w:t>La exposición procede por pasos. Primero se definen las cuatro fases de la cadena de valor y los productos que las componen (VI.2). Luego se traza el perfil de cada mineral —productos por fase, concentración, encadenamiento, posición comercial y cadena local (VI.3)—. A continuación se añaden tres cortes transversales que dan profundidad a la caracterización: la evolución de la concentración extractiva (VI.4), la geografía de la extracción y la transformación (VI.5) y el destino de las exportaciones (VI.6). Después se agrupan los diez mercados en una tipología (VI.7) y se sintetizan las diez fichas de cadena de valor —cuantificación por eslabón y punto de ruptura— (VI.8), para derivar por último las bases de una política industrial (VI.9).</w:t>
      </w:r>
    </w:p>
    <w:p>
      <w:pPr>
        <w:spacing w:before="280" w:after="120"/>
      </w:pPr>
      <w:r>
        <w:rPr>
          <w:b/>
          <w:color w:val="1A1A1A"/>
          <w:sz w:val="28"/>
        </w:rPr>
        <w:t>VI.2  Las cuatro fases de la cadena de valor</w:t>
      </w:r>
    </w:p>
    <w:p>
      <w:pPr>
        <w:spacing w:after="120" w:line="276" w:lineRule="auto"/>
        <w:ind w:firstLine="420"/>
        <w:jc w:val="both"/>
      </w:pPr>
      <w:r>
        <w:t>La cadena de valor de un mineral se organiza en cuatro fases de transformación creciente, en las que el valor por unidad física aumenta a cada paso: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1700"/>
            <w:shd w:val="clear" w:color="auto" w:fill="E8E8E8"/>
          </w:tcPr>
          <w:p>
            <w:pPr>
              <w:jc w:val="left"/>
            </w:pPr>
            <w:r/>
            <w:r>
              <w:rPr>
                <w:b/>
                <w:sz w:val="20"/>
              </w:rPr>
              <w:t>Fase</w:t>
            </w:r>
          </w:p>
        </w:tc>
        <w:tc>
          <w:tcPr>
            <w:tcW w:type="dxa" w:w="5238"/>
            <w:shd w:val="clear" w:color="auto" w:fill="E8E8E8"/>
          </w:tcPr>
          <w:p>
            <w:pPr>
              <w:jc w:val="left"/>
            </w:pPr>
            <w:r/>
            <w:r>
              <w:rPr>
                <w:b/>
                <w:sz w:val="20"/>
              </w:rPr>
              <w:t>Qué comprende</w:t>
            </w:r>
          </w:p>
        </w:tc>
        <w:tc>
          <w:tcPr>
            <w:tcW w:type="dxa" w:w="1900"/>
            <w:shd w:val="clear" w:color="auto" w:fill="E8E8E8"/>
          </w:tcPr>
          <w:p>
            <w:pPr>
              <w:jc w:val="left"/>
            </w:pPr>
            <w:r/>
            <w:r>
              <w:rPr>
                <w:b/>
                <w:sz w:val="20"/>
              </w:rPr>
              <w:t>Ejemplo (cobre)</w:t>
            </w:r>
          </w:p>
        </w:tc>
      </w:tr>
      <w:tr>
        <w:tc>
          <w:tcPr>
            <w:tcW w:type="dxa" w:w="1700"/>
          </w:tcPr>
          <w:p>
            <w:pPr>
              <w:jc w:val="left"/>
            </w:pPr>
            <w:r/>
            <w:r>
              <w:rPr>
                <w:sz w:val="20"/>
              </w:rPr>
              <w:t>1 · Extracción</w:t>
            </w:r>
          </w:p>
        </w:tc>
        <w:tc>
          <w:tcPr>
            <w:tcW w:type="dxa" w:w="5238"/>
          </w:tcPr>
          <w:p>
            <w:pPr>
              <w:jc w:val="left"/>
            </w:pPr>
            <w:r/>
            <w:r>
              <w:rPr>
                <w:sz w:val="20"/>
              </w:rPr>
              <w:t>Mena y concentrado; producto de la actividad minera.</w:t>
            </w:r>
          </w:p>
        </w:tc>
        <w:tc>
          <w:tcPr>
            <w:tcW w:type="dxa" w:w="1900"/>
          </w:tcPr>
          <w:p>
            <w:pPr>
              <w:jc w:val="left"/>
            </w:pPr>
            <w:r/>
            <w:r>
              <w:rPr>
                <w:sz w:val="20"/>
              </w:rPr>
              <w:t>Concentrado de cobre (~28% Cu)</w:t>
            </w:r>
          </w:p>
        </w:tc>
      </w:tr>
      <w:tr>
        <w:tc>
          <w:tcPr>
            <w:tcW w:type="dxa" w:w="1700"/>
          </w:tcPr>
          <w:p>
            <w:pPr>
              <w:jc w:val="left"/>
            </w:pPr>
            <w:r/>
            <w:r>
              <w:rPr>
                <w:sz w:val="20"/>
              </w:rPr>
              <w:t>2 · Transformación primaria</w:t>
            </w:r>
          </w:p>
        </w:tc>
        <w:tc>
          <w:tcPr>
            <w:tcW w:type="dxa" w:w="5238"/>
          </w:tcPr>
          <w:p>
            <w:pPr>
              <w:jc w:val="left"/>
            </w:pPr>
            <w:r/>
            <w:r>
              <w:rPr>
                <w:sz w:val="20"/>
              </w:rPr>
              <w:t>Metal refinado o mineral procesado/químico básico.</w:t>
            </w:r>
          </w:p>
        </w:tc>
        <w:tc>
          <w:tcPr>
            <w:tcW w:type="dxa" w:w="1900"/>
          </w:tcPr>
          <w:p>
            <w:pPr>
              <w:jc w:val="left"/>
            </w:pPr>
            <w:r/>
            <w:r>
              <w:rPr>
                <w:sz w:val="20"/>
              </w:rPr>
              <w:t>Cátodo de cobre (99.99%)</w:t>
            </w:r>
          </w:p>
        </w:tc>
      </w:tr>
      <w:tr>
        <w:tc>
          <w:tcPr>
            <w:tcW w:type="dxa" w:w="1700"/>
          </w:tcPr>
          <w:p>
            <w:pPr>
              <w:jc w:val="left"/>
            </w:pPr>
            <w:r/>
            <w:r>
              <w:rPr>
                <w:sz w:val="20"/>
              </w:rPr>
              <w:t>3 · Semimanufactura</w:t>
            </w:r>
          </w:p>
        </w:tc>
        <w:tc>
          <w:tcPr>
            <w:tcW w:type="dxa" w:w="5238"/>
          </w:tcPr>
          <w:p>
            <w:pPr>
              <w:jc w:val="left"/>
            </w:pPr>
            <w:r/>
            <w:r>
              <w:rPr>
                <w:sz w:val="20"/>
              </w:rPr>
              <w:t>Productos intermedios semielaborados.</w:t>
            </w:r>
          </w:p>
        </w:tc>
        <w:tc>
          <w:tcPr>
            <w:tcW w:type="dxa" w:w="1900"/>
          </w:tcPr>
          <w:p>
            <w:pPr>
              <w:jc w:val="left"/>
            </w:pPr>
            <w:r/>
            <w:r>
              <w:rPr>
                <w:sz w:val="20"/>
              </w:rPr>
              <w:t>Alambrón, alambre, tubo</w:t>
            </w:r>
          </w:p>
        </w:tc>
      </w:tr>
      <w:tr>
        <w:tc>
          <w:tcPr>
            <w:tcW w:type="dxa" w:w="1700"/>
          </w:tcPr>
          <w:p>
            <w:pPr>
              <w:jc w:val="left"/>
            </w:pPr>
            <w:r/>
            <w:r>
              <w:rPr>
                <w:sz w:val="20"/>
              </w:rPr>
              <w:t>4 · Manufactura</w:t>
            </w:r>
          </w:p>
        </w:tc>
        <w:tc>
          <w:tcPr>
            <w:tcW w:type="dxa" w:w="5238"/>
          </w:tcPr>
          <w:p>
            <w:pPr>
              <w:jc w:val="left"/>
            </w:pPr>
            <w:r/>
            <w:r>
              <w:rPr>
                <w:sz w:val="20"/>
              </w:rPr>
              <w:t>Bienes finales que incorporan el mineral.</w:t>
            </w:r>
          </w:p>
        </w:tc>
        <w:tc>
          <w:tcPr>
            <w:tcW w:type="dxa" w:w="1900"/>
          </w:tcPr>
          <w:p>
            <w:pPr>
              <w:jc w:val="left"/>
            </w:pPr>
            <w:r/>
            <w:r>
              <w:rPr>
                <w:sz w:val="20"/>
              </w:rPr>
              <w:t>Cable eléctrico, conexiones</w:t>
            </w:r>
          </w:p>
        </w:tc>
      </w:tr>
    </w:tbl>
    <w:p>
      <w:pPr>
        <w:spacing w:before="40" w:after="160"/>
      </w:pPr>
      <w:r>
        <w:rPr>
          <w:i/>
          <w:sz w:val="16"/>
        </w:rPr>
        <w:t>Cuadro VI.1. Las cuatro fases de la cadena de valor de un mineral (valor creciente de la 1 a la 4).</w:t>
      </w:r>
    </w:p>
    <w:p>
      <w:pPr>
        <w:spacing w:after="120" w:line="276" w:lineRule="auto"/>
        <w:jc w:val="both"/>
      </w:pPr>
      <w:r>
        <w:t>El lugar donde un país deja de participar en esta secuencia define su posición: exportar en la fase 1 e importar en las fases 3–4 es el patrón del enclave estructural. Las secciones siguientes detallan, para cada mineral, qué productos concretos componen cada fase y hasta cuál llega México.</w:t>
      </w:r>
    </w:p>
    <w:p>
      <w:pPr>
        <w:spacing w:before="200" w:after="80"/>
      </w:pPr>
      <w:r>
        <w:rPr>
          <w:b/>
          <w:color w:val="333333"/>
          <w:sz w:val="24"/>
        </w:rPr>
        <w:t>VI.2.1  De las fases a los eslabones (notación L0–L4)</w:t>
      </w:r>
    </w:p>
    <w:p>
      <w:pPr>
        <w:spacing w:after="120" w:line="276" w:lineRule="auto"/>
        <w:ind w:firstLine="420"/>
        <w:jc w:val="both"/>
      </w:pPr>
      <w:r>
        <w:t xml:space="preserve">Para el análisis por cadena, cada mercado se descompone en cinco </w:t>
      </w:r>
      <w:r>
        <w:rPr>
          <w:b/>
          <w:i w:val="0"/>
        </w:rPr>
        <w:t>eslabones</w:t>
      </w:r>
      <w:r>
        <w:t xml:space="preserve">, denotados </w:t>
      </w:r>
      <w:r>
        <w:rPr>
          <w:b/>
          <w:i w:val="0"/>
        </w:rPr>
        <w:t>L0 a L4</w:t>
      </w:r>
      <w:r>
        <w:t xml:space="preserve">, que precisan las cuatro fases anteriores añadiendo el recurso en el suelo. La notación de eslabones (L#) y la de etapas comerciales (E1–E4, empleada en el comercio por etapa) son </w:t>
      </w:r>
      <w:r>
        <w:rPr>
          <w:b/>
          <w:i w:val="0"/>
        </w:rPr>
        <w:t>equivalentes de L1 a L4</w:t>
      </w:r>
      <w:r>
        <w:t xml:space="preserve">; se añade L0 para ubicar la dotación previa a toda actividad. La </w:t>
      </w:r>
      <w:r>
        <w:rPr>
          <w:b w:val="0"/>
          <w:i/>
        </w:rPr>
        <w:t>ele</w:t>
      </w:r>
      <w:r>
        <w:t xml:space="preserve"> de cada eslabón se lee, entonces, así:</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3050"/>
            <w:shd w:val="clear" w:color="auto" w:fill="E8E8E8"/>
          </w:tcPr>
          <w:p>
            <w:pPr>
              <w:jc w:val="left"/>
            </w:pPr>
            <w:r/>
            <w:r>
              <w:rPr>
                <w:b/>
                <w:sz w:val="18"/>
              </w:rPr>
              <w:t>Eslabón</w:t>
            </w:r>
          </w:p>
        </w:tc>
        <w:tc>
          <w:tcPr>
            <w:tcW w:type="dxa" w:w="1550"/>
            <w:shd w:val="clear" w:color="auto" w:fill="E8E8E8"/>
          </w:tcPr>
          <w:p>
            <w:pPr>
              <w:jc w:val="left"/>
            </w:pPr>
            <w:r/>
            <w:r>
              <w:rPr>
                <w:b/>
                <w:sz w:val="18"/>
              </w:rPr>
              <w:t>Equivale a</w:t>
            </w:r>
          </w:p>
        </w:tc>
        <w:tc>
          <w:tcPr>
            <w:tcW w:type="dxa" w:w="4238"/>
            <w:shd w:val="clear" w:color="auto" w:fill="E8E8E8"/>
          </w:tcPr>
          <w:p>
            <w:pPr>
              <w:jc w:val="left"/>
            </w:pPr>
            <w:r/>
            <w:r>
              <w:rPr>
                <w:b/>
                <w:sz w:val="18"/>
              </w:rPr>
              <w:t>Qué comprende</w:t>
            </w:r>
          </w:p>
        </w:tc>
      </w:tr>
      <w:tr>
        <w:tc>
          <w:tcPr>
            <w:tcW w:type="dxa" w:w="3050"/>
          </w:tcPr>
          <w:p>
            <w:pPr>
              <w:jc w:val="left"/>
            </w:pPr>
            <w:r/>
            <w:r>
              <w:rPr>
                <w:sz w:val="18"/>
              </w:rPr>
              <w:t>L0 · Recurso</w:t>
            </w:r>
          </w:p>
        </w:tc>
        <w:tc>
          <w:tcPr>
            <w:tcW w:type="dxa" w:w="1550"/>
          </w:tcPr>
          <w:p>
            <w:pPr>
              <w:jc w:val="left"/>
            </w:pPr>
            <w:r/>
            <w:r>
              <w:rPr>
                <w:sz w:val="18"/>
              </w:rPr>
              <w:t>—</w:t>
            </w:r>
          </w:p>
        </w:tc>
        <w:tc>
          <w:tcPr>
            <w:tcW w:type="dxa" w:w="4238"/>
          </w:tcPr>
          <w:p>
            <w:pPr>
              <w:jc w:val="left"/>
            </w:pPr>
            <w:r/>
            <w:r>
              <w:rPr>
                <w:sz w:val="18"/>
              </w:rPr>
              <w:t>Dotación geológica (reservas, yacimiento), previa a toda actividad.</w:t>
            </w:r>
          </w:p>
        </w:tc>
      </w:tr>
      <w:tr>
        <w:tc>
          <w:tcPr>
            <w:tcW w:type="dxa" w:w="3050"/>
          </w:tcPr>
          <w:p>
            <w:pPr>
              <w:jc w:val="left"/>
            </w:pPr>
            <w:r/>
            <w:r>
              <w:rPr>
                <w:sz w:val="18"/>
              </w:rPr>
              <w:t>L1 · Extracción y beneficio</w:t>
            </w:r>
          </w:p>
        </w:tc>
        <w:tc>
          <w:tcPr>
            <w:tcW w:type="dxa" w:w="1550"/>
          </w:tcPr>
          <w:p>
            <w:pPr>
              <w:jc w:val="left"/>
            </w:pPr>
            <w:r/>
            <w:r>
              <w:rPr>
                <w:sz w:val="18"/>
              </w:rPr>
              <w:t>Fase 1 / E1</w:t>
            </w:r>
          </w:p>
        </w:tc>
        <w:tc>
          <w:tcPr>
            <w:tcW w:type="dxa" w:w="4238"/>
          </w:tcPr>
          <w:p>
            <w:pPr>
              <w:jc w:val="left"/>
            </w:pPr>
            <w:r/>
            <w:r>
              <w:rPr>
                <w:sz w:val="18"/>
              </w:rPr>
              <w:t>Mina → mena y concentrado.</w:t>
            </w:r>
          </w:p>
        </w:tc>
      </w:tr>
      <w:tr>
        <w:tc>
          <w:tcPr>
            <w:tcW w:type="dxa" w:w="3050"/>
          </w:tcPr>
          <w:p>
            <w:pPr>
              <w:jc w:val="left"/>
            </w:pPr>
            <w:r/>
            <w:r>
              <w:rPr>
                <w:sz w:val="18"/>
              </w:rPr>
              <w:t>L2 · Fundición-refinación o química primaria</w:t>
            </w:r>
          </w:p>
        </w:tc>
        <w:tc>
          <w:tcPr>
            <w:tcW w:type="dxa" w:w="1550"/>
          </w:tcPr>
          <w:p>
            <w:pPr>
              <w:jc w:val="left"/>
            </w:pPr>
            <w:r/>
            <w:r>
              <w:rPr>
                <w:sz w:val="18"/>
              </w:rPr>
              <w:t>Fase 2 / E2</w:t>
            </w:r>
          </w:p>
        </w:tc>
        <w:tc>
          <w:tcPr>
            <w:tcW w:type="dxa" w:w="4238"/>
          </w:tcPr>
          <w:p>
            <w:pPr>
              <w:jc w:val="left"/>
            </w:pPr>
            <w:r/>
            <w:r>
              <w:rPr>
                <w:sz w:val="18"/>
              </w:rPr>
              <w:t>Concentrado → metal refinado o compuesto químico básico.</w:t>
            </w:r>
          </w:p>
        </w:tc>
      </w:tr>
      <w:tr>
        <w:tc>
          <w:tcPr>
            <w:tcW w:type="dxa" w:w="3050"/>
          </w:tcPr>
          <w:p>
            <w:pPr>
              <w:jc w:val="left"/>
            </w:pPr>
            <w:r/>
            <w:r>
              <w:rPr>
                <w:sz w:val="18"/>
              </w:rPr>
              <w:t>L3 · Semimanufactura</w:t>
            </w:r>
          </w:p>
        </w:tc>
        <w:tc>
          <w:tcPr>
            <w:tcW w:type="dxa" w:w="1550"/>
          </w:tcPr>
          <w:p>
            <w:pPr>
              <w:jc w:val="left"/>
            </w:pPr>
            <w:r/>
            <w:r>
              <w:rPr>
                <w:sz w:val="18"/>
              </w:rPr>
              <w:t>Fase 3 / E3</w:t>
            </w:r>
          </w:p>
        </w:tc>
        <w:tc>
          <w:tcPr>
            <w:tcW w:type="dxa" w:w="4238"/>
          </w:tcPr>
          <w:p>
            <w:pPr>
              <w:jc w:val="left"/>
            </w:pPr>
            <w:r/>
            <w:r>
              <w:rPr>
                <w:sz w:val="18"/>
              </w:rPr>
              <w:t>Metal → productos semielaborados.</w:t>
            </w:r>
          </w:p>
        </w:tc>
      </w:tr>
      <w:tr>
        <w:tc>
          <w:tcPr>
            <w:tcW w:type="dxa" w:w="3050"/>
          </w:tcPr>
          <w:p>
            <w:pPr>
              <w:jc w:val="left"/>
            </w:pPr>
            <w:r/>
            <w:r>
              <w:rPr>
                <w:sz w:val="18"/>
              </w:rPr>
              <w:t>L4 · Manufactura final y uso</w:t>
            </w:r>
          </w:p>
        </w:tc>
        <w:tc>
          <w:tcPr>
            <w:tcW w:type="dxa" w:w="1550"/>
          </w:tcPr>
          <w:p>
            <w:pPr>
              <w:jc w:val="left"/>
            </w:pPr>
            <w:r/>
            <w:r>
              <w:rPr>
                <w:sz w:val="18"/>
              </w:rPr>
              <w:t>Fase 4 / E4</w:t>
            </w:r>
          </w:p>
        </w:tc>
        <w:tc>
          <w:tcPr>
            <w:tcW w:type="dxa" w:w="4238"/>
          </w:tcPr>
          <w:p>
            <w:pPr>
              <w:jc w:val="left"/>
            </w:pPr>
            <w:r/>
            <w:r>
              <w:rPr>
                <w:sz w:val="18"/>
              </w:rPr>
              <w:t>Bien que incorpora el mineral; industria usuaria.</w:t>
            </w:r>
          </w:p>
        </w:tc>
      </w:tr>
    </w:tbl>
    <w:p>
      <w:pPr>
        <w:spacing w:before="40" w:after="160"/>
      </w:pPr>
      <w:r>
        <w:rPr>
          <w:i/>
          <w:sz w:val="16"/>
        </w:rPr>
        <w:t>Cuadro VI.1bis. Los cinco eslabones de la cadena (notación L0–L4) y su equivalencia con las fases y las etapas comerciales E1–E4.</w:t>
      </w:r>
    </w:p>
    <w:p>
      <w:pPr>
        <w:spacing w:after="120" w:line="276" w:lineRule="auto"/>
        <w:jc w:val="both"/>
      </w:pPr>
      <w:r>
        <w:t xml:space="preserve">El eslabón de la secuencia donde México deja de agregar valor —el </w:t>
      </w:r>
      <w:r>
        <w:rPr>
          <w:b/>
          <w:i w:val="0"/>
        </w:rPr>
        <w:t>punto de ruptura</w:t>
      </w:r>
      <w:r>
        <w:t>— es el descriptor central de la posición de cada mineral. Sobre esta notación se construyen las diez fichas de cadena de valor, que cuantifican cada eslabón y localizan ese punto (VI.8), y de ella se deriva la tipología (VI.7).</w:t>
      </w:r>
    </w:p>
    <w:p>
      <w:pPr>
        <w:spacing w:before="280" w:after="120"/>
      </w:pPr>
      <w:r>
        <w:rPr>
          <w:b/>
          <w:color w:val="1A1A1A"/>
          <w:sz w:val="28"/>
        </w:rPr>
        <w:t>VI.3  Perfil de cada mercado</w:t>
      </w:r>
    </w:p>
    <w:p>
      <w:pPr>
        <w:spacing w:before="200" w:after="80"/>
      </w:pPr>
      <w:r>
        <w:rPr>
          <w:b/>
          <w:color w:val="333333"/>
          <w:sz w:val="24"/>
        </w:rPr>
        <w:t>VI.3.1  Cobre</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 (mena/concentrado)</w:t>
            </w:r>
          </w:p>
        </w:tc>
        <w:tc>
          <w:tcPr>
            <w:tcW w:type="dxa" w:w="4938"/>
          </w:tcPr>
          <w:p>
            <w:pPr>
              <w:jc w:val="left"/>
            </w:pPr>
            <w:r/>
            <w:r>
              <w:rPr>
                <w:sz w:val="18"/>
              </w:rPr>
              <w:t>Mineral de cobre (sulfuros, calcopirita); concentrado de cobre (~25–30% Cu); cátodo SX-EW.</w:t>
            </w:r>
          </w:p>
        </w:tc>
        <w:tc>
          <w:tcPr>
            <w:tcW w:type="dxa" w:w="1450"/>
          </w:tcPr>
          <w:p>
            <w:pPr>
              <w:jc w:val="left"/>
            </w:pPr>
            <w:r/>
            <w:r>
              <w:rPr>
                <w:sz w:val="18"/>
              </w:rPr>
              <w:t>2603</w:t>
            </w:r>
          </w:p>
        </w:tc>
      </w:tr>
      <w:tr>
        <w:tc>
          <w:tcPr>
            <w:tcW w:type="dxa" w:w="2450"/>
          </w:tcPr>
          <w:p>
            <w:pPr>
              <w:jc w:val="left"/>
            </w:pPr>
            <w:r/>
            <w:r>
              <w:rPr>
                <w:sz w:val="18"/>
              </w:rPr>
              <w:t>Fase 2 · Transformación primaria (metal refinado)</w:t>
            </w:r>
          </w:p>
        </w:tc>
        <w:tc>
          <w:tcPr>
            <w:tcW w:type="dxa" w:w="4938"/>
          </w:tcPr>
          <w:p>
            <w:pPr>
              <w:jc w:val="left"/>
            </w:pPr>
            <w:r/>
            <w:r>
              <w:rPr>
                <w:sz w:val="18"/>
              </w:rPr>
              <w:t>Mata de cobre; cobre blíster y ánodos; cátodo de cobre refinado (99.99%); aleaciones madre.</w:t>
            </w:r>
          </w:p>
        </w:tc>
        <w:tc>
          <w:tcPr>
            <w:tcW w:type="dxa" w:w="1450"/>
          </w:tcPr>
          <w:p>
            <w:pPr>
              <w:jc w:val="left"/>
            </w:pPr>
            <w:r/>
            <w:r>
              <w:rPr>
                <w:sz w:val="18"/>
              </w:rPr>
              <w:t>7401–7403, 7405</w:t>
            </w:r>
          </w:p>
        </w:tc>
      </w:tr>
      <w:tr>
        <w:tc>
          <w:tcPr>
            <w:tcW w:type="dxa" w:w="2450"/>
          </w:tcPr>
          <w:p>
            <w:pPr>
              <w:jc w:val="left"/>
            </w:pPr>
            <w:r/>
            <w:r>
              <w:rPr>
                <w:sz w:val="18"/>
              </w:rPr>
              <w:t>Fase 3 · Semimanufactura</w:t>
            </w:r>
          </w:p>
        </w:tc>
        <w:tc>
          <w:tcPr>
            <w:tcW w:type="dxa" w:w="4938"/>
          </w:tcPr>
          <w:p>
            <w:pPr>
              <w:jc w:val="left"/>
            </w:pPr>
            <w:r/>
            <w:r>
              <w:rPr>
                <w:sz w:val="18"/>
              </w:rPr>
              <w:t>Alambrón; alambre; barras y perfiles; láminas, tiras y hojas; tubos y accesorios; cables trenzados.</w:t>
            </w:r>
          </w:p>
        </w:tc>
        <w:tc>
          <w:tcPr>
            <w:tcW w:type="dxa" w:w="1450"/>
          </w:tcPr>
          <w:p>
            <w:pPr>
              <w:jc w:val="left"/>
            </w:pPr>
            <w:r/>
            <w:r>
              <w:rPr>
                <w:sz w:val="18"/>
              </w:rPr>
              <w:t>7407–7413</w:t>
            </w:r>
          </w:p>
        </w:tc>
      </w:tr>
      <w:tr>
        <w:tc>
          <w:tcPr>
            <w:tcW w:type="dxa" w:w="2450"/>
          </w:tcPr>
          <w:p>
            <w:pPr>
              <w:jc w:val="left"/>
            </w:pPr>
            <w:r/>
            <w:r>
              <w:rPr>
                <w:sz w:val="18"/>
              </w:rPr>
              <w:t>Fase 4 · Manufactura (bien final)</w:t>
            </w:r>
          </w:p>
        </w:tc>
        <w:tc>
          <w:tcPr>
            <w:tcW w:type="dxa" w:w="4938"/>
          </w:tcPr>
          <w:p>
            <w:pPr>
              <w:jc w:val="left"/>
            </w:pPr>
            <w:r/>
            <w:r>
              <w:rPr>
                <w:sz w:val="18"/>
              </w:rPr>
              <w:t>Conductores y cables eléctricos aislados; conexiones; artículos de cobre.</w:t>
            </w:r>
          </w:p>
        </w:tc>
        <w:tc>
          <w:tcPr>
            <w:tcW w:type="dxa" w:w="1450"/>
          </w:tcPr>
          <w:p>
            <w:pPr>
              <w:jc w:val="left"/>
            </w:pPr>
            <w:r/>
            <w:r>
              <w:rPr>
                <w:sz w:val="18"/>
              </w:rPr>
              <w:t>7415, 7418, 7419, 8544</w:t>
            </w:r>
          </w:p>
        </w:tc>
      </w:tr>
    </w:tbl>
    <w:p>
      <w:pPr>
        <w:spacing w:before="40" w:after="160"/>
      </w:pPr>
      <w:r>
        <w:rPr>
          <w:i/>
          <w:sz w:val="16"/>
        </w:rPr>
        <w:t>Cuadro VI.2. Productos por fase de la cadena de valor — Cobre.</w:t>
      </w:r>
    </w:p>
    <w:p>
      <w:pPr>
        <w:spacing w:after="120" w:line="276" w:lineRule="auto"/>
        <w:jc w:val="both"/>
      </w:pPr>
      <w:r>
        <w:rPr>
          <w:b/>
          <w:i w:val="0"/>
        </w:rPr>
        <w:t xml:space="preserve">Estructura extractiva. </w:t>
      </w:r>
      <w:r>
        <w:t>Alta (HHI ≈ 3,650) — Grupo México dominante (~60% de la producción).</w:t>
      </w:r>
      <w:r>
        <w:t xml:space="preserve"> </w:t>
      </w:r>
      <w:r>
        <w:rPr>
          <w:b/>
          <w:i w:val="0"/>
        </w:rPr>
        <w:t xml:space="preserve">Encadenamiento hacia adelante (Ghosh): </w:t>
      </w:r>
      <w:r>
        <w:t>1.34 (sobre la media)</w:t>
      </w:r>
      <w:r>
        <w:t>.</w:t>
      </w:r>
    </w:p>
    <w:p>
      <w:pPr>
        <w:spacing w:after="120" w:line="276" w:lineRule="auto"/>
        <w:jc w:val="both"/>
      </w:pPr>
      <w:r>
        <w:rPr>
          <w:b/>
          <w:i w:val="0"/>
        </w:rPr>
        <w:t xml:space="preserve">Posición comercial. </w:t>
      </w:r>
      <w:r>
        <w:t>Exporta mena/concentrado (61%→80% de sus exportaciones 2018–2023) e importa semimanufacturas.</w:t>
      </w:r>
    </w:p>
    <w:p>
      <w:pPr>
        <w:spacing w:after="120" w:line="276" w:lineRule="auto"/>
        <w:jc w:val="both"/>
      </w:pPr>
      <w:r>
        <w:rPr>
          <w:b/>
          <w:i w:val="0"/>
        </w:rPr>
        <w:t xml:space="preserve">Cadena local. </w:t>
      </w:r>
      <w:r>
        <w:t>Fundición y refinación (Grupo México: La Caridad, Cananea; Cobre de México) y algo de semis (Viakable, Condumex).</w:t>
      </w:r>
    </w:p>
    <w:p>
      <w:pPr>
        <w:spacing w:after="120" w:line="276" w:lineRule="auto"/>
        <w:jc w:val="both"/>
      </w:pPr>
      <w:r>
        <w:rPr>
          <w:b/>
          <w:i w:val="0"/>
        </w:rPr>
        <w:t xml:space="preserve">Lectura. </w:t>
      </w:r>
      <w:r>
        <w:t>Cadena parcial: llega al refinado y a algunos semis; la manufactura de conductores no absorbe todo el metal, que se exporta.</w:t>
      </w:r>
    </w:p>
    <w:p>
      <w:pPr>
        <w:spacing w:before="200" w:after="80"/>
      </w:pPr>
      <w:r>
        <w:rPr>
          <w:b/>
          <w:color w:val="333333"/>
          <w:sz w:val="24"/>
        </w:rPr>
        <w:t>VI.3.2  Plomo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Concentrado de plomo (galena, PbS).</w:t>
            </w:r>
          </w:p>
        </w:tc>
        <w:tc>
          <w:tcPr>
            <w:tcW w:type="dxa" w:w="1450"/>
          </w:tcPr>
          <w:p>
            <w:pPr>
              <w:jc w:val="left"/>
            </w:pPr>
            <w:r/>
            <w:r>
              <w:rPr>
                <w:sz w:val="18"/>
              </w:rPr>
              <w:t>2607</w:t>
            </w:r>
          </w:p>
        </w:tc>
      </w:tr>
      <w:tr>
        <w:tc>
          <w:tcPr>
            <w:tcW w:type="dxa" w:w="2450"/>
          </w:tcPr>
          <w:p>
            <w:pPr>
              <w:jc w:val="left"/>
            </w:pPr>
            <w:r/>
            <w:r>
              <w:rPr>
                <w:sz w:val="18"/>
              </w:rPr>
              <w:t>Fase 2 · Metal refinado</w:t>
            </w:r>
          </w:p>
        </w:tc>
        <w:tc>
          <w:tcPr>
            <w:tcW w:type="dxa" w:w="4938"/>
          </w:tcPr>
          <w:p>
            <w:pPr>
              <w:jc w:val="left"/>
            </w:pPr>
            <w:r/>
            <w:r>
              <w:rPr>
                <w:sz w:val="18"/>
              </w:rPr>
              <w:t>Plomo en bruto y refinado (lingote); plomo antimonial.</w:t>
            </w:r>
          </w:p>
        </w:tc>
        <w:tc>
          <w:tcPr>
            <w:tcW w:type="dxa" w:w="1450"/>
          </w:tcPr>
          <w:p>
            <w:pPr>
              <w:jc w:val="left"/>
            </w:pPr>
            <w:r/>
            <w:r>
              <w:rPr>
                <w:sz w:val="18"/>
              </w:rPr>
              <w:t>7801</w:t>
            </w:r>
          </w:p>
        </w:tc>
      </w:tr>
      <w:tr>
        <w:tc>
          <w:tcPr>
            <w:tcW w:type="dxa" w:w="2450"/>
          </w:tcPr>
          <w:p>
            <w:pPr>
              <w:jc w:val="left"/>
            </w:pPr>
            <w:r/>
            <w:r>
              <w:rPr>
                <w:sz w:val="18"/>
              </w:rPr>
              <w:t>Fase 3 · Semimanufactura</w:t>
            </w:r>
          </w:p>
        </w:tc>
        <w:tc>
          <w:tcPr>
            <w:tcW w:type="dxa" w:w="4938"/>
          </w:tcPr>
          <w:p>
            <w:pPr>
              <w:jc w:val="left"/>
            </w:pPr>
            <w:r/>
            <w:r>
              <w:rPr>
                <w:sz w:val="18"/>
              </w:rPr>
              <w:t>Planchas, hojas, tiras, tubos y polvo de plomo.</w:t>
            </w:r>
          </w:p>
        </w:tc>
        <w:tc>
          <w:tcPr>
            <w:tcW w:type="dxa" w:w="1450"/>
          </w:tcPr>
          <w:p>
            <w:pPr>
              <w:jc w:val="left"/>
            </w:pPr>
            <w:r/>
            <w:r>
              <w:rPr>
                <w:sz w:val="18"/>
              </w:rPr>
              <w:t>7804</w:t>
            </w:r>
          </w:p>
        </w:tc>
      </w:tr>
      <w:tr>
        <w:tc>
          <w:tcPr>
            <w:tcW w:type="dxa" w:w="2450"/>
          </w:tcPr>
          <w:p>
            <w:pPr>
              <w:jc w:val="left"/>
            </w:pPr>
            <w:r/>
            <w:r>
              <w:rPr>
                <w:sz w:val="18"/>
              </w:rPr>
              <w:t>Fase 4 · Manufactura</w:t>
            </w:r>
          </w:p>
        </w:tc>
        <w:tc>
          <w:tcPr>
            <w:tcW w:type="dxa" w:w="4938"/>
          </w:tcPr>
          <w:p>
            <w:pPr>
              <w:jc w:val="left"/>
            </w:pPr>
            <w:r/>
            <w:r>
              <w:rPr>
                <w:sz w:val="18"/>
              </w:rPr>
              <w:t>Acumuladores (baterías) plomo-ácido; óxidos (litargirio, minio); municiones y blindajes.</w:t>
            </w:r>
          </w:p>
        </w:tc>
        <w:tc>
          <w:tcPr>
            <w:tcW w:type="dxa" w:w="1450"/>
          </w:tcPr>
          <w:p>
            <w:pPr>
              <w:jc w:val="left"/>
            </w:pPr>
            <w:r/>
            <w:r>
              <w:rPr>
                <w:sz w:val="18"/>
              </w:rPr>
              <w:t>7806, 8507</w:t>
            </w:r>
          </w:p>
        </w:tc>
      </w:tr>
    </w:tbl>
    <w:p>
      <w:pPr>
        <w:spacing w:before="40" w:after="160"/>
      </w:pPr>
      <w:r>
        <w:rPr>
          <w:i/>
          <w:sz w:val="16"/>
        </w:rPr>
        <w:t>Cuadro VI.3. Productos por fase de la cadena de valor — Plomo.</w:t>
      </w:r>
    </w:p>
    <w:p>
      <w:pPr>
        <w:spacing w:after="120" w:line="276" w:lineRule="auto"/>
        <w:jc w:val="both"/>
      </w:pPr>
      <w:r>
        <w:rPr>
          <w:b/>
          <w:i w:val="0"/>
        </w:rPr>
        <w:t xml:space="preserve">Estructura extractiva. </w:t>
      </w:r>
      <w:r>
        <w:t>Baja-moderada (HHI ≈ 1,450) — liderazgo rotatorio (Newmont/Peñoles/Fresnillo).</w:t>
      </w:r>
      <w:r>
        <w:t xml:space="preserve"> </w:t>
      </w:r>
      <w:r>
        <w:rPr>
          <w:b/>
          <w:i w:val="0"/>
        </w:rPr>
        <w:t xml:space="preserve">Encadenamiento hacia adelante (Ghosh): </w:t>
      </w:r>
      <w:r>
        <w:t>0.71 (bajo; conjunto plomo-zinc en la MIP)</w:t>
      </w:r>
      <w:r>
        <w:t>.</w:t>
      </w:r>
    </w:p>
    <w:p>
      <w:pPr>
        <w:spacing w:after="120" w:line="276" w:lineRule="auto"/>
        <w:jc w:val="both"/>
      </w:pPr>
      <w:r>
        <w:rPr>
          <w:b/>
          <w:i w:val="0"/>
        </w:rPr>
        <w:t xml:space="preserve">Posición comercial. </w:t>
      </w:r>
      <w:r>
        <w:t>Exporta concentrado (78–87%); refina parte.</w:t>
      </w:r>
    </w:p>
    <w:p>
      <w:pPr>
        <w:spacing w:after="120" w:line="276" w:lineRule="auto"/>
        <w:jc w:val="both"/>
      </w:pPr>
      <w:r>
        <w:rPr>
          <w:b/>
          <w:i w:val="0"/>
        </w:rPr>
        <w:t xml:space="preserve">Cadena local. </w:t>
      </w:r>
      <w:r>
        <w:t>Refinación (Met-Mex Peñoles) y baterías (Clarios/LTH).</w:t>
      </w:r>
    </w:p>
    <w:p>
      <w:pPr>
        <w:spacing w:after="120" w:line="276" w:lineRule="auto"/>
        <w:jc w:val="both"/>
      </w:pPr>
      <w:r>
        <w:rPr>
          <w:b/>
          <w:i w:val="0"/>
        </w:rPr>
        <w:t xml:space="preserve">Lectura. </w:t>
      </w:r>
      <w:r>
        <w:t>Exporta concentrado; refina; único vínculo manufacturero relevante (baterías).</w:t>
      </w:r>
    </w:p>
    <w:p>
      <w:pPr>
        <w:spacing w:before="200" w:after="80"/>
      </w:pPr>
      <w:r>
        <w:rPr>
          <w:b/>
          <w:color w:val="333333"/>
          <w:sz w:val="24"/>
        </w:rPr>
        <w:t>VI.3.3  Zinc</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Concentrado de zinc (esfalerita, ZnS).</w:t>
            </w:r>
          </w:p>
        </w:tc>
        <w:tc>
          <w:tcPr>
            <w:tcW w:type="dxa" w:w="1450"/>
          </w:tcPr>
          <w:p>
            <w:pPr>
              <w:jc w:val="left"/>
            </w:pPr>
            <w:r/>
            <w:r>
              <w:rPr>
                <w:sz w:val="18"/>
              </w:rPr>
              <w:t>2608</w:t>
            </w:r>
          </w:p>
        </w:tc>
      </w:tr>
      <w:tr>
        <w:tc>
          <w:tcPr>
            <w:tcW w:type="dxa" w:w="2450"/>
          </w:tcPr>
          <w:p>
            <w:pPr>
              <w:jc w:val="left"/>
            </w:pPr>
            <w:r/>
            <w:r>
              <w:rPr>
                <w:sz w:val="18"/>
              </w:rPr>
              <w:t>Fase 2 · Metal refinado</w:t>
            </w:r>
          </w:p>
        </w:tc>
        <w:tc>
          <w:tcPr>
            <w:tcW w:type="dxa" w:w="4938"/>
          </w:tcPr>
          <w:p>
            <w:pPr>
              <w:jc w:val="left"/>
            </w:pPr>
            <w:r/>
            <w:r>
              <w:rPr>
                <w:sz w:val="18"/>
              </w:rPr>
              <w:t>Zinc en bruto y refinado (SHG); aleaciones (zamak).</w:t>
            </w:r>
          </w:p>
        </w:tc>
        <w:tc>
          <w:tcPr>
            <w:tcW w:type="dxa" w:w="1450"/>
          </w:tcPr>
          <w:p>
            <w:pPr>
              <w:jc w:val="left"/>
            </w:pPr>
            <w:r/>
            <w:r>
              <w:rPr>
                <w:sz w:val="18"/>
              </w:rPr>
              <w:t>7901</w:t>
            </w:r>
          </w:p>
        </w:tc>
      </w:tr>
      <w:tr>
        <w:tc>
          <w:tcPr>
            <w:tcW w:type="dxa" w:w="2450"/>
          </w:tcPr>
          <w:p>
            <w:pPr>
              <w:jc w:val="left"/>
            </w:pPr>
            <w:r/>
            <w:r>
              <w:rPr>
                <w:sz w:val="18"/>
              </w:rPr>
              <w:t>Fase 3 · Semimanufactura</w:t>
            </w:r>
          </w:p>
        </w:tc>
        <w:tc>
          <w:tcPr>
            <w:tcW w:type="dxa" w:w="4938"/>
          </w:tcPr>
          <w:p>
            <w:pPr>
              <w:jc w:val="left"/>
            </w:pPr>
            <w:r/>
            <w:r>
              <w:rPr>
                <w:sz w:val="18"/>
              </w:rPr>
              <w:t>Polvo y escamas de zinc; barras, perfiles y alambre; láminas y tiras.</w:t>
            </w:r>
          </w:p>
        </w:tc>
        <w:tc>
          <w:tcPr>
            <w:tcW w:type="dxa" w:w="1450"/>
          </w:tcPr>
          <w:p>
            <w:pPr>
              <w:jc w:val="left"/>
            </w:pPr>
            <w:r/>
            <w:r>
              <w:rPr>
                <w:sz w:val="18"/>
              </w:rPr>
              <w:t>7903–7905</w:t>
            </w:r>
          </w:p>
        </w:tc>
      </w:tr>
      <w:tr>
        <w:tc>
          <w:tcPr>
            <w:tcW w:type="dxa" w:w="2450"/>
          </w:tcPr>
          <w:p>
            <w:pPr>
              <w:jc w:val="left"/>
            </w:pPr>
            <w:r/>
            <w:r>
              <w:rPr>
                <w:sz w:val="18"/>
              </w:rPr>
              <w:t>Fase 4 · Manufactura</w:t>
            </w:r>
          </w:p>
        </w:tc>
        <w:tc>
          <w:tcPr>
            <w:tcW w:type="dxa" w:w="4938"/>
          </w:tcPr>
          <w:p>
            <w:pPr>
              <w:jc w:val="left"/>
            </w:pPr>
            <w:r/>
            <w:r>
              <w:rPr>
                <w:sz w:val="18"/>
              </w:rPr>
              <w:t>Recubrimiento galvanizado de acero; óxido de zinc; artículos de zinc.</w:t>
            </w:r>
          </w:p>
        </w:tc>
        <w:tc>
          <w:tcPr>
            <w:tcW w:type="dxa" w:w="1450"/>
          </w:tcPr>
          <w:p>
            <w:pPr>
              <w:jc w:val="left"/>
            </w:pPr>
            <w:r/>
            <w:r>
              <w:rPr>
                <w:sz w:val="18"/>
              </w:rPr>
              <w:t>7907</w:t>
            </w:r>
          </w:p>
        </w:tc>
      </w:tr>
    </w:tbl>
    <w:p>
      <w:pPr>
        <w:spacing w:before="40" w:after="160"/>
      </w:pPr>
      <w:r>
        <w:rPr>
          <w:i/>
          <w:sz w:val="16"/>
        </w:rPr>
        <w:t>Cuadro VI.4. Productos por fase de la cadena de valor — Zinc.</w:t>
      </w:r>
    </w:p>
    <w:p>
      <w:pPr>
        <w:spacing w:after="120" w:line="276" w:lineRule="auto"/>
        <w:jc w:val="both"/>
      </w:pPr>
      <w:r>
        <w:rPr>
          <w:b/>
          <w:i w:val="0"/>
        </w:rPr>
        <w:t xml:space="preserve">Estructura extractiva. </w:t>
      </w:r>
      <w:r>
        <w:t>Baja-moderada (HHI ≈ 1,450) — Peñoles líder (~26%), varios productores.</w:t>
      </w:r>
      <w:r>
        <w:t xml:space="preserve"> </w:t>
      </w:r>
      <w:r>
        <w:rPr>
          <w:b/>
          <w:i w:val="0"/>
        </w:rPr>
        <w:t xml:space="preserve">Encadenamiento hacia adelante (Ghosh): </w:t>
      </w:r>
      <w:r>
        <w:t>0.71 (bajo; conjunto plomo-zinc)</w:t>
      </w:r>
      <w:r>
        <w:t>.</w:t>
      </w:r>
    </w:p>
    <w:p>
      <w:pPr>
        <w:spacing w:after="120" w:line="276" w:lineRule="auto"/>
        <w:jc w:val="both"/>
      </w:pPr>
      <w:r>
        <w:rPr>
          <w:b/>
          <w:i w:val="0"/>
        </w:rPr>
        <w:t xml:space="preserve">Posición comercial. </w:t>
      </w:r>
      <w:r>
        <w:t>Exporta concentrado y algo de zinc refinado (Torreón).</w:t>
      </w:r>
    </w:p>
    <w:p>
      <w:pPr>
        <w:spacing w:after="120" w:line="276" w:lineRule="auto"/>
        <w:jc w:val="both"/>
      </w:pPr>
      <w:r>
        <w:rPr>
          <w:b/>
          <w:i w:val="0"/>
        </w:rPr>
        <w:t xml:space="preserve">Cadena local. </w:t>
      </w:r>
      <w:r>
        <w:t>Refinación (Met-Mex Peñoles; IMMSA en S.L.P.); galvanizado del acero.</w:t>
      </w:r>
    </w:p>
    <w:p>
      <w:pPr>
        <w:spacing w:after="120" w:line="276" w:lineRule="auto"/>
        <w:jc w:val="both"/>
      </w:pPr>
      <w:r>
        <w:rPr>
          <w:b/>
          <w:i w:val="0"/>
        </w:rPr>
        <w:t xml:space="preserve">Lectura. </w:t>
      </w:r>
      <w:r>
        <w:t>Refina parcialmente; el grueso se exporta en concentrado.</w:t>
      </w:r>
    </w:p>
    <w:p>
      <w:pPr>
        <w:spacing w:before="200" w:after="80"/>
      </w:pPr>
      <w:r>
        <w:rPr>
          <w:b/>
          <w:color w:val="333333"/>
          <w:sz w:val="24"/>
        </w:rPr>
        <w:t>VI.3.4  Manganeso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Mineral de manganeso (óxidos y carbonatos); nódulos.</w:t>
            </w:r>
          </w:p>
        </w:tc>
        <w:tc>
          <w:tcPr>
            <w:tcW w:type="dxa" w:w="1450"/>
          </w:tcPr>
          <w:p>
            <w:pPr>
              <w:jc w:val="left"/>
            </w:pPr>
            <w:r/>
            <w:r>
              <w:rPr>
                <w:sz w:val="18"/>
              </w:rPr>
              <w:t>2602</w:t>
            </w:r>
          </w:p>
        </w:tc>
      </w:tr>
      <w:tr>
        <w:tc>
          <w:tcPr>
            <w:tcW w:type="dxa" w:w="2450"/>
          </w:tcPr>
          <w:p>
            <w:pPr>
              <w:jc w:val="left"/>
            </w:pPr>
            <w:r/>
            <w:r>
              <w:rPr>
                <w:sz w:val="18"/>
              </w:rPr>
              <w:t>Fase 2 · Ferroaleaciones y químicos</w:t>
            </w:r>
          </w:p>
        </w:tc>
        <w:tc>
          <w:tcPr>
            <w:tcW w:type="dxa" w:w="4938"/>
          </w:tcPr>
          <w:p>
            <w:pPr>
              <w:jc w:val="left"/>
            </w:pPr>
            <w:r/>
            <w:r>
              <w:rPr>
                <w:sz w:val="18"/>
              </w:rPr>
              <w:t>Ferromanganeso (alto/bajo carbono); silicomanganeso; manganeso metálico; dióxido de manganeso (MnO₂).</w:t>
            </w:r>
          </w:p>
        </w:tc>
        <w:tc>
          <w:tcPr>
            <w:tcW w:type="dxa" w:w="1450"/>
          </w:tcPr>
          <w:p>
            <w:pPr>
              <w:jc w:val="left"/>
            </w:pPr>
            <w:r/>
            <w:r>
              <w:rPr>
                <w:sz w:val="18"/>
              </w:rPr>
              <w:t>720211/19/30, 8111, 282010</w:t>
            </w:r>
          </w:p>
        </w:tc>
      </w:tr>
      <w:tr>
        <w:tc>
          <w:tcPr>
            <w:tcW w:type="dxa" w:w="2450"/>
          </w:tcPr>
          <w:p>
            <w:pPr>
              <w:jc w:val="left"/>
            </w:pPr>
            <w:r/>
            <w:r>
              <w:rPr>
                <w:sz w:val="18"/>
              </w:rPr>
              <w:t>Fase 3–4 · Usos</w:t>
            </w:r>
          </w:p>
        </w:tc>
        <w:tc>
          <w:tcPr>
            <w:tcW w:type="dxa" w:w="4938"/>
          </w:tcPr>
          <w:p>
            <w:pPr>
              <w:jc w:val="left"/>
            </w:pPr>
            <w:r/>
            <w:r>
              <w:rPr>
                <w:sz w:val="18"/>
              </w:rPr>
              <w:t>Acero (aleante y desoxidante); pilas secas (MnO₂); fertilizantes y químicos; aleaciones de aluminio.</w:t>
            </w:r>
          </w:p>
        </w:tc>
        <w:tc>
          <w:tcPr>
            <w:tcW w:type="dxa" w:w="1450"/>
          </w:tcPr>
          <w:p>
            <w:pPr>
              <w:jc w:val="left"/>
            </w:pPr>
            <w:r/>
            <w:r>
              <w:rPr>
                <w:sz w:val="18"/>
              </w:rPr>
              <w:t>(insumo)</w:t>
            </w:r>
          </w:p>
        </w:tc>
      </w:tr>
    </w:tbl>
    <w:p>
      <w:pPr>
        <w:spacing w:before="40" w:after="160"/>
      </w:pPr>
      <w:r>
        <w:rPr>
          <w:i/>
          <w:sz w:val="16"/>
        </w:rPr>
        <w:t>Cuadro VI.5. Productos por fase de la cadena de valor — Manganeso.</w:t>
      </w:r>
    </w:p>
    <w:p>
      <w:pPr>
        <w:spacing w:after="120" w:line="276" w:lineRule="auto"/>
        <w:jc w:val="both"/>
      </w:pPr>
      <w:r>
        <w:rPr>
          <w:b/>
          <w:i w:val="0"/>
        </w:rPr>
        <w:t xml:space="preserve">Estructura extractiva. </w:t>
      </w:r>
      <w:r>
        <w:t>Máxima — Autlán, productor único (HHI ≈ 10,000).</w:t>
      </w:r>
      <w:r>
        <w:t xml:space="preserve"> </w:t>
      </w:r>
      <w:r>
        <w:rPr>
          <w:b/>
          <w:i w:val="0"/>
        </w:rPr>
        <w:t xml:space="preserve">Encadenamiento hacia adelante (Ghosh): </w:t>
      </w:r>
      <w:r>
        <w:t>1.54 (alto)</w:t>
      </w:r>
      <w:r>
        <w:t>.</w:t>
      </w:r>
    </w:p>
    <w:p>
      <w:pPr>
        <w:spacing w:after="120" w:line="276" w:lineRule="auto"/>
        <w:jc w:val="both"/>
      </w:pPr>
      <w:r>
        <w:rPr>
          <w:b/>
          <w:i w:val="0"/>
        </w:rPr>
        <w:t xml:space="preserve">Posición comercial. </w:t>
      </w:r>
      <w:r>
        <w:t>Exporta poco; importa químicos de manganeso.</w:t>
      </w:r>
    </w:p>
    <w:p>
      <w:pPr>
        <w:spacing w:after="120" w:line="276" w:lineRule="auto"/>
        <w:jc w:val="both"/>
      </w:pPr>
      <w:r>
        <w:rPr>
          <w:b/>
          <w:i w:val="0"/>
        </w:rPr>
        <w:t xml:space="preserve">Cadena local. </w:t>
      </w:r>
      <w:r>
        <w:t>La más integrada: Autlán, de la mina (Molango) a ferroaleaciones (Tamós, Teziutlán, Gómez Palacio) → siderurgia.</w:t>
      </w:r>
    </w:p>
    <w:p>
      <w:pPr>
        <w:spacing w:after="120" w:line="276" w:lineRule="auto"/>
        <w:jc w:val="both"/>
      </w:pPr>
      <w:r>
        <w:rPr>
          <w:b/>
          <w:i w:val="0"/>
        </w:rPr>
        <w:t xml:space="preserve">Lectura. </w:t>
      </w:r>
      <w:r>
        <w:t>Cadena local fuerte y vertical: es el caso con mayor transformación doméstica.</w:t>
      </w:r>
    </w:p>
    <w:p>
      <w:pPr>
        <w:spacing w:before="200" w:after="80"/>
      </w:pPr>
      <w:r>
        <w:rPr>
          <w:b/>
          <w:color w:val="333333"/>
          <w:sz w:val="24"/>
        </w:rPr>
        <w:t>VI.3.5  Oro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Mineral y concentrado de metales preciosos.</w:t>
            </w:r>
          </w:p>
        </w:tc>
        <w:tc>
          <w:tcPr>
            <w:tcW w:type="dxa" w:w="1450"/>
          </w:tcPr>
          <w:p>
            <w:pPr>
              <w:jc w:val="left"/>
            </w:pPr>
            <w:r/>
            <w:r>
              <w:rPr>
                <w:sz w:val="18"/>
              </w:rPr>
              <w:t>261610</w:t>
            </w:r>
          </w:p>
        </w:tc>
      </w:tr>
      <w:tr>
        <w:tc>
          <w:tcPr>
            <w:tcW w:type="dxa" w:w="2450"/>
          </w:tcPr>
          <w:p>
            <w:pPr>
              <w:jc w:val="left"/>
            </w:pPr>
            <w:r/>
            <w:r>
              <w:rPr>
                <w:sz w:val="18"/>
              </w:rPr>
              <w:t>Fase 2 · Metal refinado</w:t>
            </w:r>
          </w:p>
        </w:tc>
        <w:tc>
          <w:tcPr>
            <w:tcW w:type="dxa" w:w="4938"/>
          </w:tcPr>
          <w:p>
            <w:pPr>
              <w:jc w:val="left"/>
            </w:pPr>
            <w:r/>
            <w:r>
              <w:rPr>
                <w:sz w:val="18"/>
              </w:rPr>
              <w:t>Oro en bruto (doré, lingote); oro semilabrado y en polvo.</w:t>
            </w:r>
          </w:p>
        </w:tc>
        <w:tc>
          <w:tcPr>
            <w:tcW w:type="dxa" w:w="1450"/>
          </w:tcPr>
          <w:p>
            <w:pPr>
              <w:jc w:val="left"/>
            </w:pPr>
            <w:r/>
            <w:r>
              <w:rPr>
                <w:sz w:val="18"/>
              </w:rPr>
              <w:t>7108</w:t>
            </w:r>
          </w:p>
        </w:tc>
      </w:tr>
      <w:tr>
        <w:tc>
          <w:tcPr>
            <w:tcW w:type="dxa" w:w="2450"/>
          </w:tcPr>
          <w:p>
            <w:pPr>
              <w:jc w:val="left"/>
            </w:pPr>
            <w:r/>
            <w:r>
              <w:rPr>
                <w:sz w:val="18"/>
              </w:rPr>
              <w:t>Fase 4 · Manufactura</w:t>
            </w:r>
          </w:p>
        </w:tc>
        <w:tc>
          <w:tcPr>
            <w:tcW w:type="dxa" w:w="4938"/>
          </w:tcPr>
          <w:p>
            <w:pPr>
              <w:jc w:val="left"/>
            </w:pPr>
            <w:r/>
            <w:r>
              <w:rPr>
                <w:sz w:val="18"/>
              </w:rPr>
              <w:t>Joyería y orfebrería; oro de inversión; oro para electrónica.</w:t>
            </w:r>
          </w:p>
        </w:tc>
        <w:tc>
          <w:tcPr>
            <w:tcW w:type="dxa" w:w="1450"/>
          </w:tcPr>
          <w:p>
            <w:pPr>
              <w:jc w:val="left"/>
            </w:pPr>
            <w:r/>
            <w:r>
              <w:rPr>
                <w:sz w:val="18"/>
              </w:rPr>
              <w:t>7113–7115</w:t>
            </w:r>
          </w:p>
        </w:tc>
      </w:tr>
    </w:tbl>
    <w:p>
      <w:pPr>
        <w:spacing w:before="40" w:after="160"/>
      </w:pPr>
      <w:r>
        <w:rPr>
          <w:i/>
          <w:sz w:val="16"/>
        </w:rPr>
        <w:t>Cuadro VI.6. Productos por fase de la cadena de valor — Oro.</w:t>
      </w:r>
    </w:p>
    <w:p>
      <w:pPr>
        <w:spacing w:after="120" w:line="276" w:lineRule="auto"/>
        <w:jc w:val="both"/>
      </w:pPr>
      <w:r>
        <w:rPr>
          <w:b/>
          <w:i w:val="0"/>
        </w:rPr>
        <w:t xml:space="preserve">Estructura extractiva. </w:t>
      </w:r>
      <w:r>
        <w:t>Baja (HHI ≈ 500) — mercado fragmentado; muchos productores nacionales y extranjeros, líder ~12–17%.</w:t>
      </w:r>
      <w:r>
        <w:t xml:space="preserve"> </w:t>
      </w:r>
      <w:r>
        <w:rPr>
          <w:b/>
          <w:i w:val="0"/>
        </w:rPr>
        <w:t xml:space="preserve">Encadenamiento hacia adelante (Ghosh): </w:t>
      </w:r>
      <w:r>
        <w:t>1.22 (≈ media)</w:t>
      </w:r>
      <w:r>
        <w:t>.</w:t>
      </w:r>
    </w:p>
    <w:p>
      <w:pPr>
        <w:spacing w:after="120" w:line="276" w:lineRule="auto"/>
        <w:jc w:val="both"/>
      </w:pPr>
      <w:r>
        <w:rPr>
          <w:b/>
          <w:i w:val="0"/>
        </w:rPr>
        <w:t xml:space="preserve">Posición comercial. </w:t>
      </w:r>
      <w:r>
        <w:t>Exporta oro en bruto/doré (~95%).</w:t>
      </w:r>
    </w:p>
    <w:p>
      <w:pPr>
        <w:spacing w:after="120" w:line="276" w:lineRule="auto"/>
        <w:jc w:val="both"/>
      </w:pPr>
      <w:r>
        <w:rPr>
          <w:b/>
          <w:i w:val="0"/>
        </w:rPr>
        <w:t xml:space="preserve">Cadena local. </w:t>
      </w:r>
      <w:r>
        <w:t>Refinación de metales preciosos (Met-Mex Peñoles); la joyería es importadora neta.</w:t>
      </w:r>
    </w:p>
    <w:p>
      <w:pPr>
        <w:spacing w:after="120" w:line="276" w:lineRule="auto"/>
        <w:jc w:val="both"/>
      </w:pPr>
      <w:r>
        <w:rPr>
          <w:b/>
          <w:i w:val="0"/>
        </w:rPr>
        <w:t xml:space="preserve">Lectura. </w:t>
      </w:r>
      <w:r>
        <w:t>Llega al metal refinado; no continúa a manufactura de valor.</w:t>
      </w:r>
    </w:p>
    <w:p>
      <w:pPr>
        <w:spacing w:before="200" w:after="80"/>
      </w:pPr>
      <w:r>
        <w:rPr>
          <w:b/>
          <w:color w:val="333333"/>
          <w:sz w:val="24"/>
        </w:rPr>
        <w:t>VI.3.6  Plata</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Mineral y concentrado de plata.</w:t>
            </w:r>
          </w:p>
        </w:tc>
        <w:tc>
          <w:tcPr>
            <w:tcW w:type="dxa" w:w="1450"/>
          </w:tcPr>
          <w:p>
            <w:pPr>
              <w:jc w:val="left"/>
            </w:pPr>
            <w:r/>
            <w:r>
              <w:rPr>
                <w:sz w:val="18"/>
              </w:rPr>
              <w:t>261690</w:t>
            </w:r>
          </w:p>
        </w:tc>
      </w:tr>
      <w:tr>
        <w:tc>
          <w:tcPr>
            <w:tcW w:type="dxa" w:w="2450"/>
          </w:tcPr>
          <w:p>
            <w:pPr>
              <w:jc w:val="left"/>
            </w:pPr>
            <w:r/>
            <w:r>
              <w:rPr>
                <w:sz w:val="18"/>
              </w:rPr>
              <w:t>Fase 2 · Metal refinado</w:t>
            </w:r>
          </w:p>
        </w:tc>
        <w:tc>
          <w:tcPr>
            <w:tcW w:type="dxa" w:w="4938"/>
          </w:tcPr>
          <w:p>
            <w:pPr>
              <w:jc w:val="left"/>
            </w:pPr>
            <w:r/>
            <w:r>
              <w:rPr>
                <w:sz w:val="18"/>
              </w:rPr>
              <w:t>Plata en bruto y refinada; semilabrada y en polvo.</w:t>
            </w:r>
          </w:p>
        </w:tc>
        <w:tc>
          <w:tcPr>
            <w:tcW w:type="dxa" w:w="1450"/>
          </w:tcPr>
          <w:p>
            <w:pPr>
              <w:jc w:val="left"/>
            </w:pPr>
            <w:r/>
            <w:r>
              <w:rPr>
                <w:sz w:val="18"/>
              </w:rPr>
              <w:t>7106</w:t>
            </w:r>
          </w:p>
        </w:tc>
      </w:tr>
      <w:tr>
        <w:tc>
          <w:tcPr>
            <w:tcW w:type="dxa" w:w="2450"/>
          </w:tcPr>
          <w:p>
            <w:pPr>
              <w:jc w:val="left"/>
            </w:pPr>
            <w:r/>
            <w:r>
              <w:rPr>
                <w:sz w:val="18"/>
              </w:rPr>
              <w:t>Fase 4 · Manufactura</w:t>
            </w:r>
          </w:p>
        </w:tc>
        <w:tc>
          <w:tcPr>
            <w:tcW w:type="dxa" w:w="4938"/>
          </w:tcPr>
          <w:p>
            <w:pPr>
              <w:jc w:val="left"/>
            </w:pPr>
            <w:r/>
            <w:r>
              <w:rPr>
                <w:sz w:val="18"/>
              </w:rPr>
              <w:t>Joyería y platería; monedas; plata industrial (fotovoltaica, electrónica, catálisis).</w:t>
            </w:r>
          </w:p>
        </w:tc>
        <w:tc>
          <w:tcPr>
            <w:tcW w:type="dxa" w:w="1450"/>
          </w:tcPr>
          <w:p>
            <w:pPr>
              <w:jc w:val="left"/>
            </w:pPr>
            <w:r/>
            <w:r>
              <w:rPr>
                <w:sz w:val="18"/>
              </w:rPr>
              <w:t>7113–7114</w:t>
            </w:r>
          </w:p>
        </w:tc>
      </w:tr>
    </w:tbl>
    <w:p>
      <w:pPr>
        <w:spacing w:before="40" w:after="160"/>
      </w:pPr>
      <w:r>
        <w:rPr>
          <w:i/>
          <w:sz w:val="16"/>
        </w:rPr>
        <w:t>Cuadro VI.7. Productos por fase de la cadena de valor — Plata.</w:t>
      </w:r>
    </w:p>
    <w:p>
      <w:pPr>
        <w:spacing w:after="120" w:line="276" w:lineRule="auto"/>
        <w:jc w:val="both"/>
      </w:pPr>
      <w:r>
        <w:rPr>
          <w:b/>
          <w:i w:val="0"/>
        </w:rPr>
        <w:t xml:space="preserve">Estructura extractiva. </w:t>
      </w:r>
      <w:r>
        <w:t>Baja (HHI ≈ 890) — Fresnillo líder (~24–27%).</w:t>
      </w:r>
      <w:r>
        <w:t xml:space="preserve"> </w:t>
      </w:r>
      <w:r>
        <w:rPr>
          <w:b/>
          <w:i w:val="0"/>
        </w:rPr>
        <w:t xml:space="preserve">Encadenamiento hacia adelante (Ghosh): </w:t>
      </w:r>
      <w:r>
        <w:t>1.18 (≈ media)</w:t>
      </w:r>
      <w:r>
        <w:t>.</w:t>
      </w:r>
    </w:p>
    <w:p>
      <w:pPr>
        <w:spacing w:after="120" w:line="276" w:lineRule="auto"/>
        <w:jc w:val="both"/>
      </w:pPr>
      <w:r>
        <w:rPr>
          <w:b/>
          <w:i w:val="0"/>
        </w:rPr>
        <w:t xml:space="preserve">Posición comercial. </w:t>
      </w:r>
      <w:r>
        <w:t>Exporta plata en bruto/refinada.</w:t>
      </w:r>
    </w:p>
    <w:p>
      <w:pPr>
        <w:spacing w:after="120" w:line="276" w:lineRule="auto"/>
        <w:jc w:val="both"/>
      </w:pPr>
      <w:r>
        <w:rPr>
          <w:b/>
          <w:i w:val="0"/>
        </w:rPr>
        <w:t xml:space="preserve">Cadena local. </w:t>
      </w:r>
      <w:r>
        <w:t>Refinación (Met-Mex Peñoles); usos industriales y joyería.</w:t>
      </w:r>
    </w:p>
    <w:p>
      <w:pPr>
        <w:spacing w:after="120" w:line="276" w:lineRule="auto"/>
        <w:jc w:val="both"/>
      </w:pPr>
      <w:r>
        <w:rPr>
          <w:b/>
          <w:i w:val="0"/>
        </w:rPr>
        <w:t xml:space="preserve">Lectura. </w:t>
      </w:r>
      <w:r>
        <w:t>Hasta metal refinado; manufactura de valor limitada.</w:t>
      </w:r>
    </w:p>
    <w:p>
      <w:pPr>
        <w:spacing w:before="200" w:after="80"/>
      </w:pPr>
      <w:r>
        <w:rPr>
          <w:b/>
          <w:color w:val="333333"/>
          <w:sz w:val="24"/>
        </w:rPr>
        <w:t>VI.3.7  Barita</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Barita cruda y molida: grado perforación (API, densidad ≥4.2) y grado químico.</w:t>
            </w:r>
          </w:p>
        </w:tc>
        <w:tc>
          <w:tcPr>
            <w:tcW w:type="dxa" w:w="1450"/>
          </w:tcPr>
          <w:p>
            <w:pPr>
              <w:jc w:val="left"/>
            </w:pPr>
            <w:r/>
            <w:r>
              <w:rPr>
                <w:sz w:val="18"/>
              </w:rPr>
              <w:t>251110</w:t>
            </w:r>
          </w:p>
        </w:tc>
      </w:tr>
      <w:tr>
        <w:tc>
          <w:tcPr>
            <w:tcW w:type="dxa" w:w="2450"/>
          </w:tcPr>
          <w:p>
            <w:pPr>
              <w:jc w:val="left"/>
            </w:pPr>
            <w:r/>
            <w:r>
              <w:rPr>
                <w:sz w:val="18"/>
              </w:rPr>
              <w:t>Fase 2 · Químicos de bario</w:t>
            </w:r>
          </w:p>
        </w:tc>
        <w:tc>
          <w:tcPr>
            <w:tcW w:type="dxa" w:w="4938"/>
          </w:tcPr>
          <w:p>
            <w:pPr>
              <w:jc w:val="left"/>
            </w:pPr>
            <w:r/>
            <w:r>
              <w:rPr>
                <w:sz w:val="18"/>
              </w:rPr>
              <w:t>Carbonato de bario; sulfato de bario precipitado (blanc fixe); óxido/hidróxido de bario.</w:t>
            </w:r>
          </w:p>
        </w:tc>
        <w:tc>
          <w:tcPr>
            <w:tcW w:type="dxa" w:w="1450"/>
          </w:tcPr>
          <w:p>
            <w:pPr>
              <w:jc w:val="left"/>
            </w:pPr>
            <w:r/>
            <w:r>
              <w:rPr>
                <w:sz w:val="18"/>
              </w:rPr>
              <w:t>283660, 281640</w:t>
            </w:r>
          </w:p>
        </w:tc>
      </w:tr>
      <w:tr>
        <w:tc>
          <w:tcPr>
            <w:tcW w:type="dxa" w:w="2450"/>
          </w:tcPr>
          <w:p>
            <w:pPr>
              <w:jc w:val="left"/>
            </w:pPr>
            <w:r/>
            <w:r>
              <w:rPr>
                <w:sz w:val="18"/>
              </w:rPr>
              <w:t>Fase 3–4 · Usos</w:t>
            </w:r>
          </w:p>
        </w:tc>
        <w:tc>
          <w:tcPr>
            <w:tcW w:type="dxa" w:w="4938"/>
          </w:tcPr>
          <w:p>
            <w:pPr>
              <w:jc w:val="left"/>
            </w:pPr>
            <w:r/>
            <w:r>
              <w:rPr>
                <w:sz w:val="18"/>
              </w:rPr>
              <w:t>Lodos de perforación; pigmentos y cargas; vidrio y cerámica; aditivos.</w:t>
            </w:r>
          </w:p>
        </w:tc>
        <w:tc>
          <w:tcPr>
            <w:tcW w:type="dxa" w:w="1450"/>
          </w:tcPr>
          <w:p>
            <w:pPr>
              <w:jc w:val="left"/>
            </w:pPr>
            <w:r/>
            <w:r>
              <w:rPr>
                <w:sz w:val="18"/>
              </w:rPr>
              <w:t>(insumo)</w:t>
            </w:r>
          </w:p>
        </w:tc>
      </w:tr>
    </w:tbl>
    <w:p>
      <w:pPr>
        <w:spacing w:before="40" w:after="160"/>
      </w:pPr>
      <w:r>
        <w:rPr>
          <w:i/>
          <w:sz w:val="16"/>
        </w:rPr>
        <w:t>Cuadro VI.8. Productos por fase de la cadena de valor — Barita.</w:t>
      </w:r>
    </w:p>
    <w:p>
      <w:pPr>
        <w:spacing w:after="120" w:line="276" w:lineRule="auto"/>
        <w:jc w:val="both"/>
      </w:pPr>
      <w:r>
        <w:rPr>
          <w:b/>
          <w:i w:val="0"/>
        </w:rPr>
        <w:t xml:space="preserve">Estructura extractiva. </w:t>
      </w:r>
      <w:r>
        <w:t>Alta y decreciente (HHI 6,779 en 2021 → 1,380 en 2023) — Baramin pierde el liderazgo (82%→37%).</w:t>
      </w:r>
      <w:r>
        <w:t xml:space="preserve"> </w:t>
      </w:r>
      <w:r>
        <w:rPr>
          <w:b/>
          <w:i w:val="0"/>
        </w:rPr>
        <w:t xml:space="preserve">Encadenamiento hacia adelante (Ghosh): </w:t>
      </w:r>
      <w:r>
        <w:t>0.64 (el más bajo)</w:t>
      </w:r>
      <w:r>
        <w:t>.</w:t>
      </w:r>
    </w:p>
    <w:p>
      <w:pPr>
        <w:spacing w:after="120" w:line="276" w:lineRule="auto"/>
        <w:jc w:val="both"/>
      </w:pPr>
      <w:r>
        <w:rPr>
          <w:b/>
          <w:i w:val="0"/>
        </w:rPr>
        <w:t xml:space="preserve">Posición comercial. </w:t>
      </w:r>
      <w:r>
        <w:t>Se exporta en bruto; uso doméstico marginal.</w:t>
      </w:r>
    </w:p>
    <w:p>
      <w:pPr>
        <w:spacing w:after="120" w:line="276" w:lineRule="auto"/>
        <w:jc w:val="both"/>
      </w:pPr>
      <w:r>
        <w:rPr>
          <w:b/>
          <w:i w:val="0"/>
        </w:rPr>
        <w:t xml:space="preserve">Cadena local. </w:t>
      </w:r>
      <w:r>
        <w:t>Servicios petroleros: PEMEX se abastece de barita de Coahuila/Sonora para lodos de perforación.</w:t>
      </w:r>
    </w:p>
    <w:p>
      <w:pPr>
        <w:spacing w:after="120" w:line="276" w:lineRule="auto"/>
        <w:jc w:val="both"/>
      </w:pPr>
      <w:r>
        <w:rPr>
          <w:b/>
          <w:i w:val="0"/>
        </w:rPr>
        <w:t xml:space="preserve">Lectura. </w:t>
      </w:r>
      <w:r>
        <w:t>Cadena mínima: sin eslabón manufacturero; exportación en bruto.</w:t>
      </w:r>
    </w:p>
    <w:p>
      <w:pPr>
        <w:spacing w:before="200" w:after="80"/>
      </w:pPr>
      <w:r>
        <w:rPr>
          <w:b/>
          <w:color w:val="333333"/>
          <w:sz w:val="24"/>
        </w:rPr>
        <w:t>VI.3.8  Fluorita</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Espato flúor: grado metalúrgico (metspar, ≤97% CaF₂) y grado ácido (acidspar, &gt;97%).</w:t>
            </w:r>
          </w:p>
        </w:tc>
        <w:tc>
          <w:tcPr>
            <w:tcW w:type="dxa" w:w="1450"/>
          </w:tcPr>
          <w:p>
            <w:pPr>
              <w:jc w:val="left"/>
            </w:pPr>
            <w:r/>
            <w:r>
              <w:rPr>
                <w:sz w:val="18"/>
              </w:rPr>
              <w:t>252921, 252922</w:t>
            </w:r>
          </w:p>
        </w:tc>
      </w:tr>
      <w:tr>
        <w:tc>
          <w:tcPr>
            <w:tcW w:type="dxa" w:w="2450"/>
          </w:tcPr>
          <w:p>
            <w:pPr>
              <w:jc w:val="left"/>
            </w:pPr>
            <w:r/>
            <w:r>
              <w:rPr>
                <w:sz w:val="18"/>
              </w:rPr>
              <w:t>Fase 2 · Fluoroquímica primaria</w:t>
            </w:r>
          </w:p>
        </w:tc>
        <w:tc>
          <w:tcPr>
            <w:tcW w:type="dxa" w:w="4938"/>
          </w:tcPr>
          <w:p>
            <w:pPr>
              <w:jc w:val="left"/>
            </w:pPr>
            <w:r/>
            <w:r>
              <w:rPr>
                <w:sz w:val="18"/>
              </w:rPr>
              <w:t>Ácido fluorhídrico (HF); fluoruro de aluminio (AlF₃); criolita; otros fluoruros.</w:t>
            </w:r>
          </w:p>
        </w:tc>
        <w:tc>
          <w:tcPr>
            <w:tcW w:type="dxa" w:w="1450"/>
          </w:tcPr>
          <w:p>
            <w:pPr>
              <w:jc w:val="left"/>
            </w:pPr>
            <w:r/>
            <w:r>
              <w:rPr>
                <w:sz w:val="18"/>
              </w:rPr>
              <w:t>281111, 282612, 282619</w:t>
            </w:r>
          </w:p>
        </w:tc>
      </w:tr>
      <w:tr>
        <w:tc>
          <w:tcPr>
            <w:tcW w:type="dxa" w:w="2450"/>
          </w:tcPr>
          <w:p>
            <w:pPr>
              <w:jc w:val="left"/>
            </w:pPr>
            <w:r/>
            <w:r>
              <w:rPr>
                <w:sz w:val="18"/>
              </w:rPr>
              <w:t>Fase 3–4 · Alto valor</w:t>
            </w:r>
          </w:p>
        </w:tc>
        <w:tc>
          <w:tcPr>
            <w:tcW w:type="dxa" w:w="4938"/>
          </w:tcPr>
          <w:p>
            <w:pPr>
              <w:jc w:val="left"/>
            </w:pPr>
            <w:r/>
            <w:r>
              <w:rPr>
                <w:sz w:val="18"/>
              </w:rPr>
              <w:t>Fluoropolímeros (PTFE); gases refrigerantes (HFC); fluoroelastómeros; sales de litio (LiPF₆) para baterías.</w:t>
            </w:r>
          </w:p>
        </w:tc>
        <w:tc>
          <w:tcPr>
            <w:tcW w:type="dxa" w:w="1450"/>
          </w:tcPr>
          <w:p>
            <w:pPr>
              <w:jc w:val="left"/>
            </w:pPr>
            <w:r/>
            <w:r>
              <w:rPr>
                <w:sz w:val="18"/>
              </w:rPr>
              <w:t>390461, 2903.7x</w:t>
            </w:r>
          </w:p>
        </w:tc>
      </w:tr>
    </w:tbl>
    <w:p>
      <w:pPr>
        <w:spacing w:before="40" w:after="160"/>
      </w:pPr>
      <w:r>
        <w:rPr>
          <w:i/>
          <w:sz w:val="16"/>
        </w:rPr>
        <w:t>Cuadro VI.9. Productos por fase de la cadena de valor — Fluorita.</w:t>
      </w:r>
    </w:p>
    <w:p>
      <w:pPr>
        <w:spacing w:after="120" w:line="276" w:lineRule="auto"/>
        <w:jc w:val="both"/>
      </w:pPr>
      <w:r>
        <w:rPr>
          <w:b/>
          <w:i w:val="0"/>
        </w:rPr>
        <w:t xml:space="preserve">Estructura extractiva. </w:t>
      </w:r>
      <w:r>
        <w:t>Máxima — Koura/Orbia, monopolio de grupo desde 2012 (HHI ≈ 10,000).</w:t>
      </w:r>
      <w:r>
        <w:t xml:space="preserve"> </w:t>
      </w:r>
      <w:r>
        <w:rPr>
          <w:b/>
          <w:i w:val="0"/>
        </w:rPr>
        <w:t xml:space="preserve">Encadenamiento hacia adelante (Ghosh): </w:t>
      </w:r>
      <w:r>
        <w:t>1.31 (alto)</w:t>
      </w:r>
      <w:r>
        <w:t>.</w:t>
      </w:r>
    </w:p>
    <w:p>
      <w:pPr>
        <w:spacing w:after="120" w:line="276" w:lineRule="auto"/>
        <w:jc w:val="both"/>
      </w:pPr>
      <w:r>
        <w:rPr>
          <w:b/>
          <w:i w:val="0"/>
        </w:rPr>
        <w:t xml:space="preserve">Posición comercial. </w:t>
      </w:r>
      <w:r>
        <w:t>Exporta espato flúor y ácido fluorhídrico (HF); importa fluoropolímeros.</w:t>
      </w:r>
    </w:p>
    <w:p>
      <w:pPr>
        <w:spacing w:after="120" w:line="276" w:lineRule="auto"/>
        <w:jc w:val="both"/>
      </w:pPr>
      <w:r>
        <w:rPr>
          <w:b/>
          <w:i w:val="0"/>
        </w:rPr>
        <w:t xml:space="preserve">Cadena local. </w:t>
      </w:r>
      <w:r>
        <w:t>Koura opera en Matamoros la mayor planta de HF del mundo, integrada con la mina Las Cuevas.</w:t>
      </w:r>
    </w:p>
    <w:p>
      <w:pPr>
        <w:spacing w:after="120" w:line="276" w:lineRule="auto"/>
        <w:jc w:val="both"/>
      </w:pPr>
      <w:r>
        <w:rPr>
          <w:b/>
          <w:i w:val="0"/>
        </w:rPr>
        <w:t xml:space="preserve">Lectura. </w:t>
      </w:r>
      <w:r>
        <w:t>Cadena hasta el HF (escala mundial); se trunca antes de los fluoropolímeros de mayor valor, que se importan.</w:t>
      </w:r>
    </w:p>
    <w:p>
      <w:pPr>
        <w:spacing w:before="200" w:after="80"/>
      </w:pPr>
      <w:r>
        <w:rPr>
          <w:b/>
          <w:color w:val="333333"/>
          <w:sz w:val="24"/>
        </w:rPr>
        <w:t>VI.3.9  Grafito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Grafito natural: en hojuela (flake), amorfo y en polvo.</w:t>
            </w:r>
          </w:p>
        </w:tc>
        <w:tc>
          <w:tcPr>
            <w:tcW w:type="dxa" w:w="1450"/>
          </w:tcPr>
          <w:p>
            <w:pPr>
              <w:jc w:val="left"/>
            </w:pPr>
            <w:r/>
            <w:r>
              <w:rPr>
                <w:sz w:val="18"/>
              </w:rPr>
              <w:t>250410, 250490</w:t>
            </w:r>
          </w:p>
        </w:tc>
      </w:tr>
      <w:tr>
        <w:tc>
          <w:tcPr>
            <w:tcW w:type="dxa" w:w="2450"/>
          </w:tcPr>
          <w:p>
            <w:pPr>
              <w:jc w:val="left"/>
            </w:pPr>
            <w:r/>
            <w:r>
              <w:rPr>
                <w:sz w:val="18"/>
              </w:rPr>
              <w:t>Fase 2 · Grafito procesado</w:t>
            </w:r>
          </w:p>
        </w:tc>
        <w:tc>
          <w:tcPr>
            <w:tcW w:type="dxa" w:w="4938"/>
          </w:tcPr>
          <w:p>
            <w:pPr>
              <w:jc w:val="left"/>
            </w:pPr>
            <w:r/>
            <w:r>
              <w:rPr>
                <w:sz w:val="18"/>
              </w:rPr>
              <w:t>Grafito artificial/sintético; grafito coloidal; pasta para electrodos.</w:t>
            </w:r>
          </w:p>
        </w:tc>
        <w:tc>
          <w:tcPr>
            <w:tcW w:type="dxa" w:w="1450"/>
          </w:tcPr>
          <w:p>
            <w:pPr>
              <w:jc w:val="left"/>
            </w:pPr>
            <w:r/>
            <w:r>
              <w:rPr>
                <w:sz w:val="18"/>
              </w:rPr>
              <w:t>3801</w:t>
            </w:r>
          </w:p>
        </w:tc>
      </w:tr>
      <w:tr>
        <w:tc>
          <w:tcPr>
            <w:tcW w:type="dxa" w:w="2450"/>
          </w:tcPr>
          <w:p>
            <w:pPr>
              <w:jc w:val="left"/>
            </w:pPr>
            <w:r/>
            <w:r>
              <w:rPr>
                <w:sz w:val="18"/>
              </w:rPr>
              <w:t>Fase 3–4 · Manufactura</w:t>
            </w:r>
          </w:p>
        </w:tc>
        <w:tc>
          <w:tcPr>
            <w:tcW w:type="dxa" w:w="4938"/>
          </w:tcPr>
          <w:p>
            <w:pPr>
              <w:jc w:val="left"/>
            </w:pPr>
            <w:r/>
            <w:r>
              <w:rPr>
                <w:sz w:val="18"/>
              </w:rPr>
              <w:t>Electrodos de grafito (horno de arco eléctrico); refractarios; ánodos de grafito esferoidal (baterías Li-ion); lubricantes; frenos.</w:t>
            </w:r>
          </w:p>
        </w:tc>
        <w:tc>
          <w:tcPr>
            <w:tcW w:type="dxa" w:w="1450"/>
          </w:tcPr>
          <w:p>
            <w:pPr>
              <w:jc w:val="left"/>
            </w:pPr>
            <w:r/>
            <w:r>
              <w:rPr>
                <w:sz w:val="18"/>
              </w:rPr>
              <w:t>8545</w:t>
            </w:r>
          </w:p>
        </w:tc>
      </w:tr>
    </w:tbl>
    <w:p>
      <w:pPr>
        <w:spacing w:before="40" w:after="160"/>
      </w:pPr>
      <w:r>
        <w:rPr>
          <w:i/>
          <w:sz w:val="16"/>
        </w:rPr>
        <w:t>Cuadro VI.10. Productos por fase de la cadena de valor — Grafito.</w:t>
      </w:r>
    </w:p>
    <w:p>
      <w:pPr>
        <w:spacing w:after="120" w:line="276" w:lineRule="auto"/>
        <w:jc w:val="both"/>
      </w:pPr>
      <w:r>
        <w:rPr>
          <w:b/>
          <w:i w:val="0"/>
        </w:rPr>
        <w:t xml:space="preserve">Estructura extractiva. </w:t>
      </w:r>
      <w:r>
        <w:t>Máxima — productor único desde 2014 (HHI ≈ 10,000).</w:t>
      </w:r>
      <w:r>
        <w:t xml:space="preserve"> </w:t>
      </w:r>
      <w:r>
        <w:rPr>
          <w:b/>
          <w:i w:val="0"/>
        </w:rPr>
        <w:t xml:space="preserve">Encadenamiento hacia adelante (Ghosh): </w:t>
      </w:r>
      <w:r>
        <w:t>1.71 (alto)</w:t>
      </w:r>
      <w:r>
        <w:t>.</w:t>
      </w:r>
    </w:p>
    <w:p>
      <w:pPr>
        <w:spacing w:after="120" w:line="276" w:lineRule="auto"/>
        <w:jc w:val="both"/>
      </w:pPr>
      <w:r>
        <w:rPr>
          <w:b/>
          <w:i w:val="0"/>
        </w:rPr>
        <w:t xml:space="preserve">Posición comercial. </w:t>
      </w:r>
      <w:r>
        <w:t>Exporta poco grafito; importa electrodos (importador neto).</w:t>
      </w:r>
    </w:p>
    <w:p>
      <w:pPr>
        <w:spacing w:after="120" w:line="276" w:lineRule="auto"/>
        <w:jc w:val="both"/>
      </w:pPr>
      <w:r>
        <w:rPr>
          <w:b/>
          <w:i w:val="0"/>
        </w:rPr>
        <w:t xml:space="preserve">Cadena local. </w:t>
      </w:r>
      <w:r>
        <w:t>Usuario siderúrgico (Ternium, ArcelorMittal, DeAcero, Gerdau vía CANACERO): 96.7% del acero por horno de arco eléctrico.</w:t>
      </w:r>
    </w:p>
    <w:p>
      <w:pPr>
        <w:spacing w:after="120" w:line="276" w:lineRule="auto"/>
        <w:jc w:val="both"/>
      </w:pPr>
      <w:r>
        <w:rPr>
          <w:b/>
          <w:i w:val="0"/>
        </w:rPr>
        <w:t xml:space="preserve">Lectura. </w:t>
      </w:r>
      <w:r>
        <w:t>La industria usuaria existe, pero los electrodos de grafito se importan: eslabón intermedio ausente. La producción cae (≈2,150 t en 2024, −20 % anual) mientras la criticidad del grafito sube, sin paradoja: México produce grafito amorfo, no el grado batería (flake/esférico/sintético) cuyo auge monopoliza China.</w:t>
      </w:r>
    </w:p>
    <w:p>
      <w:pPr>
        <w:spacing w:before="200" w:after="80"/>
      </w:pPr>
      <w:r>
        <w:rPr>
          <w:b/>
          <w:color w:val="333333"/>
          <w:sz w:val="24"/>
        </w:rPr>
        <w:t>VI.3.10  Sílice</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450"/>
            <w:shd w:val="clear" w:color="auto" w:fill="E8E8E8"/>
          </w:tcPr>
          <w:p>
            <w:pPr>
              <w:jc w:val="left"/>
            </w:pPr>
            <w:r/>
            <w:r>
              <w:rPr>
                <w:b/>
                <w:sz w:val="18"/>
              </w:rPr>
              <w:t>Fase</w:t>
            </w:r>
          </w:p>
        </w:tc>
        <w:tc>
          <w:tcPr>
            <w:tcW w:type="dxa" w:w="4938"/>
            <w:shd w:val="clear" w:color="auto" w:fill="E8E8E8"/>
          </w:tcPr>
          <w:p>
            <w:pPr>
              <w:jc w:val="left"/>
            </w:pPr>
            <w:r/>
            <w:r>
              <w:rPr>
                <w:b/>
                <w:sz w:val="18"/>
              </w:rPr>
              <w:t>Productos principales</w:t>
            </w:r>
          </w:p>
        </w:tc>
        <w:tc>
          <w:tcPr>
            <w:tcW w:type="dxa" w:w="1450"/>
            <w:shd w:val="clear" w:color="auto" w:fill="E8E8E8"/>
          </w:tcPr>
          <w:p>
            <w:pPr>
              <w:jc w:val="left"/>
            </w:pPr>
            <w:r/>
            <w:r>
              <w:rPr>
                <w:b/>
                <w:sz w:val="18"/>
              </w:rPr>
              <w:t>Fracción HS</w:t>
            </w:r>
          </w:p>
        </w:tc>
      </w:tr>
      <w:tr>
        <w:tc>
          <w:tcPr>
            <w:tcW w:type="dxa" w:w="2450"/>
          </w:tcPr>
          <w:p>
            <w:pPr>
              <w:jc w:val="left"/>
            </w:pPr>
            <w:r/>
            <w:r>
              <w:rPr>
                <w:sz w:val="18"/>
              </w:rPr>
              <w:t>Fase 1 · Extracción</w:t>
            </w:r>
          </w:p>
        </w:tc>
        <w:tc>
          <w:tcPr>
            <w:tcW w:type="dxa" w:w="4938"/>
          </w:tcPr>
          <w:p>
            <w:pPr>
              <w:jc w:val="left"/>
            </w:pPr>
            <w:r/>
            <w:r>
              <w:rPr>
                <w:sz w:val="18"/>
              </w:rPr>
              <w:t>Arena sílica; cuarzo; cuarcita.</w:t>
            </w:r>
          </w:p>
        </w:tc>
        <w:tc>
          <w:tcPr>
            <w:tcW w:type="dxa" w:w="1450"/>
          </w:tcPr>
          <w:p>
            <w:pPr>
              <w:jc w:val="left"/>
            </w:pPr>
            <w:r/>
            <w:r>
              <w:rPr>
                <w:sz w:val="18"/>
              </w:rPr>
              <w:t>250510, 250610</w:t>
            </w:r>
          </w:p>
        </w:tc>
      </w:tr>
      <w:tr>
        <w:tc>
          <w:tcPr>
            <w:tcW w:type="dxa" w:w="2450"/>
          </w:tcPr>
          <w:p>
            <w:pPr>
              <w:jc w:val="left"/>
            </w:pPr>
            <w:r/>
            <w:r>
              <w:rPr>
                <w:sz w:val="18"/>
              </w:rPr>
              <w:t>Fase 2 · Silicio y químicos</w:t>
            </w:r>
          </w:p>
        </w:tc>
        <w:tc>
          <w:tcPr>
            <w:tcW w:type="dxa" w:w="4938"/>
          </w:tcPr>
          <w:p>
            <w:pPr>
              <w:jc w:val="left"/>
            </w:pPr>
            <w:r/>
            <w:r>
              <w:rPr>
                <w:sz w:val="18"/>
              </w:rPr>
              <w:t>Dióxido de silicio (SiO₂); silicio metálico; ferrosilicio.</w:t>
            </w:r>
          </w:p>
        </w:tc>
        <w:tc>
          <w:tcPr>
            <w:tcW w:type="dxa" w:w="1450"/>
          </w:tcPr>
          <w:p>
            <w:pPr>
              <w:jc w:val="left"/>
            </w:pPr>
            <w:r/>
            <w:r>
              <w:rPr>
                <w:sz w:val="18"/>
              </w:rPr>
              <w:t>281122, 280461/69, 720221/29</w:t>
            </w:r>
          </w:p>
        </w:tc>
      </w:tr>
      <w:tr>
        <w:tc>
          <w:tcPr>
            <w:tcW w:type="dxa" w:w="2450"/>
          </w:tcPr>
          <w:p>
            <w:pPr>
              <w:jc w:val="left"/>
            </w:pPr>
            <w:r/>
            <w:r>
              <w:rPr>
                <w:sz w:val="18"/>
              </w:rPr>
              <w:t>Fase 3–4 · Manufactura</w:t>
            </w:r>
          </w:p>
        </w:tc>
        <w:tc>
          <w:tcPr>
            <w:tcW w:type="dxa" w:w="4938"/>
          </w:tcPr>
          <w:p>
            <w:pPr>
              <w:jc w:val="left"/>
            </w:pPr>
            <w:r/>
            <w:r>
              <w:rPr>
                <w:sz w:val="18"/>
              </w:rPr>
              <w:t>Vidrio (envases y plano); cemento y cerámica; obleas de silicio (electrónica y fotovoltaica); sílice pirogénica.</w:t>
            </w:r>
          </w:p>
        </w:tc>
        <w:tc>
          <w:tcPr>
            <w:tcW w:type="dxa" w:w="1450"/>
          </w:tcPr>
          <w:p>
            <w:pPr>
              <w:jc w:val="left"/>
            </w:pPr>
            <w:r/>
            <w:r>
              <w:rPr>
                <w:sz w:val="18"/>
              </w:rPr>
              <w:t>(insumo)</w:t>
            </w:r>
          </w:p>
        </w:tc>
      </w:tr>
    </w:tbl>
    <w:p>
      <w:pPr>
        <w:spacing w:before="40" w:after="160"/>
      </w:pPr>
      <w:r>
        <w:rPr>
          <w:i/>
          <w:sz w:val="16"/>
        </w:rPr>
        <w:t>Cuadro VI.11. Productos por fase de la cadena de valor — Sílice.</w:t>
      </w:r>
    </w:p>
    <w:p>
      <w:pPr>
        <w:spacing w:after="120" w:line="276" w:lineRule="auto"/>
        <w:jc w:val="both"/>
      </w:pPr>
      <w:r>
        <w:rPr>
          <w:b/>
          <w:i w:val="0"/>
        </w:rPr>
        <w:t xml:space="preserve">Estructura extractiva. </w:t>
      </w:r>
      <w:r>
        <w:t>Muy alta (HHI ≈ 7,300) — Covia/GMP dominante (74–99%).</w:t>
      </w:r>
      <w:r>
        <w:t xml:space="preserve"> </w:t>
      </w:r>
      <w:r>
        <w:rPr>
          <w:b/>
          <w:i w:val="0"/>
        </w:rPr>
        <w:t xml:space="preserve">Encadenamiento hacia adelante (Ghosh): </w:t>
      </w:r>
      <w:r>
        <w:t>1.92 (el más alto)</w:t>
      </w:r>
      <w:r>
        <w:t>.</w:t>
      </w:r>
    </w:p>
    <w:p>
      <w:pPr>
        <w:spacing w:after="120" w:line="276" w:lineRule="auto"/>
        <w:jc w:val="both"/>
      </w:pPr>
      <w:r>
        <w:rPr>
          <w:b/>
          <w:i w:val="0"/>
        </w:rPr>
        <w:t xml:space="preserve">Posición comercial. </w:t>
      </w:r>
      <w:r>
        <w:t>Exporta poco; importa silicio/ferrosilicio (importador neto).</w:t>
      </w:r>
    </w:p>
    <w:p>
      <w:pPr>
        <w:spacing w:after="120" w:line="276" w:lineRule="auto"/>
        <w:jc w:val="both"/>
      </w:pPr>
      <w:r>
        <w:rPr>
          <w:b/>
          <w:i w:val="0"/>
        </w:rPr>
        <w:t xml:space="preserve">Cadena local. </w:t>
      </w:r>
      <w:r>
        <w:t>Vidrio (Vitro, Owens-Illinois, con extracción propia de arena) y cemento/cerámica (CEMEX, Holcim, Cruz Azul, GCC).</w:t>
      </w:r>
    </w:p>
    <w:p>
      <w:pPr>
        <w:spacing w:after="120" w:line="276" w:lineRule="auto"/>
        <w:jc w:val="both"/>
      </w:pPr>
      <w:r>
        <w:rPr>
          <w:b/>
          <w:i w:val="0"/>
        </w:rPr>
        <w:t xml:space="preserve">Lectura. </w:t>
      </w:r>
      <w:r>
        <w:t>Cadena de vidrio y construcción amplia, pero de baja gama; el silicio de mayor valor se importa.</w:t>
      </w:r>
    </w:p>
    <w:p>
      <w:pPr>
        <w:spacing w:before="280" w:after="120"/>
      </w:pPr>
      <w:r>
        <w:rPr>
          <w:b/>
          <w:color w:val="1A1A1A"/>
          <w:sz w:val="28"/>
        </w:rPr>
        <w:t>VI.4  Evolución de la concentración extractiva (HHI, 2004–2024)</w:t>
      </w:r>
    </w:p>
    <w:p>
      <w:pPr>
        <w:spacing w:after="120" w:line="276" w:lineRule="auto"/>
        <w:ind w:firstLine="420"/>
        <w:jc w:val="both"/>
      </w:pPr>
      <w:r>
        <w:t xml:space="preserve">El índice de Herfindahl-Hirschman (HHI) de la producción por mineral, reconstruido para 2004-2024, muestra que la concentración no es estática. El nivel de </w:t>
      </w:r>
      <w:r>
        <w:rPr>
          <w:b/>
          <w:i w:val="0"/>
        </w:rPr>
        <w:t>2004-2020 es aproximado</w:t>
      </w:r>
      <w:r>
        <w:t xml:space="preserve"> (reconstruido por régimen de mercado a partir del líder y los grupos conocidos, con el residual tratado de forma atomística: es una cota inferior) y no es estrictamente comparable en nivel con </w:t>
      </w:r>
      <w:r>
        <w:rPr>
          <w:b/>
          <w:i w:val="0"/>
        </w:rPr>
        <w:t>2021-2024</w:t>
      </w:r>
      <w:r>
        <w:t>, calculado por mina. Con esa cautela, se distinguen tres trayectorias:</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1700"/>
            <w:shd w:val="clear" w:color="auto" w:fill="E8E8E8"/>
          </w:tcPr>
          <w:p>
            <w:pPr>
              <w:jc w:val="left"/>
            </w:pPr>
            <w:r/>
            <w:r>
              <w:rPr>
                <w:b/>
                <w:sz w:val="16"/>
              </w:rPr>
              <w:t>Mineral</w:t>
            </w:r>
          </w:p>
        </w:tc>
        <w:tc>
          <w:tcPr>
            <w:tcW w:type="dxa" w:w="1150"/>
            <w:shd w:val="clear" w:color="auto" w:fill="E8E8E8"/>
          </w:tcPr>
          <w:p>
            <w:pPr>
              <w:jc w:val="left"/>
            </w:pPr>
            <w:r/>
            <w:r>
              <w:rPr>
                <w:b/>
                <w:sz w:val="16"/>
              </w:rPr>
              <w:t>2004</w:t>
            </w:r>
          </w:p>
        </w:tc>
        <w:tc>
          <w:tcPr>
            <w:tcW w:type="dxa" w:w="1150"/>
            <w:shd w:val="clear" w:color="auto" w:fill="E8E8E8"/>
          </w:tcPr>
          <w:p>
            <w:pPr>
              <w:jc w:val="left"/>
            </w:pPr>
            <w:r/>
            <w:r>
              <w:rPr>
                <w:b/>
                <w:sz w:val="16"/>
              </w:rPr>
              <w:t>2012</w:t>
            </w:r>
          </w:p>
        </w:tc>
        <w:tc>
          <w:tcPr>
            <w:tcW w:type="dxa" w:w="1150"/>
            <w:shd w:val="clear" w:color="auto" w:fill="E8E8E8"/>
          </w:tcPr>
          <w:p>
            <w:pPr>
              <w:jc w:val="left"/>
            </w:pPr>
            <w:r/>
            <w:r>
              <w:rPr>
                <w:b/>
                <w:sz w:val="16"/>
              </w:rPr>
              <w:t>2018</w:t>
            </w:r>
          </w:p>
        </w:tc>
        <w:tc>
          <w:tcPr>
            <w:tcW w:type="dxa" w:w="3288"/>
            <w:shd w:val="clear" w:color="auto" w:fill="E8E8E8"/>
          </w:tcPr>
          <w:p>
            <w:pPr>
              <w:jc w:val="left"/>
            </w:pPr>
            <w:r/>
            <w:r>
              <w:rPr>
                <w:b/>
                <w:sz w:val="16"/>
              </w:rPr>
              <w:t>2021→2024 y lectura</w:t>
            </w:r>
          </w:p>
        </w:tc>
      </w:tr>
      <w:tr>
        <w:tc>
          <w:tcPr>
            <w:tcW w:type="dxa" w:w="1700"/>
          </w:tcPr>
          <w:p>
            <w:pPr>
              <w:jc w:val="left"/>
            </w:pPr>
            <w:r/>
            <w:r>
              <w:rPr>
                <w:sz w:val="16"/>
              </w:rPr>
              <w:t>Fluorita</w:t>
            </w:r>
          </w:p>
        </w:tc>
        <w:tc>
          <w:tcPr>
            <w:tcW w:type="dxa" w:w="1150"/>
          </w:tcPr>
          <w:p>
            <w:pPr>
              <w:jc w:val="left"/>
            </w:pPr>
            <w:r/>
            <w:r>
              <w:rPr>
                <w:sz w:val="16"/>
              </w:rPr>
              <w:t>6,001</w:t>
            </w:r>
          </w:p>
        </w:tc>
        <w:tc>
          <w:tcPr>
            <w:tcW w:type="dxa" w:w="1150"/>
          </w:tcPr>
          <w:p>
            <w:pPr>
              <w:jc w:val="left"/>
            </w:pPr>
            <w:r/>
            <w:r>
              <w:rPr>
                <w:sz w:val="16"/>
              </w:rPr>
              <w:t>10,000</w:t>
            </w:r>
          </w:p>
        </w:tc>
        <w:tc>
          <w:tcPr>
            <w:tcW w:type="dxa" w:w="1150"/>
          </w:tcPr>
          <w:p>
            <w:pPr>
              <w:jc w:val="left"/>
            </w:pPr>
            <w:r/>
            <w:r>
              <w:rPr>
                <w:sz w:val="16"/>
              </w:rPr>
              <w:t>10,000</w:t>
            </w:r>
          </w:p>
        </w:tc>
        <w:tc>
          <w:tcPr>
            <w:tcW w:type="dxa" w:w="3288"/>
          </w:tcPr>
          <w:p>
            <w:pPr>
              <w:jc w:val="left"/>
            </w:pPr>
            <w:r/>
            <w:r>
              <w:rPr>
                <w:sz w:val="16"/>
              </w:rPr>
              <w:t>10,000 · monopolio de grupo consolidado tras la fusión de enero de 2012 (Koura/Orbia).</w:t>
            </w:r>
          </w:p>
        </w:tc>
      </w:tr>
      <w:tr>
        <w:tc>
          <w:tcPr>
            <w:tcW w:type="dxa" w:w="1700"/>
          </w:tcPr>
          <w:p>
            <w:pPr>
              <w:jc w:val="left"/>
            </w:pPr>
            <w:r/>
            <w:r>
              <w:rPr>
                <w:sz w:val="16"/>
              </w:rPr>
              <w:t>Grafito</w:t>
            </w:r>
          </w:p>
        </w:tc>
        <w:tc>
          <w:tcPr>
            <w:tcW w:type="dxa" w:w="1150"/>
          </w:tcPr>
          <w:p>
            <w:pPr>
              <w:jc w:val="left"/>
            </w:pPr>
            <w:r/>
            <w:r>
              <w:rPr>
                <w:sz w:val="16"/>
              </w:rPr>
              <w:t>5,848</w:t>
            </w:r>
          </w:p>
        </w:tc>
        <w:tc>
          <w:tcPr>
            <w:tcW w:type="dxa" w:w="1150"/>
          </w:tcPr>
          <w:p>
            <w:pPr>
              <w:jc w:val="left"/>
            </w:pPr>
            <w:r/>
            <w:r>
              <w:rPr>
                <w:sz w:val="16"/>
              </w:rPr>
              <w:t>5,848</w:t>
            </w:r>
          </w:p>
        </w:tc>
        <w:tc>
          <w:tcPr>
            <w:tcW w:type="dxa" w:w="1150"/>
          </w:tcPr>
          <w:p>
            <w:pPr>
              <w:jc w:val="left"/>
            </w:pPr>
            <w:r/>
            <w:r>
              <w:rPr>
                <w:sz w:val="16"/>
              </w:rPr>
              <w:t>10,000</w:t>
            </w:r>
          </w:p>
        </w:tc>
        <w:tc>
          <w:tcPr>
            <w:tcW w:type="dxa" w:w="3288"/>
          </w:tcPr>
          <w:p>
            <w:pPr>
              <w:jc w:val="left"/>
            </w:pPr>
            <w:r/>
            <w:r>
              <w:rPr>
                <w:sz w:val="16"/>
              </w:rPr>
              <w:t>10,000 · productor único desde 2014.</w:t>
            </w:r>
          </w:p>
        </w:tc>
      </w:tr>
      <w:tr>
        <w:tc>
          <w:tcPr>
            <w:tcW w:type="dxa" w:w="1700"/>
          </w:tcPr>
          <w:p>
            <w:pPr>
              <w:jc w:val="left"/>
            </w:pPr>
            <w:r/>
            <w:r>
              <w:rPr>
                <w:sz w:val="16"/>
              </w:rPr>
              <w:t>Manganeso</w:t>
            </w:r>
          </w:p>
        </w:tc>
        <w:tc>
          <w:tcPr>
            <w:tcW w:type="dxa" w:w="1150"/>
          </w:tcPr>
          <w:p>
            <w:pPr>
              <w:jc w:val="left"/>
            </w:pPr>
            <w:r/>
            <w:r>
              <w:rPr>
                <w:sz w:val="16"/>
              </w:rPr>
              <w:t>10,000</w:t>
            </w:r>
          </w:p>
        </w:tc>
        <w:tc>
          <w:tcPr>
            <w:tcW w:type="dxa" w:w="1150"/>
          </w:tcPr>
          <w:p>
            <w:pPr>
              <w:jc w:val="left"/>
            </w:pPr>
            <w:r/>
            <w:r>
              <w:rPr>
                <w:sz w:val="16"/>
              </w:rPr>
              <w:t>10,000</w:t>
            </w:r>
          </w:p>
        </w:tc>
        <w:tc>
          <w:tcPr>
            <w:tcW w:type="dxa" w:w="1150"/>
          </w:tcPr>
          <w:p>
            <w:pPr>
              <w:jc w:val="left"/>
            </w:pPr>
            <w:r/>
            <w:r>
              <w:rPr>
                <w:sz w:val="16"/>
              </w:rPr>
              <w:t>10,000</w:t>
            </w:r>
          </w:p>
        </w:tc>
        <w:tc>
          <w:tcPr>
            <w:tcW w:type="dxa" w:w="3288"/>
          </w:tcPr>
          <w:p>
            <w:pPr>
              <w:jc w:val="left"/>
            </w:pPr>
            <w:r/>
            <w:r>
              <w:rPr>
                <w:sz w:val="16"/>
              </w:rPr>
              <w:t>10,000 · Autlán, productor único en toda la serie.</w:t>
            </w:r>
          </w:p>
        </w:tc>
      </w:tr>
      <w:tr>
        <w:tc>
          <w:tcPr>
            <w:tcW w:type="dxa" w:w="1700"/>
          </w:tcPr>
          <w:p>
            <w:pPr>
              <w:jc w:val="left"/>
            </w:pPr>
            <w:r/>
            <w:r>
              <w:rPr>
                <w:sz w:val="16"/>
              </w:rPr>
              <w:t>Cobre</w:t>
            </w:r>
          </w:p>
        </w:tc>
        <w:tc>
          <w:tcPr>
            <w:tcW w:type="dxa" w:w="1150"/>
          </w:tcPr>
          <w:p>
            <w:pPr>
              <w:jc w:val="left"/>
            </w:pPr>
            <w:r/>
            <w:r>
              <w:rPr>
                <w:sz w:val="16"/>
              </w:rPr>
              <w:t>—</w:t>
            </w:r>
          </w:p>
        </w:tc>
        <w:tc>
          <w:tcPr>
            <w:tcW w:type="dxa" w:w="1150"/>
          </w:tcPr>
          <w:p>
            <w:pPr>
              <w:jc w:val="left"/>
            </w:pPr>
            <w:r/>
            <w:r>
              <w:rPr>
                <w:sz w:val="16"/>
              </w:rPr>
              <w:t>(alta)</w:t>
            </w:r>
          </w:p>
        </w:tc>
        <w:tc>
          <w:tcPr>
            <w:tcW w:type="dxa" w:w="1150"/>
          </w:tcPr>
          <w:p>
            <w:pPr>
              <w:jc w:val="left"/>
            </w:pPr>
            <w:r/>
            <w:r>
              <w:rPr>
                <w:sz w:val="16"/>
              </w:rPr>
              <w:t>5,417</w:t>
            </w:r>
          </w:p>
        </w:tc>
        <w:tc>
          <w:tcPr>
            <w:tcW w:type="dxa" w:w="3288"/>
          </w:tcPr>
          <w:p>
            <w:pPr>
              <w:jc w:val="left"/>
            </w:pPr>
            <w:r/>
            <w:r>
              <w:rPr>
                <w:sz w:val="16"/>
              </w:rPr>
              <w:t>3,841→3,557 · alta pero decreciente; Grupo México sigue dominante.</w:t>
            </w:r>
          </w:p>
        </w:tc>
      </w:tr>
      <w:tr>
        <w:tc>
          <w:tcPr>
            <w:tcW w:type="dxa" w:w="1700"/>
          </w:tcPr>
          <w:p>
            <w:pPr>
              <w:jc w:val="left"/>
            </w:pPr>
            <w:r/>
            <w:r>
              <w:rPr>
                <w:sz w:val="16"/>
              </w:rPr>
              <w:t>Barita</w:t>
            </w:r>
          </w:p>
        </w:tc>
        <w:tc>
          <w:tcPr>
            <w:tcW w:type="dxa" w:w="1150"/>
          </w:tcPr>
          <w:p>
            <w:pPr>
              <w:jc w:val="left"/>
            </w:pPr>
            <w:r/>
            <w:r>
              <w:rPr>
                <w:sz w:val="16"/>
              </w:rPr>
              <w:t>3,069</w:t>
            </w:r>
          </w:p>
        </w:tc>
        <w:tc>
          <w:tcPr>
            <w:tcW w:type="dxa" w:w="1150"/>
          </w:tcPr>
          <w:p>
            <w:pPr>
              <w:jc w:val="left"/>
            </w:pPr>
            <w:r/>
            <w:r>
              <w:rPr>
                <w:sz w:val="16"/>
              </w:rPr>
              <w:t>10,000</w:t>
            </w:r>
          </w:p>
        </w:tc>
        <w:tc>
          <w:tcPr>
            <w:tcW w:type="dxa" w:w="1150"/>
          </w:tcPr>
          <w:p>
            <w:pPr>
              <w:jc w:val="left"/>
            </w:pPr>
            <w:r/>
            <w:r>
              <w:rPr>
                <w:sz w:val="16"/>
              </w:rPr>
              <w:t>6,400</w:t>
            </w:r>
          </w:p>
        </w:tc>
        <w:tc>
          <w:tcPr>
            <w:tcW w:type="dxa" w:w="3288"/>
          </w:tcPr>
          <w:p>
            <w:pPr>
              <w:jc w:val="left"/>
            </w:pPr>
            <w:r/>
            <w:r>
              <w:rPr>
                <w:sz w:val="16"/>
              </w:rPr>
              <w:t>6,779→605 · fuerte desconcentración reciente (nuevos entrantes; Baramin pierde el liderazgo).</w:t>
            </w:r>
          </w:p>
        </w:tc>
      </w:tr>
      <w:tr>
        <w:tc>
          <w:tcPr>
            <w:tcW w:type="dxa" w:w="1700"/>
          </w:tcPr>
          <w:p>
            <w:pPr>
              <w:jc w:val="left"/>
            </w:pPr>
            <w:r/>
            <w:r>
              <w:rPr>
                <w:sz w:val="16"/>
              </w:rPr>
              <w:t>Plomo</w:t>
            </w:r>
          </w:p>
        </w:tc>
        <w:tc>
          <w:tcPr>
            <w:tcW w:type="dxa" w:w="1150"/>
          </w:tcPr>
          <w:p>
            <w:pPr>
              <w:jc w:val="left"/>
            </w:pPr>
            <w:r/>
            <w:r>
              <w:rPr>
                <w:sz w:val="16"/>
              </w:rPr>
              <w:t>—</w:t>
            </w:r>
          </w:p>
        </w:tc>
        <w:tc>
          <w:tcPr>
            <w:tcW w:type="dxa" w:w="1150"/>
          </w:tcPr>
          <w:p>
            <w:pPr>
              <w:jc w:val="left"/>
            </w:pPr>
            <w:r/>
            <w:r>
              <w:rPr>
                <w:sz w:val="16"/>
              </w:rPr>
              <w:t>858</w:t>
            </w:r>
          </w:p>
        </w:tc>
        <w:tc>
          <w:tcPr>
            <w:tcW w:type="dxa" w:w="1150"/>
          </w:tcPr>
          <w:p>
            <w:pPr>
              <w:jc w:val="left"/>
            </w:pPr>
            <w:r/>
            <w:r>
              <w:rPr>
                <w:sz w:val="16"/>
              </w:rPr>
              <w:t>—</w:t>
            </w:r>
          </w:p>
        </w:tc>
        <w:tc>
          <w:tcPr>
            <w:tcW w:type="dxa" w:w="3288"/>
          </w:tcPr>
          <w:p>
            <w:pPr>
              <w:jc w:val="left"/>
            </w:pPr>
            <w:r/>
            <w:r>
              <w:rPr>
                <w:sz w:val="16"/>
              </w:rPr>
              <w:t>1,448→2,465 · al alza (Peñasquito/Newmont).</w:t>
            </w:r>
          </w:p>
        </w:tc>
      </w:tr>
      <w:tr>
        <w:tc>
          <w:tcPr>
            <w:tcW w:type="dxa" w:w="1700"/>
          </w:tcPr>
          <w:p>
            <w:pPr>
              <w:jc w:val="left"/>
            </w:pPr>
            <w:r/>
            <w:r>
              <w:rPr>
                <w:sz w:val="16"/>
              </w:rPr>
              <w:t>Zinc</w:t>
            </w:r>
          </w:p>
        </w:tc>
        <w:tc>
          <w:tcPr>
            <w:tcW w:type="dxa" w:w="1150"/>
          </w:tcPr>
          <w:p>
            <w:pPr>
              <w:jc w:val="left"/>
            </w:pPr>
            <w:r/>
            <w:r>
              <w:rPr>
                <w:sz w:val="16"/>
              </w:rPr>
              <w:t>—</w:t>
            </w:r>
          </w:p>
        </w:tc>
        <w:tc>
          <w:tcPr>
            <w:tcW w:type="dxa" w:w="1150"/>
          </w:tcPr>
          <w:p>
            <w:pPr>
              <w:jc w:val="left"/>
            </w:pPr>
            <w:r/>
            <w:r>
              <w:rPr>
                <w:sz w:val="16"/>
              </w:rPr>
              <w:t>566</w:t>
            </w:r>
          </w:p>
        </w:tc>
        <w:tc>
          <w:tcPr>
            <w:tcW w:type="dxa" w:w="1150"/>
          </w:tcPr>
          <w:p>
            <w:pPr>
              <w:jc w:val="left"/>
            </w:pPr>
            <w:r/>
            <w:r>
              <w:rPr>
                <w:sz w:val="16"/>
              </w:rPr>
              <w:t>—</w:t>
            </w:r>
          </w:p>
        </w:tc>
        <w:tc>
          <w:tcPr>
            <w:tcW w:type="dxa" w:w="3288"/>
          </w:tcPr>
          <w:p>
            <w:pPr>
              <w:jc w:val="left"/>
            </w:pPr>
            <w:r/>
            <w:r>
              <w:rPr>
                <w:sz w:val="16"/>
              </w:rPr>
              <w:t>1,591→1,683 · al alza.</w:t>
            </w:r>
          </w:p>
        </w:tc>
      </w:tr>
      <w:tr>
        <w:tc>
          <w:tcPr>
            <w:tcW w:type="dxa" w:w="1700"/>
          </w:tcPr>
          <w:p>
            <w:pPr>
              <w:jc w:val="left"/>
            </w:pPr>
            <w:r/>
            <w:r>
              <w:rPr>
                <w:sz w:val="16"/>
              </w:rPr>
              <w:t>Plata</w:t>
            </w:r>
          </w:p>
        </w:tc>
        <w:tc>
          <w:tcPr>
            <w:tcW w:type="dxa" w:w="1150"/>
          </w:tcPr>
          <w:p>
            <w:pPr>
              <w:jc w:val="left"/>
            </w:pPr>
            <w:r/>
            <w:r>
              <w:rPr>
                <w:sz w:val="16"/>
              </w:rPr>
              <w:t>—</w:t>
            </w:r>
          </w:p>
        </w:tc>
        <w:tc>
          <w:tcPr>
            <w:tcW w:type="dxa" w:w="1150"/>
          </w:tcPr>
          <w:p>
            <w:pPr>
              <w:jc w:val="left"/>
            </w:pPr>
            <w:r/>
            <w:r>
              <w:rPr>
                <w:sz w:val="16"/>
              </w:rPr>
              <w:t>562</w:t>
            </w:r>
          </w:p>
        </w:tc>
        <w:tc>
          <w:tcPr>
            <w:tcW w:type="dxa" w:w="1150"/>
          </w:tcPr>
          <w:p>
            <w:pPr>
              <w:jc w:val="left"/>
            </w:pPr>
            <w:r/>
            <w:r>
              <w:rPr>
                <w:sz w:val="16"/>
              </w:rPr>
              <w:t>1,109</w:t>
            </w:r>
          </w:p>
        </w:tc>
        <w:tc>
          <w:tcPr>
            <w:tcW w:type="dxa" w:w="3288"/>
          </w:tcPr>
          <w:p>
            <w:pPr>
              <w:jc w:val="left"/>
            </w:pPr>
            <w:r/>
            <w:r>
              <w:rPr>
                <w:sz w:val="16"/>
              </w:rPr>
              <w:t>926→1,147 · moderada (Fresnillo líder).</w:t>
            </w:r>
          </w:p>
        </w:tc>
      </w:tr>
      <w:tr>
        <w:tc>
          <w:tcPr>
            <w:tcW w:type="dxa" w:w="1700"/>
          </w:tcPr>
          <w:p>
            <w:pPr>
              <w:jc w:val="left"/>
            </w:pPr>
            <w:r/>
            <w:r>
              <w:rPr>
                <w:sz w:val="16"/>
              </w:rPr>
              <w:t>Oro</w:t>
            </w:r>
          </w:p>
        </w:tc>
        <w:tc>
          <w:tcPr>
            <w:tcW w:type="dxa" w:w="1150"/>
          </w:tcPr>
          <w:p>
            <w:pPr>
              <w:jc w:val="left"/>
            </w:pPr>
            <w:r/>
            <w:r>
              <w:rPr>
                <w:sz w:val="16"/>
              </w:rPr>
              <w:t>2,043</w:t>
            </w:r>
          </w:p>
        </w:tc>
        <w:tc>
          <w:tcPr>
            <w:tcW w:type="dxa" w:w="1150"/>
          </w:tcPr>
          <w:p>
            <w:pPr>
              <w:jc w:val="left"/>
            </w:pPr>
            <w:r/>
            <w:r>
              <w:rPr>
                <w:sz w:val="16"/>
              </w:rPr>
              <w:t>676</w:t>
            </w:r>
          </w:p>
        </w:tc>
        <w:tc>
          <w:tcPr>
            <w:tcW w:type="dxa" w:w="1150"/>
          </w:tcPr>
          <w:p>
            <w:pPr>
              <w:jc w:val="left"/>
            </w:pPr>
            <w:r/>
            <w:r>
              <w:rPr>
                <w:sz w:val="16"/>
              </w:rPr>
              <w:t>—</w:t>
            </w:r>
          </w:p>
        </w:tc>
        <w:tc>
          <w:tcPr>
            <w:tcW w:type="dxa" w:w="3288"/>
          </w:tcPr>
          <w:p>
            <w:pPr>
              <w:jc w:val="left"/>
            </w:pPr>
            <w:r/>
            <w:r>
              <w:rPr>
                <w:sz w:val="16"/>
              </w:rPr>
              <w:t>771→429 · mercado fragmentado y cada vez más atomizado.</w:t>
            </w:r>
          </w:p>
        </w:tc>
      </w:tr>
    </w:tbl>
    <w:p>
      <w:pPr>
        <w:spacing w:before="40" w:after="160"/>
      </w:pPr>
      <w:r>
        <w:rPr>
          <w:i/>
          <w:sz w:val="16"/>
        </w:rPr>
        <w:t>Cuadro VI.12. Índice HHI de la producción por mineral, años seleccionados 2004-2024. 2004-2020 aproximado (por régimen; cota inferior); 2021-2024 por mina. Fuente: base B5 (CAMIMEX + USGS), cálculo propio. Sílice sin dato 2024 (falta distribución).</w:t>
      </w:r>
    </w:p>
    <w:p>
      <w:pPr>
        <w:spacing w:after="120" w:line="276" w:lineRule="auto"/>
        <w:jc w:val="both"/>
      </w:pPr>
      <w:r>
        <w:t xml:space="preserve">La lectura conjunta con el encadenamiento (V) es importante: la concentración extractiva y el grado de transformación doméstica </w:t>
      </w:r>
      <w:r>
        <w:rPr>
          <w:b/>
          <w:i w:val="0"/>
        </w:rPr>
        <w:t>no covarían</w:t>
      </w:r>
      <w:r>
        <w:t xml:space="preserve"> de forma simple. Minerales con HHI máximo (manganeso, fluorita, grafito) tienen encadenamientos hacia adelante altos, mientras que otros muy concentrados o poco concentrados se exportan en bruto. La estructura de mercado, por sí sola, no determina si la cadena se desarrolla: es un descriptor más, no la causa.</w:t>
      </w:r>
    </w:p>
    <w:p>
      <w:pPr>
        <w:spacing w:before="280" w:after="120"/>
      </w:pPr>
      <w:r>
        <w:rPr>
          <w:b/>
          <w:color w:val="1A1A1A"/>
          <w:sz w:val="28"/>
        </w:rPr>
        <w:t>VI.5  Geografía de la extracción y la transformación</w:t>
      </w:r>
    </w:p>
    <w:p>
      <w:pPr>
        <w:spacing w:after="120" w:line="276" w:lineRule="auto"/>
        <w:ind w:firstLine="420"/>
        <w:jc w:val="both"/>
      </w:pPr>
      <w:r>
        <w:t xml:space="preserve">La cadena de valor tiene una dimensión territorial que refuerza la lectura de enclave. La </w:t>
      </w:r>
      <w:r>
        <w:rPr>
          <w:b/>
          <w:i w:val="0"/>
        </w:rPr>
        <w:t>extracción está muy concentrada geográficamente</w:t>
      </w:r>
      <w:r>
        <w:t xml:space="preserve"> (producción 2024 por entidad, SGM): Zacatecas domina los metales (plata 50 %, plomo 71 %, zinc 56 %); Sonora, el cobre (70 %), el oro (32 %) y el grafito (100 %); San Luis Potosí, la fluorita (96 %); Hidalgo, el manganeso (100 %); Nuevo León y Sonora, la barita (97 %); Coahuila y Puebla, la sílice (91 %). Es una geografía extractiva de </w:t>
      </w:r>
      <w:r>
        <w:rPr>
          <w:b/>
          <w:i w:val="0"/>
        </w:rPr>
        <w:t>especialización regional aguda</w:t>
      </w:r>
      <w:r>
        <w:t>.</w:t>
      </w:r>
    </w:p>
    <w:p>
      <w:pPr>
        <w:spacing w:after="120" w:line="276" w:lineRule="auto"/>
        <w:jc w:val="both"/>
      </w:pPr>
      <w:r>
        <w:t xml:space="preserve">La </w:t>
      </w:r>
      <w:r>
        <w:rPr>
          <w:b/>
          <w:i w:val="0"/>
        </w:rPr>
        <w:t>transformación</w:t>
      </w:r>
      <w:r>
        <w:t>, en cambio, se concentra en unos pocos nodos metalúrgicos —Torreón (Met-Mex Peñoles: plomo, zinc, plata, oro), La Caridad y Cananea (Grupo México: cobre), Molango-Tamós-Teziutlán (Autlán: ferromanganeso), Matamoros (Koura: HF)—, casi siempre bajo la misma firma que extrae (integración vertical). El resto del mineral sale del país en bruto. La distancia entre la geografía de la extracción y la escasez de nodos de transformación es la expresión espacial del enclave: el valor que no se agrega adentro se va con el concentrado.</w:t>
      </w:r>
    </w:p>
    <w:p>
      <w:pPr>
        <w:spacing w:before="280" w:after="120"/>
      </w:pPr>
      <w:r>
        <w:rPr>
          <w:b/>
          <w:color w:val="1A1A1A"/>
          <w:sz w:val="28"/>
        </w:rPr>
        <w:t>VI.6  Destinos de las exportaciones: el desplazamiento hacia Asia</w:t>
      </w:r>
    </w:p>
    <w:p>
      <w:pPr>
        <w:spacing w:after="120" w:line="276" w:lineRule="auto"/>
        <w:jc w:val="both"/>
      </w:pPr>
      <w:r>
        <w:t xml:space="preserve">El destino de las exportaciones en bruto se ha desplazado a lo largo de la serie 1992-2024, de Norteamérica y Europa (años noventa) a </w:t>
      </w:r>
      <w:r>
        <w:rPr>
          <w:b/>
          <w:i w:val="0"/>
        </w:rPr>
        <w:t>Asia, y en particular China</w:t>
      </w:r>
      <w:r>
        <w:t>. El giro es nítido en los concentrados de la fase 1: el cobre en concentrado pasó de destinarse 100 % a Estados Unidos (1995) a 94 % a China (2022); los concentrados de plomo, zinc y oro se orientan a Corea y China. En contraste, los productos con algo de transformación mantienen su mercado tradicional: el ácido fluorhídrico (fase 2) va a Estados Unidos en toda la serie.</w:t>
      </w:r>
    </w:p>
    <w:p>
      <w:pPr>
        <w:spacing w:after="120" w:line="276" w:lineRule="auto"/>
        <w:jc w:val="both"/>
      </w:pPr>
      <w:r>
        <w:t xml:space="preserve">El patrón describe una </w:t>
      </w:r>
      <w:r>
        <w:rPr>
          <w:b/>
          <w:i w:val="0"/>
        </w:rPr>
        <w:t>doble profundización del enclave</w:t>
      </w:r>
      <w:r>
        <w:t>: no solo se exporta cada vez en una fase más cruda (más concentrado), sino que ese concentrado se dirige crecientemente a un solo comprador —China—, donde ocurre la transformación que no se hace en México. El destino se reporta como socio declarado de Comtrade (reexportación y entrepôt no depurados), un caveat que no altera la dirección del desplazamiento.</w:t>
      </w:r>
    </w:p>
    <w:p>
      <w:pPr>
        <w:spacing w:before="280" w:after="120"/>
      </w:pPr>
      <w:r>
        <w:rPr>
          <w:b/>
          <w:color w:val="1A1A1A"/>
          <w:sz w:val="28"/>
        </w:rPr>
        <w:t>VI.7  Tipología comparativa de los diez mercados</w:t>
      </w:r>
    </w:p>
    <w:p>
      <w:pPr>
        <w:spacing w:after="120" w:line="276" w:lineRule="auto"/>
        <w:ind w:firstLine="420"/>
        <w:jc w:val="both"/>
      </w:pPr>
      <w:r>
        <w:t>El Cuadro VI.15 reúne los tres indicadores construidos —concentración extractiva (HHI), encadenamiento hacia adelante (Ghosh, media = 1) y posición comercial (participación de la exportación en fase 1, mena/concentrado)— y el tipo resultante para cada mineral:</w:t>
      </w:r>
    </w:p>
    <w:tbl>
      <w:tblPr>
        <w:tblStyle w:val="TableGrid"/>
        <w:tblW w:type="auto" w:w="0"/>
        <w:jc w:val="center"/>
        <w:tblLayout w:type="fixed"/>
        <w:tblLook w:firstColumn="1" w:firstRow="1" w:lastColumn="0" w:lastRow="0" w:noHBand="0" w:noVBand="1" w:val="04A0"/>
      </w:tblPr>
      <w:tblGrid>
        <w:gridCol w:w="1768"/>
        <w:gridCol w:w="1768"/>
        <w:gridCol w:w="1768"/>
        <w:gridCol w:w="1768"/>
        <w:gridCol w:w="1768"/>
      </w:tblGrid>
      <w:tr>
        <w:tc>
          <w:tcPr>
            <w:tcW w:type="dxa" w:w="1900"/>
            <w:shd w:val="clear" w:color="auto" w:fill="E8E8E8"/>
          </w:tcPr>
          <w:p>
            <w:pPr>
              <w:jc w:val="left"/>
            </w:pPr>
            <w:r/>
            <w:r>
              <w:rPr>
                <w:b/>
                <w:sz w:val="18"/>
              </w:rPr>
              <w:t>Mineral</w:t>
            </w:r>
          </w:p>
        </w:tc>
        <w:tc>
          <w:tcPr>
            <w:tcW w:type="dxa" w:w="1400"/>
            <w:shd w:val="clear" w:color="auto" w:fill="E8E8E8"/>
          </w:tcPr>
          <w:p>
            <w:pPr>
              <w:jc w:val="left"/>
            </w:pPr>
            <w:r/>
            <w:r>
              <w:rPr>
                <w:b/>
                <w:sz w:val="18"/>
              </w:rPr>
              <w:t>HHI</w:t>
            </w:r>
          </w:p>
        </w:tc>
        <w:tc>
          <w:tcPr>
            <w:tcW w:type="dxa" w:w="1500"/>
            <w:shd w:val="clear" w:color="auto" w:fill="E8E8E8"/>
          </w:tcPr>
          <w:p>
            <w:pPr>
              <w:jc w:val="left"/>
            </w:pPr>
            <w:r/>
            <w:r>
              <w:rPr>
                <w:b/>
                <w:sz w:val="18"/>
              </w:rPr>
              <w:t>Ghosh adel.</w:t>
            </w:r>
          </w:p>
        </w:tc>
        <w:tc>
          <w:tcPr>
            <w:tcW w:type="dxa" w:w="1500"/>
            <w:shd w:val="clear" w:color="auto" w:fill="E8E8E8"/>
          </w:tcPr>
          <w:p>
            <w:pPr>
              <w:jc w:val="left"/>
            </w:pPr>
            <w:r/>
            <w:r>
              <w:rPr>
                <w:b/>
                <w:sz w:val="18"/>
              </w:rPr>
              <w:t>X cruda</w:t>
            </w:r>
          </w:p>
        </w:tc>
        <w:tc>
          <w:tcPr>
            <w:tcW w:type="dxa" w:w="2538"/>
            <w:shd w:val="clear" w:color="auto" w:fill="E8E8E8"/>
          </w:tcPr>
          <w:p>
            <w:pPr>
              <w:jc w:val="left"/>
            </w:pPr>
            <w:r/>
            <w:r>
              <w:rPr>
                <w:b/>
                <w:sz w:val="18"/>
              </w:rPr>
              <w:t>Tipo</w:t>
            </w:r>
          </w:p>
        </w:tc>
      </w:tr>
      <w:tr>
        <w:tc>
          <w:tcPr>
            <w:tcW w:type="dxa" w:w="1900"/>
          </w:tcPr>
          <w:p>
            <w:pPr>
              <w:jc w:val="left"/>
            </w:pPr>
            <w:r/>
            <w:r>
              <w:rPr>
                <w:sz w:val="18"/>
              </w:rPr>
              <w:t>Manganeso</w:t>
            </w:r>
          </w:p>
        </w:tc>
        <w:tc>
          <w:tcPr>
            <w:tcW w:type="dxa" w:w="1400"/>
          </w:tcPr>
          <w:p>
            <w:pPr>
              <w:jc w:val="left"/>
            </w:pPr>
            <w:r/>
            <w:r>
              <w:rPr>
                <w:sz w:val="18"/>
              </w:rPr>
              <w:t>10,000</w:t>
            </w:r>
          </w:p>
        </w:tc>
        <w:tc>
          <w:tcPr>
            <w:tcW w:type="dxa" w:w="1500"/>
          </w:tcPr>
          <w:p>
            <w:pPr>
              <w:jc w:val="left"/>
            </w:pPr>
            <w:r/>
            <w:r>
              <w:rPr>
                <w:sz w:val="18"/>
              </w:rPr>
              <w:t>1.54</w:t>
            </w:r>
          </w:p>
        </w:tc>
        <w:tc>
          <w:tcPr>
            <w:tcW w:type="dxa" w:w="1500"/>
          </w:tcPr>
          <w:p>
            <w:pPr>
              <w:jc w:val="left"/>
            </w:pPr>
            <w:r/>
            <w:r>
              <w:rPr>
                <w:sz w:val="18"/>
              </w:rPr>
              <w:t>0%</w:t>
            </w:r>
          </w:p>
        </w:tc>
        <w:tc>
          <w:tcPr>
            <w:tcW w:type="dxa" w:w="2538"/>
          </w:tcPr>
          <w:p>
            <w:pPr>
              <w:jc w:val="left"/>
            </w:pPr>
            <w:r/>
            <w:r>
              <w:rPr>
                <w:sz w:val="18"/>
              </w:rPr>
              <w:t>A</w:t>
            </w:r>
          </w:p>
        </w:tc>
      </w:tr>
      <w:tr>
        <w:tc>
          <w:tcPr>
            <w:tcW w:type="dxa" w:w="1900"/>
          </w:tcPr>
          <w:p>
            <w:pPr>
              <w:jc w:val="left"/>
            </w:pPr>
            <w:r/>
            <w:r>
              <w:rPr>
                <w:sz w:val="18"/>
              </w:rPr>
              <w:t>Fluorita</w:t>
            </w:r>
          </w:p>
        </w:tc>
        <w:tc>
          <w:tcPr>
            <w:tcW w:type="dxa" w:w="1400"/>
          </w:tcPr>
          <w:p>
            <w:pPr>
              <w:jc w:val="left"/>
            </w:pPr>
            <w:r/>
            <w:r>
              <w:rPr>
                <w:sz w:val="18"/>
              </w:rPr>
              <w:t>10,000</w:t>
            </w:r>
          </w:p>
        </w:tc>
        <w:tc>
          <w:tcPr>
            <w:tcW w:type="dxa" w:w="1500"/>
          </w:tcPr>
          <w:p>
            <w:pPr>
              <w:jc w:val="left"/>
            </w:pPr>
            <w:r/>
            <w:r>
              <w:rPr>
                <w:sz w:val="18"/>
              </w:rPr>
              <w:t>1.31</w:t>
            </w:r>
          </w:p>
        </w:tc>
        <w:tc>
          <w:tcPr>
            <w:tcW w:type="dxa" w:w="1500"/>
          </w:tcPr>
          <w:p>
            <w:pPr>
              <w:jc w:val="left"/>
            </w:pPr>
            <w:r/>
            <w:r>
              <w:rPr>
                <w:sz w:val="18"/>
              </w:rPr>
              <w:t>61%</w:t>
            </w:r>
          </w:p>
        </w:tc>
        <w:tc>
          <w:tcPr>
            <w:tcW w:type="dxa" w:w="2538"/>
          </w:tcPr>
          <w:p>
            <w:pPr>
              <w:jc w:val="left"/>
            </w:pPr>
            <w:r/>
            <w:r>
              <w:rPr>
                <w:sz w:val="18"/>
              </w:rPr>
              <w:t>A</w:t>
            </w:r>
          </w:p>
        </w:tc>
      </w:tr>
      <w:tr>
        <w:tc>
          <w:tcPr>
            <w:tcW w:type="dxa" w:w="1900"/>
          </w:tcPr>
          <w:p>
            <w:pPr>
              <w:jc w:val="left"/>
            </w:pPr>
            <w:r/>
            <w:r>
              <w:rPr>
                <w:sz w:val="18"/>
              </w:rPr>
              <w:t>Cobre</w:t>
            </w:r>
          </w:p>
        </w:tc>
        <w:tc>
          <w:tcPr>
            <w:tcW w:type="dxa" w:w="1400"/>
          </w:tcPr>
          <w:p>
            <w:pPr>
              <w:jc w:val="left"/>
            </w:pPr>
            <w:r/>
            <w:r>
              <w:rPr>
                <w:sz w:val="18"/>
              </w:rPr>
              <w:t>≈3,650</w:t>
            </w:r>
          </w:p>
        </w:tc>
        <w:tc>
          <w:tcPr>
            <w:tcW w:type="dxa" w:w="1500"/>
          </w:tcPr>
          <w:p>
            <w:pPr>
              <w:jc w:val="left"/>
            </w:pPr>
            <w:r/>
            <w:r>
              <w:rPr>
                <w:sz w:val="18"/>
              </w:rPr>
              <w:t>1.34</w:t>
            </w:r>
          </w:p>
        </w:tc>
        <w:tc>
          <w:tcPr>
            <w:tcW w:type="dxa" w:w="1500"/>
          </w:tcPr>
          <w:p>
            <w:pPr>
              <w:jc w:val="left"/>
            </w:pPr>
            <w:r/>
            <w:r>
              <w:rPr>
                <w:sz w:val="18"/>
              </w:rPr>
              <w:t>68%</w:t>
            </w:r>
          </w:p>
        </w:tc>
        <w:tc>
          <w:tcPr>
            <w:tcW w:type="dxa" w:w="2538"/>
          </w:tcPr>
          <w:p>
            <w:pPr>
              <w:jc w:val="left"/>
            </w:pPr>
            <w:r/>
            <w:r>
              <w:rPr>
                <w:sz w:val="18"/>
              </w:rPr>
              <w:t>B</w:t>
            </w:r>
          </w:p>
        </w:tc>
      </w:tr>
      <w:tr>
        <w:tc>
          <w:tcPr>
            <w:tcW w:type="dxa" w:w="1900"/>
          </w:tcPr>
          <w:p>
            <w:pPr>
              <w:jc w:val="left"/>
            </w:pPr>
            <w:r/>
            <w:r>
              <w:rPr>
                <w:sz w:val="18"/>
              </w:rPr>
              <w:t>Oro</w:t>
            </w:r>
          </w:p>
        </w:tc>
        <w:tc>
          <w:tcPr>
            <w:tcW w:type="dxa" w:w="1400"/>
          </w:tcPr>
          <w:p>
            <w:pPr>
              <w:jc w:val="left"/>
            </w:pPr>
            <w:r/>
            <w:r>
              <w:rPr>
                <w:sz w:val="18"/>
              </w:rPr>
              <w:t>≈500</w:t>
            </w:r>
          </w:p>
        </w:tc>
        <w:tc>
          <w:tcPr>
            <w:tcW w:type="dxa" w:w="1500"/>
          </w:tcPr>
          <w:p>
            <w:pPr>
              <w:jc w:val="left"/>
            </w:pPr>
            <w:r/>
            <w:r>
              <w:rPr>
                <w:sz w:val="18"/>
              </w:rPr>
              <w:t>1.22</w:t>
            </w:r>
          </w:p>
        </w:tc>
        <w:tc>
          <w:tcPr>
            <w:tcW w:type="dxa" w:w="1500"/>
          </w:tcPr>
          <w:p>
            <w:pPr>
              <w:jc w:val="left"/>
            </w:pPr>
            <w:r/>
            <w:r>
              <w:rPr>
                <w:sz w:val="18"/>
              </w:rPr>
              <w:t>4%</w:t>
            </w:r>
          </w:p>
        </w:tc>
        <w:tc>
          <w:tcPr>
            <w:tcW w:type="dxa" w:w="2538"/>
          </w:tcPr>
          <w:p>
            <w:pPr>
              <w:jc w:val="left"/>
            </w:pPr>
            <w:r/>
            <w:r>
              <w:rPr>
                <w:sz w:val="18"/>
              </w:rPr>
              <w:t>B</w:t>
            </w:r>
          </w:p>
        </w:tc>
      </w:tr>
      <w:tr>
        <w:tc>
          <w:tcPr>
            <w:tcW w:type="dxa" w:w="1900"/>
          </w:tcPr>
          <w:p>
            <w:pPr>
              <w:jc w:val="left"/>
            </w:pPr>
            <w:r/>
            <w:r>
              <w:rPr>
                <w:sz w:val="18"/>
              </w:rPr>
              <w:t>Plata</w:t>
            </w:r>
          </w:p>
        </w:tc>
        <w:tc>
          <w:tcPr>
            <w:tcW w:type="dxa" w:w="1400"/>
          </w:tcPr>
          <w:p>
            <w:pPr>
              <w:jc w:val="left"/>
            </w:pPr>
            <w:r/>
            <w:r>
              <w:rPr>
                <w:sz w:val="18"/>
              </w:rPr>
              <w:t>≈890</w:t>
            </w:r>
          </w:p>
        </w:tc>
        <w:tc>
          <w:tcPr>
            <w:tcW w:type="dxa" w:w="1500"/>
          </w:tcPr>
          <w:p>
            <w:pPr>
              <w:jc w:val="left"/>
            </w:pPr>
            <w:r/>
            <w:r>
              <w:rPr>
                <w:sz w:val="18"/>
              </w:rPr>
              <w:t>1.18</w:t>
            </w:r>
          </w:p>
        </w:tc>
        <w:tc>
          <w:tcPr>
            <w:tcW w:type="dxa" w:w="1500"/>
          </w:tcPr>
          <w:p>
            <w:pPr>
              <w:jc w:val="left"/>
            </w:pPr>
            <w:r/>
            <w:r>
              <w:rPr>
                <w:sz w:val="18"/>
              </w:rPr>
              <w:t>3%</w:t>
            </w:r>
          </w:p>
        </w:tc>
        <w:tc>
          <w:tcPr>
            <w:tcW w:type="dxa" w:w="2538"/>
          </w:tcPr>
          <w:p>
            <w:pPr>
              <w:jc w:val="left"/>
            </w:pPr>
            <w:r/>
            <w:r>
              <w:rPr>
                <w:sz w:val="18"/>
              </w:rPr>
              <w:t>B</w:t>
            </w:r>
          </w:p>
        </w:tc>
      </w:tr>
      <w:tr>
        <w:tc>
          <w:tcPr>
            <w:tcW w:type="dxa" w:w="1900"/>
          </w:tcPr>
          <w:p>
            <w:pPr>
              <w:jc w:val="left"/>
            </w:pPr>
            <w:r/>
            <w:r>
              <w:rPr>
                <w:sz w:val="18"/>
              </w:rPr>
              <w:t>Plomo</w:t>
            </w:r>
          </w:p>
        </w:tc>
        <w:tc>
          <w:tcPr>
            <w:tcW w:type="dxa" w:w="1400"/>
          </w:tcPr>
          <w:p>
            <w:pPr>
              <w:jc w:val="left"/>
            </w:pPr>
            <w:r/>
            <w:r>
              <w:rPr>
                <w:sz w:val="18"/>
              </w:rPr>
              <w:t>≈1,450</w:t>
            </w:r>
          </w:p>
        </w:tc>
        <w:tc>
          <w:tcPr>
            <w:tcW w:type="dxa" w:w="1500"/>
          </w:tcPr>
          <w:p>
            <w:pPr>
              <w:jc w:val="left"/>
            </w:pPr>
            <w:r/>
            <w:r>
              <w:rPr>
                <w:sz w:val="18"/>
              </w:rPr>
              <w:t>0.71</w:t>
            </w:r>
          </w:p>
        </w:tc>
        <w:tc>
          <w:tcPr>
            <w:tcW w:type="dxa" w:w="1500"/>
          </w:tcPr>
          <w:p>
            <w:pPr>
              <w:jc w:val="left"/>
            </w:pPr>
            <w:r/>
            <w:r>
              <w:rPr>
                <w:sz w:val="18"/>
              </w:rPr>
              <w:t>83%</w:t>
            </w:r>
          </w:p>
        </w:tc>
        <w:tc>
          <w:tcPr>
            <w:tcW w:type="dxa" w:w="2538"/>
          </w:tcPr>
          <w:p>
            <w:pPr>
              <w:jc w:val="left"/>
            </w:pPr>
            <w:r/>
            <w:r>
              <w:rPr>
                <w:sz w:val="18"/>
              </w:rPr>
              <w:t>B</w:t>
            </w:r>
          </w:p>
        </w:tc>
      </w:tr>
      <w:tr>
        <w:tc>
          <w:tcPr>
            <w:tcW w:type="dxa" w:w="1900"/>
          </w:tcPr>
          <w:p>
            <w:pPr>
              <w:jc w:val="left"/>
            </w:pPr>
            <w:r/>
            <w:r>
              <w:rPr>
                <w:sz w:val="18"/>
              </w:rPr>
              <w:t>Zinc</w:t>
            </w:r>
          </w:p>
        </w:tc>
        <w:tc>
          <w:tcPr>
            <w:tcW w:type="dxa" w:w="1400"/>
          </w:tcPr>
          <w:p>
            <w:pPr>
              <w:jc w:val="left"/>
            </w:pPr>
            <w:r/>
            <w:r>
              <w:rPr>
                <w:sz w:val="18"/>
              </w:rPr>
              <w:t>≈1,450</w:t>
            </w:r>
          </w:p>
        </w:tc>
        <w:tc>
          <w:tcPr>
            <w:tcW w:type="dxa" w:w="1500"/>
          </w:tcPr>
          <w:p>
            <w:pPr>
              <w:jc w:val="left"/>
            </w:pPr>
            <w:r/>
            <w:r>
              <w:rPr>
                <w:sz w:val="18"/>
              </w:rPr>
              <w:t>0.71</w:t>
            </w:r>
          </w:p>
        </w:tc>
        <w:tc>
          <w:tcPr>
            <w:tcW w:type="dxa" w:w="1500"/>
          </w:tcPr>
          <w:p>
            <w:pPr>
              <w:jc w:val="left"/>
            </w:pPr>
            <w:r/>
            <w:r>
              <w:rPr>
                <w:sz w:val="18"/>
              </w:rPr>
              <w:t>55%</w:t>
            </w:r>
          </w:p>
        </w:tc>
        <w:tc>
          <w:tcPr>
            <w:tcW w:type="dxa" w:w="2538"/>
          </w:tcPr>
          <w:p>
            <w:pPr>
              <w:jc w:val="left"/>
            </w:pPr>
            <w:r/>
            <w:r>
              <w:rPr>
                <w:sz w:val="18"/>
              </w:rPr>
              <w:t>B</w:t>
            </w:r>
          </w:p>
        </w:tc>
      </w:tr>
      <w:tr>
        <w:tc>
          <w:tcPr>
            <w:tcW w:type="dxa" w:w="1900"/>
          </w:tcPr>
          <w:p>
            <w:pPr>
              <w:jc w:val="left"/>
            </w:pPr>
            <w:r/>
            <w:r>
              <w:rPr>
                <w:sz w:val="18"/>
              </w:rPr>
              <w:t>Sílice</w:t>
            </w:r>
          </w:p>
        </w:tc>
        <w:tc>
          <w:tcPr>
            <w:tcW w:type="dxa" w:w="1400"/>
          </w:tcPr>
          <w:p>
            <w:pPr>
              <w:jc w:val="left"/>
            </w:pPr>
            <w:r/>
            <w:r>
              <w:rPr>
                <w:sz w:val="18"/>
              </w:rPr>
              <w:t>≈7,300</w:t>
            </w:r>
          </w:p>
        </w:tc>
        <w:tc>
          <w:tcPr>
            <w:tcW w:type="dxa" w:w="1500"/>
          </w:tcPr>
          <w:p>
            <w:pPr>
              <w:jc w:val="left"/>
            </w:pPr>
            <w:r/>
            <w:r>
              <w:rPr>
                <w:sz w:val="18"/>
              </w:rPr>
              <w:t>1.92</w:t>
            </w:r>
          </w:p>
        </w:tc>
        <w:tc>
          <w:tcPr>
            <w:tcW w:type="dxa" w:w="1500"/>
          </w:tcPr>
          <w:p>
            <w:pPr>
              <w:jc w:val="left"/>
            </w:pPr>
            <w:r/>
            <w:r>
              <w:rPr>
                <w:sz w:val="18"/>
              </w:rPr>
              <w:t>20%</w:t>
            </w:r>
          </w:p>
        </w:tc>
        <w:tc>
          <w:tcPr>
            <w:tcW w:type="dxa" w:w="2538"/>
          </w:tcPr>
          <w:p>
            <w:pPr>
              <w:jc w:val="left"/>
            </w:pPr>
            <w:r/>
            <w:r>
              <w:rPr>
                <w:sz w:val="18"/>
              </w:rPr>
              <w:t>C</w:t>
            </w:r>
          </w:p>
        </w:tc>
      </w:tr>
      <w:tr>
        <w:tc>
          <w:tcPr>
            <w:tcW w:type="dxa" w:w="1900"/>
          </w:tcPr>
          <w:p>
            <w:pPr>
              <w:jc w:val="left"/>
            </w:pPr>
            <w:r/>
            <w:r>
              <w:rPr>
                <w:sz w:val="18"/>
              </w:rPr>
              <w:t>Grafito</w:t>
            </w:r>
          </w:p>
        </w:tc>
        <w:tc>
          <w:tcPr>
            <w:tcW w:type="dxa" w:w="1400"/>
          </w:tcPr>
          <w:p>
            <w:pPr>
              <w:jc w:val="left"/>
            </w:pPr>
            <w:r/>
            <w:r>
              <w:rPr>
                <w:sz w:val="18"/>
              </w:rPr>
              <w:t>10,000</w:t>
            </w:r>
          </w:p>
        </w:tc>
        <w:tc>
          <w:tcPr>
            <w:tcW w:type="dxa" w:w="1500"/>
          </w:tcPr>
          <w:p>
            <w:pPr>
              <w:jc w:val="left"/>
            </w:pPr>
            <w:r/>
            <w:r>
              <w:rPr>
                <w:sz w:val="18"/>
              </w:rPr>
              <w:t>1.71</w:t>
            </w:r>
          </w:p>
        </w:tc>
        <w:tc>
          <w:tcPr>
            <w:tcW w:type="dxa" w:w="1500"/>
          </w:tcPr>
          <w:p>
            <w:pPr>
              <w:jc w:val="left"/>
            </w:pPr>
            <w:r/>
            <w:r>
              <w:rPr>
                <w:sz w:val="18"/>
              </w:rPr>
              <w:t>1%</w:t>
            </w:r>
          </w:p>
        </w:tc>
        <w:tc>
          <w:tcPr>
            <w:tcW w:type="dxa" w:w="2538"/>
          </w:tcPr>
          <w:p>
            <w:pPr>
              <w:jc w:val="left"/>
            </w:pPr>
            <w:r/>
            <w:r>
              <w:rPr>
                <w:sz w:val="18"/>
              </w:rPr>
              <w:t>C</w:t>
            </w:r>
          </w:p>
        </w:tc>
      </w:tr>
      <w:tr>
        <w:tc>
          <w:tcPr>
            <w:tcW w:type="dxa" w:w="1900"/>
          </w:tcPr>
          <w:p>
            <w:pPr>
              <w:jc w:val="left"/>
            </w:pPr>
            <w:r/>
            <w:r>
              <w:rPr>
                <w:sz w:val="18"/>
              </w:rPr>
              <w:t>Barita</w:t>
            </w:r>
          </w:p>
        </w:tc>
        <w:tc>
          <w:tcPr>
            <w:tcW w:type="dxa" w:w="1400"/>
          </w:tcPr>
          <w:p>
            <w:pPr>
              <w:jc w:val="left"/>
            </w:pPr>
            <w:r/>
            <w:r>
              <w:rPr>
                <w:sz w:val="18"/>
              </w:rPr>
              <w:t>6,779→1,380</w:t>
            </w:r>
          </w:p>
        </w:tc>
        <w:tc>
          <w:tcPr>
            <w:tcW w:type="dxa" w:w="1500"/>
          </w:tcPr>
          <w:p>
            <w:pPr>
              <w:jc w:val="left"/>
            </w:pPr>
            <w:r/>
            <w:r>
              <w:rPr>
                <w:sz w:val="18"/>
              </w:rPr>
              <w:t>0.64</w:t>
            </w:r>
          </w:p>
        </w:tc>
        <w:tc>
          <w:tcPr>
            <w:tcW w:type="dxa" w:w="1500"/>
          </w:tcPr>
          <w:p>
            <w:pPr>
              <w:jc w:val="left"/>
            </w:pPr>
            <w:r/>
            <w:r>
              <w:rPr>
                <w:sz w:val="18"/>
              </w:rPr>
              <w:t>100%</w:t>
            </w:r>
          </w:p>
        </w:tc>
        <w:tc>
          <w:tcPr>
            <w:tcW w:type="dxa" w:w="2538"/>
          </w:tcPr>
          <w:p>
            <w:pPr>
              <w:jc w:val="left"/>
            </w:pPr>
            <w:r/>
            <w:r>
              <w:rPr>
                <w:sz w:val="18"/>
              </w:rPr>
              <w:t>D</w:t>
            </w:r>
          </w:p>
        </w:tc>
      </w:tr>
    </w:tbl>
    <w:p>
      <w:pPr>
        <w:spacing w:before="40" w:after="160"/>
      </w:pPr>
      <w:r>
        <w:rPr>
          <w:i/>
          <w:sz w:val="16"/>
        </w:rPr>
        <w:t>Cuadro VI.15. Indicadores por mineral: concentración (HHI, 2021-2023), encadenamiento hacia adelante (Ghosh normalizado, MIP 2018) y exportación en bruto (Comtrade, prom. 2018-2023). Tipo según la tipología.</w:t>
      </w:r>
    </w:p>
    <w:p>
      <w:pPr>
        <w:spacing w:after="120" w:line="276" w:lineRule="auto"/>
        <w:jc w:val="both"/>
      </w:pPr>
      <w:r>
        <w:t>Del cruce entre estructura extractiva y grado de transformación doméstica emergen cuatro tipos de mercado:</w:t>
      </w:r>
    </w:p>
    <w:tbl>
      <w:tblPr>
        <w:tblStyle w:val="TableGrid"/>
        <w:tblW w:type="auto" w:w="0"/>
        <w:jc w:val="center"/>
        <w:tblLayout w:type="fixed"/>
        <w:tblLook w:firstColumn="1" w:firstRow="1" w:lastColumn="0" w:lastRow="0" w:noHBand="0" w:noVBand="1" w:val="04A0"/>
      </w:tblPr>
      <w:tblGrid>
        <w:gridCol w:w="2946"/>
        <w:gridCol w:w="2946"/>
        <w:gridCol w:w="2946"/>
      </w:tblGrid>
      <w:tr>
        <w:tc>
          <w:tcPr>
            <w:tcW w:type="dxa" w:w="2500"/>
            <w:shd w:val="clear" w:color="auto" w:fill="E8E8E8"/>
          </w:tcPr>
          <w:p>
            <w:pPr>
              <w:jc w:val="left"/>
            </w:pPr>
            <w:r/>
            <w:r>
              <w:rPr>
                <w:b/>
                <w:sz w:val="18"/>
              </w:rPr>
              <w:t>Tipo</w:t>
            </w:r>
          </w:p>
        </w:tc>
        <w:tc>
          <w:tcPr>
            <w:tcW w:type="dxa" w:w="2100"/>
            <w:shd w:val="clear" w:color="auto" w:fill="E8E8E8"/>
          </w:tcPr>
          <w:p>
            <w:pPr>
              <w:jc w:val="left"/>
            </w:pPr>
            <w:r/>
            <w:r>
              <w:rPr>
                <w:b/>
                <w:sz w:val="18"/>
              </w:rPr>
              <w:t>Minerales</w:t>
            </w:r>
          </w:p>
        </w:tc>
        <w:tc>
          <w:tcPr>
            <w:tcW w:type="dxa" w:w="4238"/>
            <w:shd w:val="clear" w:color="auto" w:fill="E8E8E8"/>
          </w:tcPr>
          <w:p>
            <w:pPr>
              <w:jc w:val="left"/>
            </w:pPr>
            <w:r/>
            <w:r>
              <w:rPr>
                <w:b/>
                <w:sz w:val="18"/>
              </w:rPr>
              <w:t>Rasgo</w:t>
            </w:r>
          </w:p>
        </w:tc>
      </w:tr>
      <w:tr>
        <w:tc>
          <w:tcPr>
            <w:tcW w:type="dxa" w:w="2500"/>
          </w:tcPr>
          <w:p>
            <w:pPr>
              <w:jc w:val="left"/>
            </w:pPr>
            <w:r/>
            <w:r>
              <w:rPr>
                <w:sz w:val="18"/>
              </w:rPr>
              <w:t>A · Cadena local desarrollada</w:t>
            </w:r>
          </w:p>
        </w:tc>
        <w:tc>
          <w:tcPr>
            <w:tcW w:type="dxa" w:w="2100"/>
          </w:tcPr>
          <w:p>
            <w:pPr>
              <w:jc w:val="left"/>
            </w:pPr>
            <w:r/>
            <w:r>
              <w:rPr>
                <w:sz w:val="18"/>
              </w:rPr>
              <w:t>Manganeso; Fluorita</w:t>
            </w:r>
          </w:p>
        </w:tc>
        <w:tc>
          <w:tcPr>
            <w:tcW w:type="dxa" w:w="4238"/>
          </w:tcPr>
          <w:p>
            <w:pPr>
              <w:jc w:val="left"/>
            </w:pPr>
            <w:r/>
            <w:r>
              <w:rPr>
                <w:sz w:val="18"/>
              </w:rPr>
              <w:t>Transformación doméstica de escala (Autlán→acero; Koura→HF); integración vertical del extractor.</w:t>
            </w:r>
          </w:p>
        </w:tc>
      </w:tr>
      <w:tr>
        <w:tc>
          <w:tcPr>
            <w:tcW w:type="dxa" w:w="2500"/>
          </w:tcPr>
          <w:p>
            <w:pPr>
              <w:jc w:val="left"/>
            </w:pPr>
            <w:r/>
            <w:r>
              <w:rPr>
                <w:sz w:val="18"/>
              </w:rPr>
              <w:t>B · Truncada en el metal refinado</w:t>
            </w:r>
          </w:p>
        </w:tc>
        <w:tc>
          <w:tcPr>
            <w:tcW w:type="dxa" w:w="2100"/>
          </w:tcPr>
          <w:p>
            <w:pPr>
              <w:jc w:val="left"/>
            </w:pPr>
            <w:r/>
            <w:r>
              <w:rPr>
                <w:sz w:val="18"/>
              </w:rPr>
              <w:t>Cobre; Oro; Plata; Plomo; Zinc</w:t>
            </w:r>
          </w:p>
        </w:tc>
        <w:tc>
          <w:tcPr>
            <w:tcW w:type="dxa" w:w="4238"/>
          </w:tcPr>
          <w:p>
            <w:pPr>
              <w:jc w:val="left"/>
            </w:pPr>
            <w:r/>
            <w:r>
              <w:rPr>
                <w:sz w:val="18"/>
              </w:rPr>
              <w:t>Los grupos integran hasta fundición/refinación y exportan el metal; poca manufactura aguas abajo.</w:t>
            </w:r>
          </w:p>
        </w:tc>
      </w:tr>
      <w:tr>
        <w:tc>
          <w:tcPr>
            <w:tcW w:type="dxa" w:w="2500"/>
          </w:tcPr>
          <w:p>
            <w:pPr>
              <w:jc w:val="left"/>
            </w:pPr>
            <w:r/>
            <w:r>
              <w:rPr>
                <w:sz w:val="18"/>
              </w:rPr>
              <w:t>C · Usuario doméstico con eslabón importado</w:t>
            </w:r>
          </w:p>
        </w:tc>
        <w:tc>
          <w:tcPr>
            <w:tcW w:type="dxa" w:w="2100"/>
          </w:tcPr>
          <w:p>
            <w:pPr>
              <w:jc w:val="left"/>
            </w:pPr>
            <w:r/>
            <w:r>
              <w:rPr>
                <w:sz w:val="18"/>
              </w:rPr>
              <w:t>Sílice; Grafito</w:t>
            </w:r>
          </w:p>
        </w:tc>
        <w:tc>
          <w:tcPr>
            <w:tcW w:type="dxa" w:w="4238"/>
          </w:tcPr>
          <w:p>
            <w:pPr>
              <w:jc w:val="left"/>
            </w:pPr>
            <w:r/>
            <w:r>
              <w:rPr>
                <w:sz w:val="18"/>
              </w:rPr>
              <w:t>Existe industria usuaria (vidrio, acero) pero el eslabón intermedio de mayor valor (silicio, electrodos) se importa.</w:t>
            </w:r>
          </w:p>
        </w:tc>
      </w:tr>
      <w:tr>
        <w:tc>
          <w:tcPr>
            <w:tcW w:type="dxa" w:w="2500"/>
          </w:tcPr>
          <w:p>
            <w:pPr>
              <w:jc w:val="left"/>
            </w:pPr>
            <w:r/>
            <w:r>
              <w:rPr>
                <w:sz w:val="18"/>
              </w:rPr>
              <w:t>D · Exportación en bruto</w:t>
            </w:r>
          </w:p>
        </w:tc>
        <w:tc>
          <w:tcPr>
            <w:tcW w:type="dxa" w:w="2100"/>
          </w:tcPr>
          <w:p>
            <w:pPr>
              <w:jc w:val="left"/>
            </w:pPr>
            <w:r/>
            <w:r>
              <w:rPr>
                <w:sz w:val="18"/>
              </w:rPr>
              <w:t>Barita</w:t>
            </w:r>
          </w:p>
        </w:tc>
        <w:tc>
          <w:tcPr>
            <w:tcW w:type="dxa" w:w="4238"/>
          </w:tcPr>
          <w:p>
            <w:pPr>
              <w:jc w:val="left"/>
            </w:pPr>
            <w:r/>
            <w:r>
              <w:rPr>
                <w:sz w:val="18"/>
              </w:rPr>
              <w:t>Sin eslabón manufacturero doméstico; uso interno marginal (perforación).</w:t>
            </w:r>
          </w:p>
        </w:tc>
      </w:tr>
    </w:tbl>
    <w:p>
      <w:pPr>
        <w:spacing w:before="40" w:after="160"/>
      </w:pPr>
      <w:r>
        <w:rPr>
          <w:i/>
          <w:sz w:val="16"/>
        </w:rPr>
        <w:t>Cuadro VI.16. Tipología de los mercados según su posición en la cadena de valor.</w:t>
      </w:r>
    </w:p>
    <w:p>
      <w:pPr>
        <w:spacing w:after="120" w:line="276" w:lineRule="auto"/>
        <w:jc w:val="both"/>
      </w:pPr>
      <w:r>
        <w:t xml:space="preserve">La tipología muestra que el enclave estructural no es uniforme. En un extremo, </w:t>
      </w:r>
      <w:r>
        <w:rPr>
          <w:b w:val="0"/>
          <w:i/>
        </w:rPr>
        <w:t>manganeso</w:t>
      </w:r>
      <w:r>
        <w:t xml:space="preserve"> y </w:t>
      </w:r>
      <w:r>
        <w:rPr>
          <w:b w:val="0"/>
          <w:i/>
        </w:rPr>
        <w:t>fluorita</w:t>
      </w:r>
      <w:r>
        <w:t xml:space="preserve"> exhiben cadenas locales verticalmente integradas de escala internacional (tipo A). En el grueso de los metales (tipo B), la transformación existe pero se detiene en el metal refinado, controlada por los mismos grupos extractivos. </w:t>
      </w:r>
      <w:r>
        <w:rPr>
          <w:b w:val="0"/>
          <w:i/>
        </w:rPr>
        <w:t>Sílice</w:t>
      </w:r>
      <w:r>
        <w:t xml:space="preserve"> y </w:t>
      </w:r>
      <w:r>
        <w:rPr>
          <w:b w:val="0"/>
          <w:i/>
        </w:rPr>
        <w:t>grafito</w:t>
      </w:r>
      <w:r>
        <w:t xml:space="preserve"> (tipo C) tienen industria usuaria doméstica, pero importan el eslabón intermedio de mayor valor. Y la </w:t>
      </w:r>
      <w:r>
        <w:rPr>
          <w:b w:val="0"/>
          <w:i/>
        </w:rPr>
        <w:t>barita</w:t>
      </w:r>
      <w:r>
        <w:t xml:space="preserve"> (tipo D) se exporta esencialmente en bruto. Un hallazgo transversal, revelado por el análisis a nivel de empresa, es que buena parte de la cadena local ocurre </w:t>
      </w:r>
      <w:r>
        <w:rPr>
          <w:b/>
          <w:i w:val="0"/>
        </w:rPr>
        <w:t>dentro de las firmas extractivas</w:t>
      </w:r>
      <w:r>
        <w:t xml:space="preserve"> (integración vertical), lo que el dato sectorial subestima —el caso de la fluorita, cuyo eslabón de HF quedaba oculto, es ilustrativo—.</w:t>
      </w:r>
    </w:p>
    <w:p>
      <w:pPr>
        <w:jc w:val="center"/>
      </w:pPr>
      <w:r>
        <w:drawing>
          <wp:inline xmlns:a="http://schemas.openxmlformats.org/drawingml/2006/main" xmlns:pic="http://schemas.openxmlformats.org/drawingml/2006/picture">
            <wp:extent cx="5760720" cy="2481541"/>
            <wp:docPr id="1" name="Picture 1"/>
            <wp:cNvGraphicFramePr>
              <a:graphicFrameLocks noChangeAspect="1"/>
            </wp:cNvGraphicFramePr>
            <a:graphic>
              <a:graphicData uri="http://schemas.openxmlformats.org/drawingml/2006/picture">
                <pic:pic>
                  <pic:nvPicPr>
                    <pic:cNvPr id="0" name="mapa_conjunto.png"/>
                    <pic:cNvPicPr/>
                  </pic:nvPicPr>
                  <pic:blipFill>
                    <a:blip r:embed="rId9"/>
                    <a:stretch>
                      <a:fillRect/>
                    </a:stretch>
                  </pic:blipFill>
                  <pic:spPr>
                    <a:xfrm>
                      <a:off x="0" y="0"/>
                      <a:ext cx="5760720" cy="2481541"/>
                    </a:xfrm>
                    <a:prstGeom prst="rect"/>
                  </pic:spPr>
                </pic:pic>
              </a:graphicData>
            </a:graphic>
          </wp:inline>
        </w:drawing>
      </w:r>
    </w:p>
    <w:p>
      <w:pPr>
        <w:spacing w:after="160"/>
        <w:jc w:val="center"/>
      </w:pPr>
      <w:r>
        <w:rPr>
          <w:i/>
          <w:sz w:val="16"/>
        </w:rPr>
        <w:t>Figura VI.1. Visión de conjunto. Izquierda: estados extractores (número de minerales con ≥5% de participación) y hubs de transformación. Derecha: ejes comerciales del bloque —destino de exportación (rojo) y origen de importación (azul)—. Elaboración propia con SGM 2024 y UN Comtrade 2019-2024. Mapas por mineral en 13 Entregables/mapas.</w:t>
      </w:r>
    </w:p>
    <w:p>
      <w:pPr>
        <w:spacing w:before="280" w:after="120"/>
      </w:pPr>
      <w:r>
        <w:rPr>
          <w:b/>
          <w:color w:val="1A1A1A"/>
          <w:sz w:val="28"/>
        </w:rPr>
        <w:t>VI.8  Las cadenas de valor locales: cuantificación por eslabón y punto de ruptura</w:t>
      </w:r>
    </w:p>
    <w:p>
      <w:pPr>
        <w:spacing w:after="120" w:line="276" w:lineRule="auto"/>
        <w:ind w:firstLine="420"/>
        <w:jc w:val="both"/>
      </w:pPr>
      <w:r>
        <w:t xml:space="preserve">La caracterización anterior se formaliza en </w:t>
      </w:r>
      <w:r>
        <w:rPr>
          <w:b/>
          <w:i w:val="0"/>
        </w:rPr>
        <w:t>diez fichas de cadena de valor</w:t>
      </w:r>
      <w:r>
        <w:t xml:space="preserve"> (una por mineral), que aplican la notación de eslabones L0–L4 (VI.2.1): mapean cada eslabón, lo cuantifican —valor de producción y empleo desde la matriz insumo-producto; exportaciones e importaciones por etapa— y localizan el </w:t>
      </w:r>
      <w:r>
        <w:rPr>
          <w:b/>
          <w:i w:val="0"/>
        </w:rPr>
        <w:t>punto de ruptura</w:t>
      </w:r>
      <w:r>
        <w:t>, el eslabón a partir del cual la cadena deja de agregar valor dentro del país. El Cuadro VI.17 resume, por mineral, ese punto y el tipo resultante.</w:t>
      </w:r>
    </w:p>
    <w:tbl>
      <w:tblPr>
        <w:tblStyle w:val="TableGrid"/>
        <w:tblW w:type="auto" w:w="0"/>
        <w:jc w:val="center"/>
        <w:tblLayout w:type="fixed"/>
        <w:tblLook w:firstColumn="1" w:firstRow="1" w:lastColumn="0" w:lastRow="0" w:noHBand="0" w:noVBand="1" w:val="04A0"/>
      </w:tblPr>
      <w:tblGrid>
        <w:gridCol w:w="2209"/>
        <w:gridCol w:w="2209"/>
        <w:gridCol w:w="2209"/>
        <w:gridCol w:w="2209"/>
      </w:tblGrid>
      <w:tr>
        <w:tc>
          <w:tcPr>
            <w:tcW w:type="dxa" w:w="1700"/>
            <w:shd w:val="clear" w:color="auto" w:fill="E8E8E8"/>
          </w:tcPr>
          <w:p>
            <w:pPr>
              <w:jc w:val="left"/>
            </w:pPr>
            <w:r/>
            <w:r>
              <w:rPr>
                <w:b/>
                <w:sz w:val="18"/>
              </w:rPr>
              <w:t>Mineral</w:t>
            </w:r>
          </w:p>
        </w:tc>
        <w:tc>
          <w:tcPr>
            <w:tcW w:type="dxa" w:w="900"/>
            <w:shd w:val="clear" w:color="auto" w:fill="E8E8E8"/>
          </w:tcPr>
          <w:p>
            <w:pPr>
              <w:jc w:val="left"/>
            </w:pPr>
            <w:r/>
            <w:r>
              <w:rPr>
                <w:b/>
                <w:sz w:val="18"/>
              </w:rPr>
              <w:t>Tipo</w:t>
            </w:r>
          </w:p>
        </w:tc>
        <w:tc>
          <w:tcPr>
            <w:tcW w:type="dxa" w:w="1650"/>
            <w:shd w:val="clear" w:color="auto" w:fill="E8E8E8"/>
          </w:tcPr>
          <w:p>
            <w:pPr>
              <w:jc w:val="left"/>
            </w:pPr>
            <w:r/>
            <w:r>
              <w:rPr>
                <w:b/>
                <w:sz w:val="18"/>
              </w:rPr>
              <w:t>Ruptura</w:t>
            </w:r>
          </w:p>
        </w:tc>
        <w:tc>
          <w:tcPr>
            <w:tcW w:type="dxa" w:w="5288"/>
            <w:shd w:val="clear" w:color="auto" w:fill="E8E8E8"/>
          </w:tcPr>
          <w:p>
            <w:pPr>
              <w:jc w:val="left"/>
            </w:pPr>
            <w:r/>
            <w:r>
              <w:rPr>
                <w:b/>
                <w:sz w:val="18"/>
              </w:rPr>
              <w:t>Lectura</w:t>
            </w:r>
          </w:p>
        </w:tc>
      </w:tr>
      <w:tr>
        <w:tc>
          <w:tcPr>
            <w:tcW w:type="dxa" w:w="1700"/>
          </w:tcPr>
          <w:p>
            <w:pPr>
              <w:jc w:val="left"/>
            </w:pPr>
            <w:r/>
            <w:r>
              <w:rPr>
                <w:sz w:val="18"/>
              </w:rPr>
              <w:t>Cobre</w:t>
            </w:r>
          </w:p>
        </w:tc>
        <w:tc>
          <w:tcPr>
            <w:tcW w:type="dxa" w:w="900"/>
          </w:tcPr>
          <w:p>
            <w:pPr>
              <w:jc w:val="left"/>
            </w:pPr>
            <w:r/>
            <w:r>
              <w:rPr>
                <w:sz w:val="18"/>
              </w:rPr>
              <w:t>B</w:t>
            </w:r>
          </w:p>
        </w:tc>
        <w:tc>
          <w:tcPr>
            <w:tcW w:type="dxa" w:w="1650"/>
          </w:tcPr>
          <w:p>
            <w:pPr>
              <w:jc w:val="left"/>
            </w:pPr>
            <w:r/>
            <w:r>
              <w:rPr>
                <w:sz w:val="18"/>
              </w:rPr>
              <w:t>L2→L3</w:t>
            </w:r>
          </w:p>
        </w:tc>
        <w:tc>
          <w:tcPr>
            <w:tcW w:type="dxa" w:w="5288"/>
          </w:tcPr>
          <w:p>
            <w:pPr>
              <w:jc w:val="left"/>
            </w:pPr>
            <w:r/>
            <w:r>
              <w:rPr>
                <w:sz w:val="18"/>
              </w:rPr>
              <w:t>Refina, pero exporta concentrado (61→81 %) e importa semis.</w:t>
            </w:r>
          </w:p>
        </w:tc>
      </w:tr>
      <w:tr>
        <w:tc>
          <w:tcPr>
            <w:tcW w:type="dxa" w:w="1700"/>
          </w:tcPr>
          <w:p>
            <w:pPr>
              <w:jc w:val="left"/>
            </w:pPr>
            <w:r/>
            <w:r>
              <w:rPr>
                <w:sz w:val="18"/>
              </w:rPr>
              <w:t>Plomo</w:t>
            </w:r>
          </w:p>
        </w:tc>
        <w:tc>
          <w:tcPr>
            <w:tcW w:type="dxa" w:w="900"/>
          </w:tcPr>
          <w:p>
            <w:pPr>
              <w:jc w:val="left"/>
            </w:pPr>
            <w:r/>
            <w:r>
              <w:rPr>
                <w:sz w:val="18"/>
              </w:rPr>
              <w:t>B</w:t>
            </w:r>
          </w:p>
        </w:tc>
        <w:tc>
          <w:tcPr>
            <w:tcW w:type="dxa" w:w="1650"/>
          </w:tcPr>
          <w:p>
            <w:pPr>
              <w:jc w:val="left"/>
            </w:pPr>
            <w:r/>
            <w:r>
              <w:rPr>
                <w:sz w:val="18"/>
              </w:rPr>
              <w:t>L1→L2</w:t>
            </w:r>
          </w:p>
        </w:tc>
        <w:tc>
          <w:tcPr>
            <w:tcW w:type="dxa" w:w="5288"/>
          </w:tcPr>
          <w:p>
            <w:pPr>
              <w:jc w:val="left"/>
            </w:pPr>
            <w:r/>
            <w:r>
              <w:rPr>
                <w:sz w:val="18"/>
              </w:rPr>
              <w:t>Exporta concentrado (86 %); refinación y baterías desacopladas del primario.</w:t>
            </w:r>
          </w:p>
        </w:tc>
      </w:tr>
      <w:tr>
        <w:tc>
          <w:tcPr>
            <w:tcW w:type="dxa" w:w="1700"/>
          </w:tcPr>
          <w:p>
            <w:pPr>
              <w:jc w:val="left"/>
            </w:pPr>
            <w:r/>
            <w:r>
              <w:rPr>
                <w:sz w:val="18"/>
              </w:rPr>
              <w:t>Zinc</w:t>
            </w:r>
          </w:p>
        </w:tc>
        <w:tc>
          <w:tcPr>
            <w:tcW w:type="dxa" w:w="900"/>
          </w:tcPr>
          <w:p>
            <w:pPr>
              <w:jc w:val="left"/>
            </w:pPr>
            <w:r/>
            <w:r>
              <w:rPr>
                <w:sz w:val="18"/>
              </w:rPr>
              <w:t>B</w:t>
            </w:r>
          </w:p>
        </w:tc>
        <w:tc>
          <w:tcPr>
            <w:tcW w:type="dxa" w:w="1650"/>
          </w:tcPr>
          <w:p>
            <w:pPr>
              <w:jc w:val="left"/>
            </w:pPr>
            <w:r/>
            <w:r>
              <w:rPr>
                <w:sz w:val="18"/>
              </w:rPr>
              <w:t>L1→L2</w:t>
            </w:r>
          </w:p>
        </w:tc>
        <w:tc>
          <w:tcPr>
            <w:tcW w:type="dxa" w:w="5288"/>
          </w:tcPr>
          <w:p>
            <w:pPr>
              <w:jc w:val="left"/>
            </w:pPr>
            <w:r/>
            <w:r>
              <w:rPr>
                <w:sz w:val="18"/>
              </w:rPr>
              <w:t>Refina (IMMSA/Peñoles) pero exporta concentrado (64→80 %); semis importados.</w:t>
            </w:r>
          </w:p>
        </w:tc>
      </w:tr>
      <w:tr>
        <w:tc>
          <w:tcPr>
            <w:tcW w:type="dxa" w:w="1700"/>
          </w:tcPr>
          <w:p>
            <w:pPr>
              <w:jc w:val="left"/>
            </w:pPr>
            <w:r/>
            <w:r>
              <w:rPr>
                <w:sz w:val="18"/>
              </w:rPr>
              <w:t>Manganeso</w:t>
            </w:r>
          </w:p>
        </w:tc>
        <w:tc>
          <w:tcPr>
            <w:tcW w:type="dxa" w:w="900"/>
          </w:tcPr>
          <w:p>
            <w:pPr>
              <w:jc w:val="left"/>
            </w:pPr>
            <w:r/>
            <w:r>
              <w:rPr>
                <w:sz w:val="18"/>
              </w:rPr>
              <w:t>A</w:t>
            </w:r>
          </w:p>
        </w:tc>
        <w:tc>
          <w:tcPr>
            <w:tcW w:type="dxa" w:w="1650"/>
          </w:tcPr>
          <w:p>
            <w:pPr>
              <w:jc w:val="left"/>
            </w:pPr>
            <w:r/>
            <w:r>
              <w:rPr>
                <w:sz w:val="18"/>
              </w:rPr>
              <w:t>L2→L3</w:t>
            </w:r>
          </w:p>
        </w:tc>
        <w:tc>
          <w:tcPr>
            <w:tcW w:type="dxa" w:w="5288"/>
          </w:tcPr>
          <w:p>
            <w:pPr>
              <w:jc w:val="left"/>
            </w:pPr>
            <w:r/>
            <w:r>
              <w:rPr>
                <w:sz w:val="18"/>
              </w:rPr>
              <w:t>Autlán exporta ferroaleación, no mena; falta la química fina de Mn.</w:t>
            </w:r>
          </w:p>
        </w:tc>
      </w:tr>
      <w:tr>
        <w:tc>
          <w:tcPr>
            <w:tcW w:type="dxa" w:w="1700"/>
          </w:tcPr>
          <w:p>
            <w:pPr>
              <w:jc w:val="left"/>
            </w:pPr>
            <w:r/>
            <w:r>
              <w:rPr>
                <w:sz w:val="18"/>
              </w:rPr>
              <w:t>Oro</w:t>
            </w:r>
          </w:p>
        </w:tc>
        <w:tc>
          <w:tcPr>
            <w:tcW w:type="dxa" w:w="900"/>
          </w:tcPr>
          <w:p>
            <w:pPr>
              <w:jc w:val="left"/>
            </w:pPr>
            <w:r/>
            <w:r>
              <w:rPr>
                <w:sz w:val="18"/>
              </w:rPr>
              <w:t>B</w:t>
            </w:r>
          </w:p>
        </w:tc>
        <w:tc>
          <w:tcPr>
            <w:tcW w:type="dxa" w:w="1650"/>
          </w:tcPr>
          <w:p>
            <w:pPr>
              <w:jc w:val="left"/>
            </w:pPr>
            <w:r/>
            <w:r>
              <w:rPr>
                <w:sz w:val="18"/>
              </w:rPr>
              <w:t>L2→L4</w:t>
            </w:r>
          </w:p>
        </w:tc>
        <w:tc>
          <w:tcPr>
            <w:tcW w:type="dxa" w:w="5288"/>
          </w:tcPr>
          <w:p>
            <w:pPr>
              <w:jc w:val="left"/>
            </w:pPr>
            <w:r/>
            <w:r>
              <w:rPr>
                <w:sz w:val="18"/>
              </w:rPr>
              <w:t>Exporta metal refinado (doré); joyería importada.</w:t>
            </w:r>
          </w:p>
        </w:tc>
      </w:tr>
      <w:tr>
        <w:tc>
          <w:tcPr>
            <w:tcW w:type="dxa" w:w="1700"/>
          </w:tcPr>
          <w:p>
            <w:pPr>
              <w:jc w:val="left"/>
            </w:pPr>
            <w:r/>
            <w:r>
              <w:rPr>
                <w:sz w:val="18"/>
              </w:rPr>
              <w:t>Plata</w:t>
            </w:r>
          </w:p>
        </w:tc>
        <w:tc>
          <w:tcPr>
            <w:tcW w:type="dxa" w:w="900"/>
          </w:tcPr>
          <w:p>
            <w:pPr>
              <w:jc w:val="left"/>
            </w:pPr>
            <w:r/>
            <w:r>
              <w:rPr>
                <w:sz w:val="18"/>
              </w:rPr>
              <w:t>B</w:t>
            </w:r>
          </w:p>
        </w:tc>
        <w:tc>
          <w:tcPr>
            <w:tcW w:type="dxa" w:w="1650"/>
          </w:tcPr>
          <w:p>
            <w:pPr>
              <w:jc w:val="left"/>
            </w:pPr>
            <w:r/>
            <w:r>
              <w:rPr>
                <w:sz w:val="18"/>
              </w:rPr>
              <w:t>L2→L4</w:t>
            </w:r>
          </w:p>
        </w:tc>
        <w:tc>
          <w:tcPr>
            <w:tcW w:type="dxa" w:w="5288"/>
          </w:tcPr>
          <w:p>
            <w:pPr>
              <w:jc w:val="left"/>
            </w:pPr>
            <w:r/>
            <w:r>
              <w:rPr>
                <w:sz w:val="18"/>
              </w:rPr>
              <w:t>1.º mundial; se cierra en el lingote, no en la manufactura.</w:t>
            </w:r>
          </w:p>
        </w:tc>
      </w:tr>
      <w:tr>
        <w:tc>
          <w:tcPr>
            <w:tcW w:type="dxa" w:w="1700"/>
          </w:tcPr>
          <w:p>
            <w:pPr>
              <w:jc w:val="left"/>
            </w:pPr>
            <w:r/>
            <w:r>
              <w:rPr>
                <w:sz w:val="18"/>
              </w:rPr>
              <w:t>Barita</w:t>
            </w:r>
          </w:p>
        </w:tc>
        <w:tc>
          <w:tcPr>
            <w:tcW w:type="dxa" w:w="900"/>
          </w:tcPr>
          <w:p>
            <w:pPr>
              <w:jc w:val="left"/>
            </w:pPr>
            <w:r/>
            <w:r>
              <w:rPr>
                <w:sz w:val="18"/>
              </w:rPr>
              <w:t>D</w:t>
            </w:r>
          </w:p>
        </w:tc>
        <w:tc>
          <w:tcPr>
            <w:tcW w:type="dxa" w:w="1650"/>
          </w:tcPr>
          <w:p>
            <w:pPr>
              <w:jc w:val="left"/>
            </w:pPr>
            <w:r/>
            <w:r>
              <w:rPr>
                <w:sz w:val="18"/>
              </w:rPr>
              <w:t>L1→L2</w:t>
            </w:r>
          </w:p>
        </w:tc>
        <w:tc>
          <w:tcPr>
            <w:tcW w:type="dxa" w:w="5288"/>
          </w:tcPr>
          <w:p>
            <w:pPr>
              <w:jc w:val="left"/>
            </w:pPr>
            <w:r/>
            <w:r>
              <w:rPr>
                <w:sz w:val="18"/>
              </w:rPr>
              <w:t>Uso en bruto (perforación); sin química del bario.</w:t>
            </w:r>
          </w:p>
        </w:tc>
      </w:tr>
      <w:tr>
        <w:tc>
          <w:tcPr>
            <w:tcW w:type="dxa" w:w="1700"/>
          </w:tcPr>
          <w:p>
            <w:pPr>
              <w:jc w:val="left"/>
            </w:pPr>
            <w:r/>
            <w:r>
              <w:rPr>
                <w:sz w:val="18"/>
              </w:rPr>
              <w:t>Fluorita</w:t>
            </w:r>
          </w:p>
        </w:tc>
        <w:tc>
          <w:tcPr>
            <w:tcW w:type="dxa" w:w="900"/>
          </w:tcPr>
          <w:p>
            <w:pPr>
              <w:jc w:val="left"/>
            </w:pPr>
            <w:r/>
            <w:r>
              <w:rPr>
                <w:sz w:val="18"/>
              </w:rPr>
              <w:t>A</w:t>
            </w:r>
          </w:p>
        </w:tc>
        <w:tc>
          <w:tcPr>
            <w:tcW w:type="dxa" w:w="1650"/>
          </w:tcPr>
          <w:p>
            <w:pPr>
              <w:jc w:val="left"/>
            </w:pPr>
            <w:r/>
            <w:r>
              <w:rPr>
                <w:sz w:val="18"/>
              </w:rPr>
              <w:t>L2→L3</w:t>
            </w:r>
          </w:p>
        </w:tc>
        <w:tc>
          <w:tcPr>
            <w:tcW w:type="dxa" w:w="5288"/>
          </w:tcPr>
          <w:p>
            <w:pPr>
              <w:jc w:val="left"/>
            </w:pPr>
            <w:r/>
            <w:r>
              <w:rPr>
                <w:sz w:val="18"/>
              </w:rPr>
              <w:t>HF de clase mundial (Koura), pero fluoropolímeros importados; enclave de exportación.</w:t>
            </w:r>
          </w:p>
        </w:tc>
      </w:tr>
      <w:tr>
        <w:tc>
          <w:tcPr>
            <w:tcW w:type="dxa" w:w="1700"/>
          </w:tcPr>
          <w:p>
            <w:pPr>
              <w:jc w:val="left"/>
            </w:pPr>
            <w:r/>
            <w:r>
              <w:rPr>
                <w:sz w:val="18"/>
              </w:rPr>
              <w:t>Grafito</w:t>
            </w:r>
          </w:p>
        </w:tc>
        <w:tc>
          <w:tcPr>
            <w:tcW w:type="dxa" w:w="900"/>
          </w:tcPr>
          <w:p>
            <w:pPr>
              <w:jc w:val="left"/>
            </w:pPr>
            <w:r/>
            <w:r>
              <w:rPr>
                <w:sz w:val="18"/>
              </w:rPr>
              <w:t>C</w:t>
            </w:r>
          </w:p>
        </w:tc>
        <w:tc>
          <w:tcPr>
            <w:tcW w:type="dxa" w:w="1650"/>
          </w:tcPr>
          <w:p>
            <w:pPr>
              <w:jc w:val="left"/>
            </w:pPr>
            <w:r/>
            <w:r>
              <w:rPr>
                <w:sz w:val="18"/>
              </w:rPr>
              <w:t>L1→L2</w:t>
            </w:r>
          </w:p>
        </w:tc>
        <w:tc>
          <w:tcPr>
            <w:tcW w:type="dxa" w:w="5288"/>
          </w:tcPr>
          <w:p>
            <w:pPr>
              <w:jc w:val="left"/>
            </w:pPr>
            <w:r/>
            <w:r>
              <w:rPr>
                <w:sz w:val="18"/>
              </w:rPr>
              <w:t>Siderurgia usuaria fuerte, pero electrodos importados; mina decreciente.</w:t>
            </w:r>
          </w:p>
        </w:tc>
      </w:tr>
      <w:tr>
        <w:tc>
          <w:tcPr>
            <w:tcW w:type="dxa" w:w="1700"/>
          </w:tcPr>
          <w:p>
            <w:pPr>
              <w:jc w:val="left"/>
            </w:pPr>
            <w:r/>
            <w:r>
              <w:rPr>
                <w:sz w:val="18"/>
              </w:rPr>
              <w:t>Sílice</w:t>
            </w:r>
          </w:p>
        </w:tc>
        <w:tc>
          <w:tcPr>
            <w:tcW w:type="dxa" w:w="900"/>
          </w:tcPr>
          <w:p>
            <w:pPr>
              <w:jc w:val="left"/>
            </w:pPr>
            <w:r/>
            <w:r>
              <w:rPr>
                <w:sz w:val="18"/>
              </w:rPr>
              <w:t>C</w:t>
            </w:r>
          </w:p>
        </w:tc>
        <w:tc>
          <w:tcPr>
            <w:tcW w:type="dxa" w:w="1650"/>
          </w:tcPr>
          <w:p>
            <w:pPr>
              <w:jc w:val="left"/>
            </w:pPr>
            <w:r/>
            <w:r>
              <w:rPr>
                <w:sz w:val="18"/>
              </w:rPr>
              <w:t>L1→L2</w:t>
            </w:r>
          </w:p>
        </w:tc>
        <w:tc>
          <w:tcPr>
            <w:tcW w:type="dxa" w:w="5288"/>
          </w:tcPr>
          <w:p>
            <w:pPr>
              <w:jc w:val="left"/>
            </w:pPr>
            <w:r/>
            <w:r>
              <w:rPr>
                <w:sz w:val="18"/>
              </w:rPr>
              <w:t>Vidrio y cemento locales; silicio de alto valor importado.</w:t>
            </w:r>
          </w:p>
        </w:tc>
      </w:tr>
    </w:tbl>
    <w:p>
      <w:pPr>
        <w:spacing w:before="40" w:after="160"/>
      </w:pPr>
      <w:r>
        <w:rPr>
          <w:i/>
          <w:sz w:val="16"/>
        </w:rPr>
        <w:t>Cuadro VI.17. Punto de ruptura de la cadena y tipo por mineral (fichas de cadena de valor, Fases 1–7 de la ruta). Fuente: processed/cv_tipologia.csv y cv_eslabones_cuantificado.csv.</w:t>
      </w:r>
    </w:p>
    <w:p>
      <w:pPr>
        <w:spacing w:after="120" w:line="276" w:lineRule="auto"/>
        <w:jc w:val="both"/>
      </w:pPr>
      <w:r>
        <w:t xml:space="preserve">Un </w:t>
      </w:r>
      <w:r>
        <w:rPr>
          <w:b/>
          <w:i w:val="0"/>
        </w:rPr>
        <w:t>hallazgo metodológico</w:t>
      </w:r>
      <w:r>
        <w:t xml:space="preserve"> refuerza la lectura de enclave. Al cuantificar los eslabones aguas abajo con la matriz insumo-producto (834 clases SCIAN), </w:t>
      </w:r>
      <w:r>
        <w:rPr>
          <w:b/>
          <w:i w:val="0"/>
        </w:rPr>
        <w:t>solo el cobre cuenta con clases estadísticas dedicadas a su transformación</w:t>
      </w:r>
      <w:r>
        <w:t xml:space="preserve"> (fundición y refinación de cobre, 331411; laminación, 331420). El oro y la plata comparten una única clase de metales preciosos (331412); el plomo, el zinc y los demás no ferrosos, otra (331419); el manganeso comparte su clase con la siderurgia (331112); y el ácido fluorhídrico de la fluorita se diluye en «químicos básicos inorgánicos» (325180). La propia </w:t>
      </w:r>
      <w:r>
        <w:rPr>
          <w:b/>
          <w:i w:val="0"/>
        </w:rPr>
        <w:t>invisibilidad estadística</w:t>
      </w:r>
      <w:r>
        <w:t xml:space="preserve"> de los eslabones de transformación —imposibles de aislar por mineral— es, en sí misma, un síntoma del enclave: donde no hay cadena diferenciada, tampoco hay categoría que la mida. Por eso, en las fichas, el valor de esos eslabones no se atribuye al mineral y se ancla con el comercio y la capacidad instalada.</w:t>
      </w:r>
    </w:p>
    <w:p>
      <w:pPr>
        <w:spacing w:after="120" w:line="276" w:lineRule="auto"/>
        <w:jc w:val="both"/>
      </w:pPr>
      <w:r>
        <w:t xml:space="preserve">La cuantificación confirma, además, un rasgo territorial: </w:t>
      </w:r>
      <w:r>
        <w:rPr>
          <w:b/>
          <w:i w:val="0"/>
        </w:rPr>
        <w:t>solo el cobre está co-localizado</w:t>
      </w:r>
      <w:r>
        <w:t xml:space="preserve"> —fundición y refinería (La Caridad) junto a la mina en Nacozari—; en los nueve minerales restantes la transformación, cuando existe, está deslocalizada de la extracción (Torreón, San Luis Potosí, Matamoros), lo que agrava la desconexión aguas abajo. Las diez fichas completas obran en 05 Diagnóstico Insumo-Producto/Fichas de Cadena de Valor.</w:t>
      </w:r>
    </w:p>
    <w:p>
      <w:pPr>
        <w:spacing w:before="280" w:after="120"/>
      </w:pPr>
      <w:r>
        <w:rPr>
          <w:b/>
          <w:color w:val="1A1A1A"/>
          <w:sz w:val="28"/>
        </w:rPr>
        <w:t>VI.9  Bases para una política industrial</w:t>
      </w:r>
    </w:p>
    <w:p>
      <w:pPr>
        <w:spacing w:after="120" w:line="276" w:lineRule="auto"/>
        <w:ind w:firstLine="420"/>
        <w:jc w:val="both"/>
      </w:pPr>
      <w:r>
        <w:t xml:space="preserve">La caracterización sienta bases concretas y diferenciadas por tipo. En los mercados de tipo B (metales), el margen está en </w:t>
      </w:r>
      <w:r>
        <w:rPr>
          <w:b/>
          <w:i w:val="0"/>
        </w:rPr>
        <w:t>prolongar la cadena más allá del metal refinado</w:t>
      </w:r>
      <w:r>
        <w:t xml:space="preserve"> hacia semimanufacturas y manufactura, hoy parcialmente importadas. En los de tipo C (sílice, grafito), en </w:t>
      </w:r>
      <w:r>
        <w:rPr>
          <w:b/>
          <w:i w:val="0"/>
        </w:rPr>
        <w:t>sustituir el eslabón intermedio importado</w:t>
      </w:r>
      <w:r>
        <w:t xml:space="preserve"> —silicio/ferrosilicio, electrodos de grafito— por producción nacional que aproveche la extracción existente. En la fluorita (tipo A parcial), en </w:t>
      </w:r>
      <w:r>
        <w:rPr>
          <w:b/>
          <w:i w:val="0"/>
        </w:rPr>
        <w:t>escalar del HF a los fluoropolímeros</w:t>
      </w:r>
      <w:r>
        <w:t xml:space="preserve"> de mayor valor. Y en la barita (tipo D), la política realista pasa por condicionar el aprovechamiento del recurso a algún grado de agregación de valor. En todos los casos, la descripción —no un diagnóstico causal— es la que delimita dónde la cadena existe, dónde se trunca y dónde está ausente. La síntesis integral y las recomendaciones se desarrollan en el Cap. VIII.</w:t>
      </w:r>
    </w:p>
    <w:p>
      <w:pPr>
        <w:spacing w:before="200"/>
      </w:pPr>
      <w:r>
        <w:rPr>
          <w:i/>
          <w:sz w:val="18"/>
        </w:rPr>
        <w:t>Fuentes: elaboración propia con base en HHI (base B5, CAMIMEX + USGS), coeficientes de Ghosh (MIP INEGI 2013/2018), comercio por etapa (UN Comtrade) y el mapa de empresas de transformación (USGS Tabla 2 + reportes corporativos). Bases e indicadores en 10 Datos/processed; memorias en 05 Diagnóstico Insumo-Producto y 10 Datos.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