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5C03" w14:textId="77777777" w:rsidR="00DB2F71" w:rsidRDefault="00DB2F71">
      <w:pPr>
        <w:spacing w:before="1400"/>
      </w:pPr>
    </w:p>
    <w:p w14:paraId="24C09DA8" w14:textId="77777777" w:rsidR="00DB2F71" w:rsidRDefault="00000000">
      <w:pPr>
        <w:jc w:val="center"/>
      </w:pPr>
      <w:r>
        <w:rPr>
          <w:b/>
          <w:bCs/>
          <w:color w:val="1F3B5C"/>
          <w:sz w:val="24"/>
          <w:szCs w:val="24"/>
        </w:rPr>
        <w:t>Universidad Autónoma Metropolitana</w:t>
      </w:r>
    </w:p>
    <w:p w14:paraId="0C6D0336" w14:textId="77777777" w:rsidR="00DB2F71" w:rsidRDefault="00000000">
      <w:pPr>
        <w:spacing w:after="60"/>
        <w:jc w:val="center"/>
      </w:pPr>
      <w:r>
        <w:rPr>
          <w:b/>
          <w:bCs/>
          <w:color w:val="1F3B5C"/>
          <w:sz w:val="24"/>
          <w:szCs w:val="24"/>
        </w:rPr>
        <w:t>Unidad Azcapotzalco</w:t>
      </w:r>
    </w:p>
    <w:p w14:paraId="4D20E58A" w14:textId="77777777" w:rsidR="00DB2F71" w:rsidRDefault="00000000">
      <w:pPr>
        <w:spacing w:after="60"/>
        <w:jc w:val="center"/>
      </w:pPr>
      <w:r>
        <w:rPr>
          <w:color w:val="44546A"/>
          <w:sz w:val="21"/>
          <w:szCs w:val="21"/>
        </w:rPr>
        <w:t>División de Ciencias Sociales y Humanidades</w:t>
      </w:r>
    </w:p>
    <w:p w14:paraId="0212BE72" w14:textId="77777777" w:rsidR="00DB2F71" w:rsidRDefault="00000000">
      <w:pPr>
        <w:spacing w:after="200"/>
        <w:jc w:val="center"/>
      </w:pPr>
      <w:r>
        <w:rPr>
          <w:color w:val="44546A"/>
          <w:sz w:val="21"/>
          <w:szCs w:val="21"/>
        </w:rPr>
        <w:t>Maestría en Economía · Campo EFI</w:t>
      </w:r>
    </w:p>
    <w:p w14:paraId="2420D0B1" w14:textId="77777777" w:rsidR="00DB2F71" w:rsidRDefault="00DB2F71">
      <w:pPr>
        <w:pBdr>
          <w:bottom w:val="single" w:sz="6" w:space="2" w:color="1F3B5C"/>
        </w:pBdr>
        <w:spacing w:after="280"/>
      </w:pPr>
    </w:p>
    <w:p w14:paraId="19F2CF67" w14:textId="77777777" w:rsidR="00DB2F71" w:rsidRDefault="00000000">
      <w:pPr>
        <w:spacing w:after="100"/>
        <w:jc w:val="center"/>
      </w:pPr>
      <w:r>
        <w:rPr>
          <w:b/>
          <w:bCs/>
          <w:color w:val="1F3B5C"/>
          <w:sz w:val="38"/>
          <w:szCs w:val="38"/>
        </w:rPr>
        <w:t>Extracción de minerales críticos y encadenamiento</w:t>
      </w:r>
    </w:p>
    <w:p w14:paraId="130B5645" w14:textId="77777777" w:rsidR="00DB2F71" w:rsidRDefault="00000000">
      <w:pPr>
        <w:spacing w:after="200"/>
        <w:jc w:val="center"/>
      </w:pPr>
      <w:r>
        <w:rPr>
          <w:b/>
          <w:bCs/>
          <w:color w:val="1F3B5C"/>
          <w:sz w:val="38"/>
          <w:szCs w:val="38"/>
        </w:rPr>
        <w:t>productivo en México, 1992–2025</w:t>
      </w:r>
    </w:p>
    <w:p w14:paraId="34F96338" w14:textId="77777777" w:rsidR="00DB2F71" w:rsidRDefault="00000000">
      <w:pPr>
        <w:spacing w:after="80"/>
        <w:jc w:val="center"/>
      </w:pPr>
      <w:r>
        <w:rPr>
          <w:i/>
          <w:iCs/>
          <w:color w:val="44546A"/>
        </w:rPr>
        <w:t>Capítulos I al IV</w:t>
      </w:r>
    </w:p>
    <w:p w14:paraId="5E602020" w14:textId="77777777" w:rsidR="00DB2F71" w:rsidRDefault="00000000">
      <w:pPr>
        <w:spacing w:after="400"/>
        <w:jc w:val="center"/>
      </w:pPr>
      <w:r>
        <w:rPr>
          <w:color w:val="44546A"/>
          <w:sz w:val="20"/>
          <w:szCs w:val="20"/>
        </w:rPr>
        <w:t>Introducción · Marco conceptual · Contexto histórico · Estructura empresarial</w:t>
      </w:r>
    </w:p>
    <w:p w14:paraId="28BD6217" w14:textId="77777777" w:rsidR="00DB2F71" w:rsidRDefault="00000000">
      <w:pPr>
        <w:spacing w:before="80"/>
        <w:jc w:val="center"/>
      </w:pPr>
      <w:r>
        <w:rPr>
          <w:color w:val="44546A"/>
        </w:rPr>
        <w:t>Alumno: Jorge Cortés Morales</w:t>
      </w:r>
    </w:p>
    <w:p w14:paraId="0468C681" w14:textId="77777777" w:rsidR="00DB2F71" w:rsidRDefault="00000000">
      <w:pPr>
        <w:spacing w:before="60"/>
        <w:jc w:val="center"/>
      </w:pPr>
      <w:r>
        <w:rPr>
          <w:color w:val="44546A"/>
        </w:rPr>
        <w:t>Director: Dr. Jordy Micheli Thirion</w:t>
      </w:r>
    </w:p>
    <w:p w14:paraId="4293F48A" w14:textId="77777777" w:rsidR="00DB2F71" w:rsidRDefault="00000000">
      <w:pPr>
        <w:spacing w:before="60"/>
        <w:jc w:val="center"/>
      </w:pPr>
      <w:r>
        <w:rPr>
          <w:color w:val="44546A"/>
        </w:rPr>
        <w:t>Junio de 2026</w:t>
      </w:r>
    </w:p>
    <w:p w14:paraId="41193C62" w14:textId="77777777" w:rsidR="00DB2F71" w:rsidRDefault="00000000">
      <w:pPr>
        <w:pStyle w:val="Ttulo1"/>
        <w:pageBreakBefore/>
      </w:pPr>
      <w:bookmarkStart w:id="0" w:name="_Toc234229521"/>
      <w:r>
        <w:lastRenderedPageBreak/>
        <w:t>Índice</w:t>
      </w:r>
      <w:bookmarkEnd w:id="0"/>
    </w:p>
    <w:sdt>
      <w:sdtPr>
        <w:alias w:val="Índice"/>
        <w:id w:val="134847305"/>
      </w:sdtPr>
      <w:sdtContent>
        <w:p w14:paraId="71A4AE73" w14:textId="05DC6227" w:rsidR="008D7B04" w:rsidRDefault="00000000">
          <w:pPr>
            <w:pStyle w:val="TDC1"/>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4229521" w:history="1">
            <w:r w:rsidR="008D7B04" w:rsidRPr="00BD7138">
              <w:rPr>
                <w:rStyle w:val="Hipervnculo"/>
                <w:noProof/>
              </w:rPr>
              <w:t>Índice</w:t>
            </w:r>
            <w:r w:rsidR="008D7B04">
              <w:rPr>
                <w:noProof/>
              </w:rPr>
              <w:tab/>
            </w:r>
            <w:r w:rsidR="008D7B04">
              <w:rPr>
                <w:noProof/>
              </w:rPr>
              <w:fldChar w:fldCharType="begin"/>
            </w:r>
            <w:r w:rsidR="008D7B04">
              <w:rPr>
                <w:noProof/>
              </w:rPr>
              <w:instrText xml:space="preserve"> PAGEREF _Toc234229521 \h </w:instrText>
            </w:r>
            <w:r w:rsidR="008D7B04">
              <w:rPr>
                <w:noProof/>
              </w:rPr>
            </w:r>
            <w:r w:rsidR="008D7B04">
              <w:rPr>
                <w:noProof/>
              </w:rPr>
              <w:fldChar w:fldCharType="separate"/>
            </w:r>
            <w:r w:rsidR="008D7B04">
              <w:rPr>
                <w:noProof/>
              </w:rPr>
              <w:t>2</w:t>
            </w:r>
            <w:r w:rsidR="008D7B04">
              <w:rPr>
                <w:noProof/>
              </w:rPr>
              <w:fldChar w:fldCharType="end"/>
            </w:r>
          </w:hyperlink>
        </w:p>
        <w:p w14:paraId="55C5737A" w14:textId="1D06C6B4"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22" w:history="1">
            <w:r w:rsidRPr="00BD7138">
              <w:rPr>
                <w:rStyle w:val="Hipervnculo"/>
                <w:noProof/>
              </w:rPr>
              <w:t>Capítulo I. Introducción</w:t>
            </w:r>
            <w:r>
              <w:rPr>
                <w:noProof/>
              </w:rPr>
              <w:tab/>
            </w:r>
            <w:r>
              <w:rPr>
                <w:noProof/>
              </w:rPr>
              <w:fldChar w:fldCharType="begin"/>
            </w:r>
            <w:r>
              <w:rPr>
                <w:noProof/>
              </w:rPr>
              <w:instrText xml:space="preserve"> PAGEREF _Toc234229522 \h </w:instrText>
            </w:r>
            <w:r>
              <w:rPr>
                <w:noProof/>
              </w:rPr>
            </w:r>
            <w:r>
              <w:rPr>
                <w:noProof/>
              </w:rPr>
              <w:fldChar w:fldCharType="separate"/>
            </w:r>
            <w:r>
              <w:rPr>
                <w:noProof/>
              </w:rPr>
              <w:t>6</w:t>
            </w:r>
            <w:r>
              <w:rPr>
                <w:noProof/>
              </w:rPr>
              <w:fldChar w:fldCharType="end"/>
            </w:r>
          </w:hyperlink>
        </w:p>
        <w:p w14:paraId="12EBF959" w14:textId="62BB7001"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23" w:history="1">
            <w:r w:rsidRPr="00BD7138">
              <w:rPr>
                <w:rStyle w:val="Hipervnculo"/>
                <w:noProof/>
              </w:rPr>
              <w:t>I.1 Estructura de la tesis</w:t>
            </w:r>
            <w:r>
              <w:rPr>
                <w:noProof/>
              </w:rPr>
              <w:tab/>
            </w:r>
            <w:r>
              <w:rPr>
                <w:noProof/>
              </w:rPr>
              <w:fldChar w:fldCharType="begin"/>
            </w:r>
            <w:r>
              <w:rPr>
                <w:noProof/>
              </w:rPr>
              <w:instrText xml:space="preserve"> PAGEREF _Toc234229523 \h </w:instrText>
            </w:r>
            <w:r>
              <w:rPr>
                <w:noProof/>
              </w:rPr>
            </w:r>
            <w:r>
              <w:rPr>
                <w:noProof/>
              </w:rPr>
              <w:fldChar w:fldCharType="separate"/>
            </w:r>
            <w:r>
              <w:rPr>
                <w:noProof/>
              </w:rPr>
              <w:t>7</w:t>
            </w:r>
            <w:r>
              <w:rPr>
                <w:noProof/>
              </w:rPr>
              <w:fldChar w:fldCharType="end"/>
            </w:r>
          </w:hyperlink>
        </w:p>
        <w:p w14:paraId="01C97FA3" w14:textId="5837980E"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24" w:history="1">
            <w:r w:rsidRPr="00BD7138">
              <w:rPr>
                <w:rStyle w:val="Hipervnculo"/>
                <w:noProof/>
              </w:rPr>
              <w:t>I.2 Preguntas, objetivos e hipótesis</w:t>
            </w:r>
            <w:r>
              <w:rPr>
                <w:noProof/>
              </w:rPr>
              <w:tab/>
            </w:r>
            <w:r>
              <w:rPr>
                <w:noProof/>
              </w:rPr>
              <w:fldChar w:fldCharType="begin"/>
            </w:r>
            <w:r>
              <w:rPr>
                <w:noProof/>
              </w:rPr>
              <w:instrText xml:space="preserve"> PAGEREF _Toc234229524 \h </w:instrText>
            </w:r>
            <w:r>
              <w:rPr>
                <w:noProof/>
              </w:rPr>
            </w:r>
            <w:r>
              <w:rPr>
                <w:noProof/>
              </w:rPr>
              <w:fldChar w:fldCharType="separate"/>
            </w:r>
            <w:r>
              <w:rPr>
                <w:noProof/>
              </w:rPr>
              <w:t>8</w:t>
            </w:r>
            <w:r>
              <w:rPr>
                <w:noProof/>
              </w:rPr>
              <w:fldChar w:fldCharType="end"/>
            </w:r>
          </w:hyperlink>
        </w:p>
        <w:p w14:paraId="2A323B73" w14:textId="60907EF0"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25" w:history="1">
            <w:r w:rsidRPr="00BD7138">
              <w:rPr>
                <w:rStyle w:val="Hipervnculo"/>
                <w:noProof/>
              </w:rPr>
              <w:t>Pregunta central</w:t>
            </w:r>
            <w:r>
              <w:rPr>
                <w:noProof/>
              </w:rPr>
              <w:tab/>
            </w:r>
            <w:r>
              <w:rPr>
                <w:noProof/>
              </w:rPr>
              <w:fldChar w:fldCharType="begin"/>
            </w:r>
            <w:r>
              <w:rPr>
                <w:noProof/>
              </w:rPr>
              <w:instrText xml:space="preserve"> PAGEREF _Toc234229525 \h </w:instrText>
            </w:r>
            <w:r>
              <w:rPr>
                <w:noProof/>
              </w:rPr>
            </w:r>
            <w:r>
              <w:rPr>
                <w:noProof/>
              </w:rPr>
              <w:fldChar w:fldCharType="separate"/>
            </w:r>
            <w:r>
              <w:rPr>
                <w:noProof/>
              </w:rPr>
              <w:t>8</w:t>
            </w:r>
            <w:r>
              <w:rPr>
                <w:noProof/>
              </w:rPr>
              <w:fldChar w:fldCharType="end"/>
            </w:r>
          </w:hyperlink>
        </w:p>
        <w:p w14:paraId="641F7D33" w14:textId="3D5F6129"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26" w:history="1">
            <w:r w:rsidRPr="00BD7138">
              <w:rPr>
                <w:rStyle w:val="Hipervnculo"/>
                <w:noProof/>
              </w:rPr>
              <w:t>Preguntas subsidiarias</w:t>
            </w:r>
            <w:r>
              <w:rPr>
                <w:noProof/>
              </w:rPr>
              <w:tab/>
            </w:r>
            <w:r>
              <w:rPr>
                <w:noProof/>
              </w:rPr>
              <w:fldChar w:fldCharType="begin"/>
            </w:r>
            <w:r>
              <w:rPr>
                <w:noProof/>
              </w:rPr>
              <w:instrText xml:space="preserve"> PAGEREF _Toc234229526 \h </w:instrText>
            </w:r>
            <w:r>
              <w:rPr>
                <w:noProof/>
              </w:rPr>
            </w:r>
            <w:r>
              <w:rPr>
                <w:noProof/>
              </w:rPr>
              <w:fldChar w:fldCharType="separate"/>
            </w:r>
            <w:r>
              <w:rPr>
                <w:noProof/>
              </w:rPr>
              <w:t>8</w:t>
            </w:r>
            <w:r>
              <w:rPr>
                <w:noProof/>
              </w:rPr>
              <w:fldChar w:fldCharType="end"/>
            </w:r>
          </w:hyperlink>
        </w:p>
        <w:p w14:paraId="2712F6E1" w14:textId="3C4EEC74"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27" w:history="1">
            <w:r w:rsidRPr="00BD7138">
              <w:rPr>
                <w:rStyle w:val="Hipervnculo"/>
                <w:noProof/>
              </w:rPr>
              <w:t>Hipótesis general</w:t>
            </w:r>
            <w:r>
              <w:rPr>
                <w:noProof/>
              </w:rPr>
              <w:tab/>
            </w:r>
            <w:r>
              <w:rPr>
                <w:noProof/>
              </w:rPr>
              <w:fldChar w:fldCharType="begin"/>
            </w:r>
            <w:r>
              <w:rPr>
                <w:noProof/>
              </w:rPr>
              <w:instrText xml:space="preserve"> PAGEREF _Toc234229527 \h </w:instrText>
            </w:r>
            <w:r>
              <w:rPr>
                <w:noProof/>
              </w:rPr>
            </w:r>
            <w:r>
              <w:rPr>
                <w:noProof/>
              </w:rPr>
              <w:fldChar w:fldCharType="separate"/>
            </w:r>
            <w:r>
              <w:rPr>
                <w:noProof/>
              </w:rPr>
              <w:t>8</w:t>
            </w:r>
            <w:r>
              <w:rPr>
                <w:noProof/>
              </w:rPr>
              <w:fldChar w:fldCharType="end"/>
            </w:r>
          </w:hyperlink>
        </w:p>
        <w:p w14:paraId="1D95D80D" w14:textId="21998716"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28" w:history="1">
            <w:r w:rsidRPr="00BD7138">
              <w:rPr>
                <w:rStyle w:val="Hipervnculo"/>
                <w:noProof/>
              </w:rPr>
              <w:t>Capítulo II. Marco conceptual y teórico</w:t>
            </w:r>
            <w:r>
              <w:rPr>
                <w:noProof/>
              </w:rPr>
              <w:tab/>
            </w:r>
            <w:r>
              <w:rPr>
                <w:noProof/>
              </w:rPr>
              <w:fldChar w:fldCharType="begin"/>
            </w:r>
            <w:r>
              <w:rPr>
                <w:noProof/>
              </w:rPr>
              <w:instrText xml:space="preserve"> PAGEREF _Toc234229528 \h </w:instrText>
            </w:r>
            <w:r>
              <w:rPr>
                <w:noProof/>
              </w:rPr>
            </w:r>
            <w:r>
              <w:rPr>
                <w:noProof/>
              </w:rPr>
              <w:fldChar w:fldCharType="separate"/>
            </w:r>
            <w:r>
              <w:rPr>
                <w:noProof/>
              </w:rPr>
              <w:t>10</w:t>
            </w:r>
            <w:r>
              <w:rPr>
                <w:noProof/>
              </w:rPr>
              <w:fldChar w:fldCharType="end"/>
            </w:r>
          </w:hyperlink>
        </w:p>
        <w:p w14:paraId="188E3B0C" w14:textId="44855DAD"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29" w:history="1">
            <w:r w:rsidRPr="00BD7138">
              <w:rPr>
                <w:rStyle w:val="Hipervnculo"/>
                <w:noProof/>
              </w:rPr>
              <w:t>II.1 Definición de mineral crítico y términos relacionados</w:t>
            </w:r>
            <w:r>
              <w:rPr>
                <w:noProof/>
              </w:rPr>
              <w:tab/>
            </w:r>
            <w:r>
              <w:rPr>
                <w:noProof/>
              </w:rPr>
              <w:fldChar w:fldCharType="begin"/>
            </w:r>
            <w:r>
              <w:rPr>
                <w:noProof/>
              </w:rPr>
              <w:instrText xml:space="preserve"> PAGEREF _Toc234229529 \h </w:instrText>
            </w:r>
            <w:r>
              <w:rPr>
                <w:noProof/>
              </w:rPr>
            </w:r>
            <w:r>
              <w:rPr>
                <w:noProof/>
              </w:rPr>
              <w:fldChar w:fldCharType="separate"/>
            </w:r>
            <w:r>
              <w:rPr>
                <w:noProof/>
              </w:rPr>
              <w:t>10</w:t>
            </w:r>
            <w:r>
              <w:rPr>
                <w:noProof/>
              </w:rPr>
              <w:fldChar w:fldCharType="end"/>
            </w:r>
          </w:hyperlink>
        </w:p>
        <w:p w14:paraId="237C0A69" w14:textId="612DCB85"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30" w:history="1">
            <w:r w:rsidRPr="00BD7138">
              <w:rPr>
                <w:rStyle w:val="Hipervnculo"/>
                <w:noProof/>
              </w:rPr>
              <w:t>II.1.1 El concepto de mineral crítico</w:t>
            </w:r>
            <w:r>
              <w:rPr>
                <w:noProof/>
              </w:rPr>
              <w:tab/>
            </w:r>
            <w:r>
              <w:rPr>
                <w:noProof/>
              </w:rPr>
              <w:fldChar w:fldCharType="begin"/>
            </w:r>
            <w:r>
              <w:rPr>
                <w:noProof/>
              </w:rPr>
              <w:instrText xml:space="preserve"> PAGEREF _Toc234229530 \h </w:instrText>
            </w:r>
            <w:r>
              <w:rPr>
                <w:noProof/>
              </w:rPr>
            </w:r>
            <w:r>
              <w:rPr>
                <w:noProof/>
              </w:rPr>
              <w:fldChar w:fldCharType="separate"/>
            </w:r>
            <w:r>
              <w:rPr>
                <w:noProof/>
              </w:rPr>
              <w:t>10</w:t>
            </w:r>
            <w:r>
              <w:rPr>
                <w:noProof/>
              </w:rPr>
              <w:fldChar w:fldCharType="end"/>
            </w:r>
          </w:hyperlink>
        </w:p>
        <w:p w14:paraId="68A829D2" w14:textId="6559515F"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31" w:history="1">
            <w:r w:rsidRPr="00BD7138">
              <w:rPr>
                <w:rStyle w:val="Hipervnculo"/>
                <w:noProof/>
              </w:rPr>
              <w:t>II.1.2 Materias primas estratégicas y minerales estratégicos</w:t>
            </w:r>
            <w:r>
              <w:rPr>
                <w:noProof/>
              </w:rPr>
              <w:tab/>
            </w:r>
            <w:r>
              <w:rPr>
                <w:noProof/>
              </w:rPr>
              <w:fldChar w:fldCharType="begin"/>
            </w:r>
            <w:r>
              <w:rPr>
                <w:noProof/>
              </w:rPr>
              <w:instrText xml:space="preserve"> PAGEREF _Toc234229531 \h </w:instrText>
            </w:r>
            <w:r>
              <w:rPr>
                <w:noProof/>
              </w:rPr>
            </w:r>
            <w:r>
              <w:rPr>
                <w:noProof/>
              </w:rPr>
              <w:fldChar w:fldCharType="separate"/>
            </w:r>
            <w:r>
              <w:rPr>
                <w:noProof/>
              </w:rPr>
              <w:t>11</w:t>
            </w:r>
            <w:r>
              <w:rPr>
                <w:noProof/>
              </w:rPr>
              <w:fldChar w:fldCharType="end"/>
            </w:r>
          </w:hyperlink>
        </w:p>
        <w:p w14:paraId="165948AA" w14:textId="70DFEECA"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32" w:history="1">
            <w:r w:rsidRPr="00BD7138">
              <w:rPr>
                <w:rStyle w:val="Hipervnculo"/>
                <w:noProof/>
              </w:rPr>
              <w:t>II.1.3 La distinción entre criticidad desde el país importador y desde el país productor</w:t>
            </w:r>
            <w:r>
              <w:rPr>
                <w:noProof/>
              </w:rPr>
              <w:tab/>
            </w:r>
            <w:r>
              <w:rPr>
                <w:noProof/>
              </w:rPr>
              <w:fldChar w:fldCharType="begin"/>
            </w:r>
            <w:r>
              <w:rPr>
                <w:noProof/>
              </w:rPr>
              <w:instrText xml:space="preserve"> PAGEREF _Toc234229532 \h </w:instrText>
            </w:r>
            <w:r>
              <w:rPr>
                <w:noProof/>
              </w:rPr>
            </w:r>
            <w:r>
              <w:rPr>
                <w:noProof/>
              </w:rPr>
              <w:fldChar w:fldCharType="separate"/>
            </w:r>
            <w:r>
              <w:rPr>
                <w:noProof/>
              </w:rPr>
              <w:t>11</w:t>
            </w:r>
            <w:r>
              <w:rPr>
                <w:noProof/>
              </w:rPr>
              <w:fldChar w:fldCharType="end"/>
            </w:r>
          </w:hyperlink>
        </w:p>
        <w:p w14:paraId="7A456065" w14:textId="68A75200"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33" w:history="1">
            <w:r w:rsidRPr="00BD7138">
              <w:rPr>
                <w:rStyle w:val="Hipervnculo"/>
                <w:noProof/>
              </w:rPr>
              <w:t>II.2 Justificación del corpus de diez minerales</w:t>
            </w:r>
            <w:r>
              <w:rPr>
                <w:noProof/>
              </w:rPr>
              <w:tab/>
            </w:r>
            <w:r>
              <w:rPr>
                <w:noProof/>
              </w:rPr>
              <w:fldChar w:fldCharType="begin"/>
            </w:r>
            <w:r>
              <w:rPr>
                <w:noProof/>
              </w:rPr>
              <w:instrText xml:space="preserve"> PAGEREF _Toc234229533 \h </w:instrText>
            </w:r>
            <w:r>
              <w:rPr>
                <w:noProof/>
              </w:rPr>
            </w:r>
            <w:r>
              <w:rPr>
                <w:noProof/>
              </w:rPr>
              <w:fldChar w:fldCharType="separate"/>
            </w:r>
            <w:r>
              <w:rPr>
                <w:noProof/>
              </w:rPr>
              <w:t>12</w:t>
            </w:r>
            <w:r>
              <w:rPr>
                <w:noProof/>
              </w:rPr>
              <w:fldChar w:fldCharType="end"/>
            </w:r>
          </w:hyperlink>
        </w:p>
        <w:p w14:paraId="528FFD33" w14:textId="38675BBC"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34" w:history="1">
            <w:r w:rsidRPr="00BD7138">
              <w:rPr>
                <w:rStyle w:val="Hipervnculo"/>
                <w:noProof/>
              </w:rPr>
              <w:t>II.2.1 Criterio 1: presencia en las listas oficiales de criticidad</w:t>
            </w:r>
            <w:r>
              <w:rPr>
                <w:noProof/>
              </w:rPr>
              <w:tab/>
            </w:r>
            <w:r>
              <w:rPr>
                <w:noProof/>
              </w:rPr>
              <w:fldChar w:fldCharType="begin"/>
            </w:r>
            <w:r>
              <w:rPr>
                <w:noProof/>
              </w:rPr>
              <w:instrText xml:space="preserve"> PAGEREF _Toc234229534 \h </w:instrText>
            </w:r>
            <w:r>
              <w:rPr>
                <w:noProof/>
              </w:rPr>
            </w:r>
            <w:r>
              <w:rPr>
                <w:noProof/>
              </w:rPr>
              <w:fldChar w:fldCharType="separate"/>
            </w:r>
            <w:r>
              <w:rPr>
                <w:noProof/>
              </w:rPr>
              <w:t>12</w:t>
            </w:r>
            <w:r>
              <w:rPr>
                <w:noProof/>
              </w:rPr>
              <w:fldChar w:fldCharType="end"/>
            </w:r>
          </w:hyperlink>
        </w:p>
        <w:p w14:paraId="78F166C4" w14:textId="0B0D7E95"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35" w:history="1">
            <w:r w:rsidRPr="00BD7138">
              <w:rPr>
                <w:rStyle w:val="Hipervnculo"/>
                <w:noProof/>
              </w:rPr>
              <w:t>II.2.2 Criterio 2: producción comercial documentada en México</w:t>
            </w:r>
            <w:r>
              <w:rPr>
                <w:noProof/>
              </w:rPr>
              <w:tab/>
            </w:r>
            <w:r>
              <w:rPr>
                <w:noProof/>
              </w:rPr>
              <w:fldChar w:fldCharType="begin"/>
            </w:r>
            <w:r>
              <w:rPr>
                <w:noProof/>
              </w:rPr>
              <w:instrText xml:space="preserve"> PAGEREF _Toc234229535 \h </w:instrText>
            </w:r>
            <w:r>
              <w:rPr>
                <w:noProof/>
              </w:rPr>
            </w:r>
            <w:r>
              <w:rPr>
                <w:noProof/>
              </w:rPr>
              <w:fldChar w:fldCharType="separate"/>
            </w:r>
            <w:r>
              <w:rPr>
                <w:noProof/>
              </w:rPr>
              <w:t>13</w:t>
            </w:r>
            <w:r>
              <w:rPr>
                <w:noProof/>
              </w:rPr>
              <w:fldChar w:fldCharType="end"/>
            </w:r>
          </w:hyperlink>
        </w:p>
        <w:p w14:paraId="600053DA" w14:textId="4F35089A"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36" w:history="1">
            <w:r w:rsidRPr="00BD7138">
              <w:rPr>
                <w:rStyle w:val="Hipervnculo"/>
                <w:noProof/>
              </w:rPr>
              <w:t>II.2.3 Criterio 3: variación en la estructura de mercado</w:t>
            </w:r>
            <w:r>
              <w:rPr>
                <w:noProof/>
              </w:rPr>
              <w:tab/>
            </w:r>
            <w:r>
              <w:rPr>
                <w:noProof/>
              </w:rPr>
              <w:fldChar w:fldCharType="begin"/>
            </w:r>
            <w:r>
              <w:rPr>
                <w:noProof/>
              </w:rPr>
              <w:instrText xml:space="preserve"> PAGEREF _Toc234229536 \h </w:instrText>
            </w:r>
            <w:r>
              <w:rPr>
                <w:noProof/>
              </w:rPr>
            </w:r>
            <w:r>
              <w:rPr>
                <w:noProof/>
              </w:rPr>
              <w:fldChar w:fldCharType="separate"/>
            </w:r>
            <w:r>
              <w:rPr>
                <w:noProof/>
              </w:rPr>
              <w:t>13</w:t>
            </w:r>
            <w:r>
              <w:rPr>
                <w:noProof/>
              </w:rPr>
              <w:fldChar w:fldCharType="end"/>
            </w:r>
          </w:hyperlink>
        </w:p>
        <w:p w14:paraId="079DCCB5" w14:textId="1BEB91F4"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37" w:history="1">
            <w:r w:rsidRPr="00BD7138">
              <w:rPr>
                <w:rStyle w:val="Hipervnculo"/>
                <w:noProof/>
              </w:rPr>
              <w:t>II.2.4 El papel de la sílice como caso de contraste metodológico</w:t>
            </w:r>
            <w:r>
              <w:rPr>
                <w:noProof/>
              </w:rPr>
              <w:tab/>
            </w:r>
            <w:r>
              <w:rPr>
                <w:noProof/>
              </w:rPr>
              <w:fldChar w:fldCharType="begin"/>
            </w:r>
            <w:r>
              <w:rPr>
                <w:noProof/>
              </w:rPr>
              <w:instrText xml:space="preserve"> PAGEREF _Toc234229537 \h </w:instrText>
            </w:r>
            <w:r>
              <w:rPr>
                <w:noProof/>
              </w:rPr>
            </w:r>
            <w:r>
              <w:rPr>
                <w:noProof/>
              </w:rPr>
              <w:fldChar w:fldCharType="separate"/>
            </w:r>
            <w:r>
              <w:rPr>
                <w:noProof/>
              </w:rPr>
              <w:t>13</w:t>
            </w:r>
            <w:r>
              <w:rPr>
                <w:noProof/>
              </w:rPr>
              <w:fldChar w:fldCharType="end"/>
            </w:r>
          </w:hyperlink>
        </w:p>
        <w:p w14:paraId="4BC2EE8E" w14:textId="523BD01F"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38" w:history="1">
            <w:r w:rsidRPr="00BD7138">
              <w:rPr>
                <w:rStyle w:val="Hipervnculo"/>
                <w:noProof/>
              </w:rPr>
              <w:t>II.3 Factores que impulsan la demanda de minerales críticos</w:t>
            </w:r>
            <w:r>
              <w:rPr>
                <w:noProof/>
              </w:rPr>
              <w:tab/>
            </w:r>
            <w:r>
              <w:rPr>
                <w:noProof/>
              </w:rPr>
              <w:fldChar w:fldCharType="begin"/>
            </w:r>
            <w:r>
              <w:rPr>
                <w:noProof/>
              </w:rPr>
              <w:instrText xml:space="preserve"> PAGEREF _Toc234229538 \h </w:instrText>
            </w:r>
            <w:r>
              <w:rPr>
                <w:noProof/>
              </w:rPr>
            </w:r>
            <w:r>
              <w:rPr>
                <w:noProof/>
              </w:rPr>
              <w:fldChar w:fldCharType="separate"/>
            </w:r>
            <w:r>
              <w:rPr>
                <w:noProof/>
              </w:rPr>
              <w:t>14</w:t>
            </w:r>
            <w:r>
              <w:rPr>
                <w:noProof/>
              </w:rPr>
              <w:fldChar w:fldCharType="end"/>
            </w:r>
          </w:hyperlink>
        </w:p>
        <w:p w14:paraId="10469D46" w14:textId="71BDF645"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39" w:history="1">
            <w:r w:rsidRPr="00BD7138">
              <w:rPr>
                <w:rStyle w:val="Hipervnculo"/>
                <w:noProof/>
              </w:rPr>
              <w:t>II.4 Marco teórico</w:t>
            </w:r>
            <w:r>
              <w:rPr>
                <w:noProof/>
              </w:rPr>
              <w:tab/>
            </w:r>
            <w:r>
              <w:rPr>
                <w:noProof/>
              </w:rPr>
              <w:fldChar w:fldCharType="begin"/>
            </w:r>
            <w:r>
              <w:rPr>
                <w:noProof/>
              </w:rPr>
              <w:instrText xml:space="preserve"> PAGEREF _Toc234229539 \h </w:instrText>
            </w:r>
            <w:r>
              <w:rPr>
                <w:noProof/>
              </w:rPr>
            </w:r>
            <w:r>
              <w:rPr>
                <w:noProof/>
              </w:rPr>
              <w:fldChar w:fldCharType="separate"/>
            </w:r>
            <w:r>
              <w:rPr>
                <w:noProof/>
              </w:rPr>
              <w:t>15</w:t>
            </w:r>
            <w:r>
              <w:rPr>
                <w:noProof/>
              </w:rPr>
              <w:fldChar w:fldCharType="end"/>
            </w:r>
          </w:hyperlink>
        </w:p>
        <w:p w14:paraId="000C3830" w14:textId="00BE6421"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40" w:history="1">
            <w:r w:rsidRPr="00BD7138">
              <w:rPr>
                <w:rStyle w:val="Hipervnculo"/>
                <w:noProof/>
              </w:rPr>
              <w:t>II.4.1 Economía del desarrollo: reprimarización y enclave exportador</w:t>
            </w:r>
            <w:r>
              <w:rPr>
                <w:noProof/>
              </w:rPr>
              <w:tab/>
            </w:r>
            <w:r>
              <w:rPr>
                <w:noProof/>
              </w:rPr>
              <w:fldChar w:fldCharType="begin"/>
            </w:r>
            <w:r>
              <w:rPr>
                <w:noProof/>
              </w:rPr>
              <w:instrText xml:space="preserve"> PAGEREF _Toc234229540 \h </w:instrText>
            </w:r>
            <w:r>
              <w:rPr>
                <w:noProof/>
              </w:rPr>
            </w:r>
            <w:r>
              <w:rPr>
                <w:noProof/>
              </w:rPr>
              <w:fldChar w:fldCharType="separate"/>
            </w:r>
            <w:r>
              <w:rPr>
                <w:noProof/>
              </w:rPr>
              <w:t>15</w:t>
            </w:r>
            <w:r>
              <w:rPr>
                <w:noProof/>
              </w:rPr>
              <w:fldChar w:fldCharType="end"/>
            </w:r>
          </w:hyperlink>
        </w:p>
        <w:p w14:paraId="6FD42DED" w14:textId="4D22E0C3"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41" w:history="1">
            <w:r w:rsidRPr="00BD7138">
              <w:rPr>
                <w:rStyle w:val="Hipervnculo"/>
                <w:noProof/>
              </w:rPr>
              <w:t>II.4.2 Economía industrial: Estructura-Conducta-Desempeño e integración vertical</w:t>
            </w:r>
            <w:r>
              <w:rPr>
                <w:noProof/>
              </w:rPr>
              <w:tab/>
            </w:r>
            <w:r>
              <w:rPr>
                <w:noProof/>
              </w:rPr>
              <w:fldChar w:fldCharType="begin"/>
            </w:r>
            <w:r>
              <w:rPr>
                <w:noProof/>
              </w:rPr>
              <w:instrText xml:space="preserve"> PAGEREF _Toc234229541 \h </w:instrText>
            </w:r>
            <w:r>
              <w:rPr>
                <w:noProof/>
              </w:rPr>
            </w:r>
            <w:r>
              <w:rPr>
                <w:noProof/>
              </w:rPr>
              <w:fldChar w:fldCharType="separate"/>
            </w:r>
            <w:r>
              <w:rPr>
                <w:noProof/>
              </w:rPr>
              <w:t>16</w:t>
            </w:r>
            <w:r>
              <w:rPr>
                <w:noProof/>
              </w:rPr>
              <w:fldChar w:fldCharType="end"/>
            </w:r>
          </w:hyperlink>
        </w:p>
        <w:p w14:paraId="39F2C88C" w14:textId="274F0540"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42" w:history="1">
            <w:r w:rsidRPr="00BD7138">
              <w:rPr>
                <w:rStyle w:val="Hipervnculo"/>
                <w:noProof/>
              </w:rPr>
              <w:t>II.4.3 Economía institucional: reglas del juego y cambio regulatorio</w:t>
            </w:r>
            <w:r>
              <w:rPr>
                <w:noProof/>
              </w:rPr>
              <w:tab/>
            </w:r>
            <w:r>
              <w:rPr>
                <w:noProof/>
              </w:rPr>
              <w:fldChar w:fldCharType="begin"/>
            </w:r>
            <w:r>
              <w:rPr>
                <w:noProof/>
              </w:rPr>
              <w:instrText xml:space="preserve"> PAGEREF _Toc234229542 \h </w:instrText>
            </w:r>
            <w:r>
              <w:rPr>
                <w:noProof/>
              </w:rPr>
            </w:r>
            <w:r>
              <w:rPr>
                <w:noProof/>
              </w:rPr>
              <w:fldChar w:fldCharType="separate"/>
            </w:r>
            <w:r>
              <w:rPr>
                <w:noProof/>
              </w:rPr>
              <w:t>17</w:t>
            </w:r>
            <w:r>
              <w:rPr>
                <w:noProof/>
              </w:rPr>
              <w:fldChar w:fldCharType="end"/>
            </w:r>
          </w:hyperlink>
        </w:p>
        <w:p w14:paraId="32047641" w14:textId="3135B204" w:rsidR="008D7B04" w:rsidRDefault="008D7B0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4229543" w:history="1">
            <w:r w:rsidRPr="00BD7138">
              <w:rPr>
                <w:rStyle w:val="Hipervnculo"/>
                <w:noProof/>
              </w:rPr>
              <w:t>II.4.4 Análisis insumo-producto: Leontief, Ghosh y el coeficiente de captura de valor</w:t>
            </w:r>
            <w:r>
              <w:rPr>
                <w:noProof/>
              </w:rPr>
              <w:tab/>
            </w:r>
            <w:r>
              <w:rPr>
                <w:noProof/>
              </w:rPr>
              <w:fldChar w:fldCharType="begin"/>
            </w:r>
            <w:r>
              <w:rPr>
                <w:noProof/>
              </w:rPr>
              <w:instrText xml:space="preserve"> PAGEREF _Toc234229543 \h </w:instrText>
            </w:r>
            <w:r>
              <w:rPr>
                <w:noProof/>
              </w:rPr>
            </w:r>
            <w:r>
              <w:rPr>
                <w:noProof/>
              </w:rPr>
              <w:fldChar w:fldCharType="separate"/>
            </w:r>
            <w:r>
              <w:rPr>
                <w:noProof/>
              </w:rPr>
              <w:t>17</w:t>
            </w:r>
            <w:r>
              <w:rPr>
                <w:noProof/>
              </w:rPr>
              <w:fldChar w:fldCharType="end"/>
            </w:r>
          </w:hyperlink>
        </w:p>
        <w:p w14:paraId="70397BD2" w14:textId="049C8C8B"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44" w:history="1">
            <w:r w:rsidRPr="00BD7138">
              <w:rPr>
                <w:rStyle w:val="Hipervnculo"/>
                <w:noProof/>
              </w:rPr>
              <w:t>Capítulo III. La minería mexicana desde la reforma estructural: contexto histórico 1988-2025</w:t>
            </w:r>
            <w:r>
              <w:rPr>
                <w:noProof/>
              </w:rPr>
              <w:tab/>
            </w:r>
            <w:r>
              <w:rPr>
                <w:noProof/>
              </w:rPr>
              <w:fldChar w:fldCharType="begin"/>
            </w:r>
            <w:r>
              <w:rPr>
                <w:noProof/>
              </w:rPr>
              <w:instrText xml:space="preserve"> PAGEREF _Toc234229544 \h </w:instrText>
            </w:r>
            <w:r>
              <w:rPr>
                <w:noProof/>
              </w:rPr>
            </w:r>
            <w:r>
              <w:rPr>
                <w:noProof/>
              </w:rPr>
              <w:fldChar w:fldCharType="separate"/>
            </w:r>
            <w:r>
              <w:rPr>
                <w:noProof/>
              </w:rPr>
              <w:t>19</w:t>
            </w:r>
            <w:r>
              <w:rPr>
                <w:noProof/>
              </w:rPr>
              <w:fldChar w:fldCharType="end"/>
            </w:r>
          </w:hyperlink>
        </w:p>
        <w:p w14:paraId="685009D1" w14:textId="1409B7A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45" w:history="1">
            <w:r w:rsidRPr="00BD7138">
              <w:rPr>
                <w:rStyle w:val="Hipervnculo"/>
                <w:noProof/>
              </w:rPr>
              <w:t>III.1 El modelo anterior: minería mixta bajo protección estatal (hasta 1988)</w:t>
            </w:r>
            <w:r>
              <w:rPr>
                <w:noProof/>
              </w:rPr>
              <w:tab/>
            </w:r>
            <w:r>
              <w:rPr>
                <w:noProof/>
              </w:rPr>
              <w:fldChar w:fldCharType="begin"/>
            </w:r>
            <w:r>
              <w:rPr>
                <w:noProof/>
              </w:rPr>
              <w:instrText xml:space="preserve"> PAGEREF _Toc234229545 \h </w:instrText>
            </w:r>
            <w:r>
              <w:rPr>
                <w:noProof/>
              </w:rPr>
            </w:r>
            <w:r>
              <w:rPr>
                <w:noProof/>
              </w:rPr>
              <w:fldChar w:fldCharType="separate"/>
            </w:r>
            <w:r>
              <w:rPr>
                <w:noProof/>
              </w:rPr>
              <w:t>19</w:t>
            </w:r>
            <w:r>
              <w:rPr>
                <w:noProof/>
              </w:rPr>
              <w:fldChar w:fldCharType="end"/>
            </w:r>
          </w:hyperlink>
        </w:p>
        <w:p w14:paraId="619591BB" w14:textId="0412C79D"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46" w:history="1">
            <w:r w:rsidRPr="00BD7138">
              <w:rPr>
                <w:rStyle w:val="Hipervnculo"/>
                <w:noProof/>
              </w:rPr>
              <w:t>III.2 La reforma estructural: privatización, desincorporación y nueva ley (1988-1994)</w:t>
            </w:r>
            <w:r>
              <w:rPr>
                <w:noProof/>
              </w:rPr>
              <w:tab/>
            </w:r>
            <w:r>
              <w:rPr>
                <w:noProof/>
              </w:rPr>
              <w:fldChar w:fldCharType="begin"/>
            </w:r>
            <w:r>
              <w:rPr>
                <w:noProof/>
              </w:rPr>
              <w:instrText xml:space="preserve"> PAGEREF _Toc234229546 \h </w:instrText>
            </w:r>
            <w:r>
              <w:rPr>
                <w:noProof/>
              </w:rPr>
            </w:r>
            <w:r>
              <w:rPr>
                <w:noProof/>
              </w:rPr>
              <w:fldChar w:fldCharType="separate"/>
            </w:r>
            <w:r>
              <w:rPr>
                <w:noProof/>
              </w:rPr>
              <w:t>19</w:t>
            </w:r>
            <w:r>
              <w:rPr>
                <w:noProof/>
              </w:rPr>
              <w:fldChar w:fldCharType="end"/>
            </w:r>
          </w:hyperlink>
        </w:p>
        <w:p w14:paraId="4204A7F9" w14:textId="6243B09A"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47" w:history="1">
            <w:r w:rsidRPr="00BD7138">
              <w:rPr>
                <w:rStyle w:val="Hipervnculo"/>
                <w:noProof/>
              </w:rPr>
              <w:t>III.3 La ola de inversión junior canadiense y la diversificación del mapa empresarial (1994-2010)</w:t>
            </w:r>
            <w:r>
              <w:rPr>
                <w:noProof/>
              </w:rPr>
              <w:tab/>
            </w:r>
            <w:r>
              <w:rPr>
                <w:noProof/>
              </w:rPr>
              <w:fldChar w:fldCharType="begin"/>
            </w:r>
            <w:r>
              <w:rPr>
                <w:noProof/>
              </w:rPr>
              <w:instrText xml:space="preserve"> PAGEREF _Toc234229547 \h </w:instrText>
            </w:r>
            <w:r>
              <w:rPr>
                <w:noProof/>
              </w:rPr>
            </w:r>
            <w:r>
              <w:rPr>
                <w:noProof/>
              </w:rPr>
              <w:fldChar w:fldCharType="separate"/>
            </w:r>
            <w:r>
              <w:rPr>
                <w:noProof/>
              </w:rPr>
              <w:t>20</w:t>
            </w:r>
            <w:r>
              <w:rPr>
                <w:noProof/>
              </w:rPr>
              <w:fldChar w:fldCharType="end"/>
            </w:r>
          </w:hyperlink>
        </w:p>
        <w:p w14:paraId="47ACCAA8" w14:textId="4046CDFB"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48" w:history="1">
            <w:r w:rsidRPr="00BD7138">
              <w:rPr>
                <w:rStyle w:val="Hipervnculo"/>
                <w:noProof/>
              </w:rPr>
              <w:t>III.4 El ciclo de superprecios y sus efectos (2003-2015)</w:t>
            </w:r>
            <w:r>
              <w:rPr>
                <w:noProof/>
              </w:rPr>
              <w:tab/>
            </w:r>
            <w:r>
              <w:rPr>
                <w:noProof/>
              </w:rPr>
              <w:fldChar w:fldCharType="begin"/>
            </w:r>
            <w:r>
              <w:rPr>
                <w:noProof/>
              </w:rPr>
              <w:instrText xml:space="preserve"> PAGEREF _Toc234229548 \h </w:instrText>
            </w:r>
            <w:r>
              <w:rPr>
                <w:noProof/>
              </w:rPr>
            </w:r>
            <w:r>
              <w:rPr>
                <w:noProof/>
              </w:rPr>
              <w:fldChar w:fldCharType="separate"/>
            </w:r>
            <w:r>
              <w:rPr>
                <w:noProof/>
              </w:rPr>
              <w:t>21</w:t>
            </w:r>
            <w:r>
              <w:rPr>
                <w:noProof/>
              </w:rPr>
              <w:fldChar w:fldCharType="end"/>
            </w:r>
          </w:hyperlink>
        </w:p>
        <w:p w14:paraId="4AE768A5" w14:textId="28257D10"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49" w:history="1">
            <w:r w:rsidRPr="00BD7138">
              <w:rPr>
                <w:rStyle w:val="Hipervnculo"/>
                <w:noProof/>
              </w:rPr>
              <w:t>III.5 Consolidaciones corporativas relevantes (2004-2020)</w:t>
            </w:r>
            <w:r>
              <w:rPr>
                <w:noProof/>
              </w:rPr>
              <w:tab/>
            </w:r>
            <w:r>
              <w:rPr>
                <w:noProof/>
              </w:rPr>
              <w:fldChar w:fldCharType="begin"/>
            </w:r>
            <w:r>
              <w:rPr>
                <w:noProof/>
              </w:rPr>
              <w:instrText xml:space="preserve"> PAGEREF _Toc234229549 \h </w:instrText>
            </w:r>
            <w:r>
              <w:rPr>
                <w:noProof/>
              </w:rPr>
            </w:r>
            <w:r>
              <w:rPr>
                <w:noProof/>
              </w:rPr>
              <w:fldChar w:fldCharType="separate"/>
            </w:r>
            <w:r>
              <w:rPr>
                <w:noProof/>
              </w:rPr>
              <w:t>21</w:t>
            </w:r>
            <w:r>
              <w:rPr>
                <w:noProof/>
              </w:rPr>
              <w:fldChar w:fldCharType="end"/>
            </w:r>
          </w:hyperlink>
        </w:p>
        <w:p w14:paraId="2AA66513" w14:textId="2682FA35"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50" w:history="1">
            <w:r w:rsidRPr="00BD7138">
              <w:rPr>
                <w:rStyle w:val="Hipervnculo"/>
                <w:noProof/>
              </w:rPr>
              <w:t>III.6 La reforma a la Ley Minera de 2023 y su coyuntura</w:t>
            </w:r>
            <w:r>
              <w:rPr>
                <w:noProof/>
              </w:rPr>
              <w:tab/>
            </w:r>
            <w:r>
              <w:rPr>
                <w:noProof/>
              </w:rPr>
              <w:fldChar w:fldCharType="begin"/>
            </w:r>
            <w:r>
              <w:rPr>
                <w:noProof/>
              </w:rPr>
              <w:instrText xml:space="preserve"> PAGEREF _Toc234229550 \h </w:instrText>
            </w:r>
            <w:r>
              <w:rPr>
                <w:noProof/>
              </w:rPr>
            </w:r>
            <w:r>
              <w:rPr>
                <w:noProof/>
              </w:rPr>
              <w:fldChar w:fldCharType="separate"/>
            </w:r>
            <w:r>
              <w:rPr>
                <w:noProof/>
              </w:rPr>
              <w:t>22</w:t>
            </w:r>
            <w:r>
              <w:rPr>
                <w:noProof/>
              </w:rPr>
              <w:fldChar w:fldCharType="end"/>
            </w:r>
          </w:hyperlink>
        </w:p>
        <w:p w14:paraId="4C80494B" w14:textId="7A20564E"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51" w:history="1">
            <w:r w:rsidRPr="00BD7138">
              <w:rPr>
                <w:rStyle w:val="Hipervnculo"/>
                <w:noProof/>
              </w:rPr>
              <w:t>Capítulo IV. Estructura empresarial de los diez minerales críticos, 1993–2025</w:t>
            </w:r>
            <w:r>
              <w:rPr>
                <w:noProof/>
              </w:rPr>
              <w:tab/>
            </w:r>
            <w:r>
              <w:rPr>
                <w:noProof/>
              </w:rPr>
              <w:fldChar w:fldCharType="begin"/>
            </w:r>
            <w:r>
              <w:rPr>
                <w:noProof/>
              </w:rPr>
              <w:instrText xml:space="preserve"> PAGEREF _Toc234229551 \h </w:instrText>
            </w:r>
            <w:r>
              <w:rPr>
                <w:noProof/>
              </w:rPr>
            </w:r>
            <w:r>
              <w:rPr>
                <w:noProof/>
              </w:rPr>
              <w:fldChar w:fldCharType="separate"/>
            </w:r>
            <w:r>
              <w:rPr>
                <w:noProof/>
              </w:rPr>
              <w:t>22</w:t>
            </w:r>
            <w:r>
              <w:rPr>
                <w:noProof/>
              </w:rPr>
              <w:fldChar w:fldCharType="end"/>
            </w:r>
          </w:hyperlink>
        </w:p>
        <w:p w14:paraId="70888F58" w14:textId="0A0F766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52" w:history="1">
            <w:r w:rsidRPr="00BD7138">
              <w:rPr>
                <w:rStyle w:val="Hipervnculo"/>
                <w:noProof/>
              </w:rPr>
              <w:t>IV.1 La lógica de la coextracción: por qué las mismas empresas aparecen en múltiples minerales</w:t>
            </w:r>
            <w:r>
              <w:rPr>
                <w:noProof/>
              </w:rPr>
              <w:tab/>
            </w:r>
            <w:r>
              <w:rPr>
                <w:noProof/>
              </w:rPr>
              <w:fldChar w:fldCharType="begin"/>
            </w:r>
            <w:r>
              <w:rPr>
                <w:noProof/>
              </w:rPr>
              <w:instrText xml:space="preserve"> PAGEREF _Toc234229552 \h </w:instrText>
            </w:r>
            <w:r>
              <w:rPr>
                <w:noProof/>
              </w:rPr>
            </w:r>
            <w:r>
              <w:rPr>
                <w:noProof/>
              </w:rPr>
              <w:fldChar w:fldCharType="separate"/>
            </w:r>
            <w:r>
              <w:rPr>
                <w:noProof/>
              </w:rPr>
              <w:t>23</w:t>
            </w:r>
            <w:r>
              <w:rPr>
                <w:noProof/>
              </w:rPr>
              <w:fldChar w:fldCharType="end"/>
            </w:r>
          </w:hyperlink>
        </w:p>
        <w:p w14:paraId="41F01FA6" w14:textId="7967DD5F"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53" w:history="1">
            <w:r w:rsidRPr="00BD7138">
              <w:rPr>
                <w:rStyle w:val="Hipervnculo"/>
                <w:noProof/>
              </w:rPr>
              <w:t>IV.2 Barita</w:t>
            </w:r>
            <w:r>
              <w:rPr>
                <w:noProof/>
              </w:rPr>
              <w:tab/>
            </w:r>
            <w:r>
              <w:rPr>
                <w:noProof/>
              </w:rPr>
              <w:fldChar w:fldCharType="begin"/>
            </w:r>
            <w:r>
              <w:rPr>
                <w:noProof/>
              </w:rPr>
              <w:instrText xml:space="preserve"> PAGEREF _Toc234229553 \h </w:instrText>
            </w:r>
            <w:r>
              <w:rPr>
                <w:noProof/>
              </w:rPr>
            </w:r>
            <w:r>
              <w:rPr>
                <w:noProof/>
              </w:rPr>
              <w:fldChar w:fldCharType="separate"/>
            </w:r>
            <w:r>
              <w:rPr>
                <w:noProof/>
              </w:rPr>
              <w:t>25</w:t>
            </w:r>
            <w:r>
              <w:rPr>
                <w:noProof/>
              </w:rPr>
              <w:fldChar w:fldCharType="end"/>
            </w:r>
          </w:hyperlink>
        </w:p>
        <w:p w14:paraId="33FB06BC" w14:textId="62B8EE81"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54" w:history="1">
            <w:r w:rsidRPr="00BD7138">
              <w:rPr>
                <w:rStyle w:val="Hipervnculo"/>
                <w:noProof/>
              </w:rPr>
              <w:t>IV.2.1 Contexto: un mercado estructuralmente cautivo de la industria petrolera</w:t>
            </w:r>
            <w:r>
              <w:rPr>
                <w:noProof/>
              </w:rPr>
              <w:tab/>
            </w:r>
            <w:r>
              <w:rPr>
                <w:noProof/>
              </w:rPr>
              <w:fldChar w:fldCharType="begin"/>
            </w:r>
            <w:r>
              <w:rPr>
                <w:noProof/>
              </w:rPr>
              <w:instrText xml:space="preserve"> PAGEREF _Toc234229554 \h </w:instrText>
            </w:r>
            <w:r>
              <w:rPr>
                <w:noProof/>
              </w:rPr>
            </w:r>
            <w:r>
              <w:rPr>
                <w:noProof/>
              </w:rPr>
              <w:fldChar w:fldCharType="separate"/>
            </w:r>
            <w:r>
              <w:rPr>
                <w:noProof/>
              </w:rPr>
              <w:t>25</w:t>
            </w:r>
            <w:r>
              <w:rPr>
                <w:noProof/>
              </w:rPr>
              <w:fldChar w:fldCharType="end"/>
            </w:r>
          </w:hyperlink>
        </w:p>
        <w:p w14:paraId="403E358F" w14:textId="5C2D6130"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55" w:history="1">
            <w:r w:rsidRPr="00BD7138">
              <w:rPr>
                <w:rStyle w:val="Hipervnculo"/>
                <w:noProof/>
              </w:rPr>
              <w:t>IV.2.2 Estructura de extracción y procesamiento: oligopolio sin desagregación por empresa</w:t>
            </w:r>
            <w:r>
              <w:rPr>
                <w:noProof/>
              </w:rPr>
              <w:tab/>
            </w:r>
            <w:r>
              <w:rPr>
                <w:noProof/>
              </w:rPr>
              <w:fldChar w:fldCharType="begin"/>
            </w:r>
            <w:r>
              <w:rPr>
                <w:noProof/>
              </w:rPr>
              <w:instrText xml:space="preserve"> PAGEREF _Toc234229555 \h </w:instrText>
            </w:r>
            <w:r>
              <w:rPr>
                <w:noProof/>
              </w:rPr>
            </w:r>
            <w:r>
              <w:rPr>
                <w:noProof/>
              </w:rPr>
              <w:fldChar w:fldCharType="separate"/>
            </w:r>
            <w:r>
              <w:rPr>
                <w:noProof/>
              </w:rPr>
              <w:t>25</w:t>
            </w:r>
            <w:r>
              <w:rPr>
                <w:noProof/>
              </w:rPr>
              <w:fldChar w:fldCharType="end"/>
            </w:r>
          </w:hyperlink>
        </w:p>
        <w:p w14:paraId="2D9991EE" w14:textId="2B4251D4"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56" w:history="1">
            <w:r w:rsidRPr="00BD7138">
              <w:rPr>
                <w:rStyle w:val="Hipervnculo"/>
                <w:noProof/>
              </w:rPr>
              <w:t>IV.2.3 Concentración geográfica: variable y no coincidente con la empresarial</w:t>
            </w:r>
            <w:r>
              <w:rPr>
                <w:noProof/>
              </w:rPr>
              <w:tab/>
            </w:r>
            <w:r>
              <w:rPr>
                <w:noProof/>
              </w:rPr>
              <w:fldChar w:fldCharType="begin"/>
            </w:r>
            <w:r>
              <w:rPr>
                <w:noProof/>
              </w:rPr>
              <w:instrText xml:space="preserve"> PAGEREF _Toc234229556 \h </w:instrText>
            </w:r>
            <w:r>
              <w:rPr>
                <w:noProof/>
              </w:rPr>
            </w:r>
            <w:r>
              <w:rPr>
                <w:noProof/>
              </w:rPr>
              <w:fldChar w:fldCharType="separate"/>
            </w:r>
            <w:r>
              <w:rPr>
                <w:noProof/>
              </w:rPr>
              <w:t>25</w:t>
            </w:r>
            <w:r>
              <w:rPr>
                <w:noProof/>
              </w:rPr>
              <w:fldChar w:fldCharType="end"/>
            </w:r>
          </w:hyperlink>
        </w:p>
        <w:p w14:paraId="77802F46" w14:textId="71CD4F3C"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57" w:history="1">
            <w:r w:rsidRPr="00BD7138">
              <w:rPr>
                <w:rStyle w:val="Hipervnculo"/>
                <w:noProof/>
              </w:rPr>
              <w:t>IV.2.4 Destino de la producción: mercado interno dominante, exportación marginal hacia Estados Unidos</w:t>
            </w:r>
            <w:r>
              <w:rPr>
                <w:noProof/>
              </w:rPr>
              <w:tab/>
            </w:r>
            <w:r>
              <w:rPr>
                <w:noProof/>
              </w:rPr>
              <w:fldChar w:fldCharType="begin"/>
            </w:r>
            <w:r>
              <w:rPr>
                <w:noProof/>
              </w:rPr>
              <w:instrText xml:space="preserve"> PAGEREF _Toc234229557 \h </w:instrText>
            </w:r>
            <w:r>
              <w:rPr>
                <w:noProof/>
              </w:rPr>
            </w:r>
            <w:r>
              <w:rPr>
                <w:noProof/>
              </w:rPr>
              <w:fldChar w:fldCharType="separate"/>
            </w:r>
            <w:r>
              <w:rPr>
                <w:noProof/>
              </w:rPr>
              <w:t>26</w:t>
            </w:r>
            <w:r>
              <w:rPr>
                <w:noProof/>
              </w:rPr>
              <w:fldChar w:fldCharType="end"/>
            </w:r>
          </w:hyperlink>
        </w:p>
        <w:p w14:paraId="0BA28C24" w14:textId="10A68865"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58" w:history="1">
            <w:r w:rsidRPr="00BD7138">
              <w:rPr>
                <w:rStyle w:val="Hipervnculo"/>
                <w:noProof/>
              </w:rPr>
              <w:t>IV.2.5 Volatilidad ligada al ciclo petrolero y efecto de la reforma de 2023</w:t>
            </w:r>
            <w:r>
              <w:rPr>
                <w:noProof/>
              </w:rPr>
              <w:tab/>
            </w:r>
            <w:r>
              <w:rPr>
                <w:noProof/>
              </w:rPr>
              <w:fldChar w:fldCharType="begin"/>
            </w:r>
            <w:r>
              <w:rPr>
                <w:noProof/>
              </w:rPr>
              <w:instrText xml:space="preserve"> PAGEREF _Toc234229558 \h </w:instrText>
            </w:r>
            <w:r>
              <w:rPr>
                <w:noProof/>
              </w:rPr>
            </w:r>
            <w:r>
              <w:rPr>
                <w:noProof/>
              </w:rPr>
              <w:fldChar w:fldCharType="separate"/>
            </w:r>
            <w:r>
              <w:rPr>
                <w:noProof/>
              </w:rPr>
              <w:t>26</w:t>
            </w:r>
            <w:r>
              <w:rPr>
                <w:noProof/>
              </w:rPr>
              <w:fldChar w:fldCharType="end"/>
            </w:r>
          </w:hyperlink>
        </w:p>
        <w:p w14:paraId="75E6F05B" w14:textId="11BE1913"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59" w:history="1">
            <w:r w:rsidRPr="00BD7138">
              <w:rPr>
                <w:rStyle w:val="Hipervnculo"/>
                <w:noProof/>
              </w:rPr>
              <w:t>IV.3 Cobre</w:t>
            </w:r>
            <w:r>
              <w:rPr>
                <w:noProof/>
              </w:rPr>
              <w:tab/>
            </w:r>
            <w:r>
              <w:rPr>
                <w:noProof/>
              </w:rPr>
              <w:fldChar w:fldCharType="begin"/>
            </w:r>
            <w:r>
              <w:rPr>
                <w:noProof/>
              </w:rPr>
              <w:instrText xml:space="preserve"> PAGEREF _Toc234229559 \h </w:instrText>
            </w:r>
            <w:r>
              <w:rPr>
                <w:noProof/>
              </w:rPr>
            </w:r>
            <w:r>
              <w:rPr>
                <w:noProof/>
              </w:rPr>
              <w:fldChar w:fldCharType="separate"/>
            </w:r>
            <w:r>
              <w:rPr>
                <w:noProof/>
              </w:rPr>
              <w:t>27</w:t>
            </w:r>
            <w:r>
              <w:rPr>
                <w:noProof/>
              </w:rPr>
              <w:fldChar w:fldCharType="end"/>
            </w:r>
          </w:hyperlink>
        </w:p>
        <w:p w14:paraId="379FC480" w14:textId="2CC9D1B4"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0" w:history="1">
            <w:r w:rsidRPr="00BD7138">
              <w:rPr>
                <w:rStyle w:val="Hipervnculo"/>
                <w:noProof/>
              </w:rPr>
              <w:t>IV.3.1 Contexto y posición mundial</w:t>
            </w:r>
            <w:r>
              <w:rPr>
                <w:noProof/>
              </w:rPr>
              <w:tab/>
            </w:r>
            <w:r>
              <w:rPr>
                <w:noProof/>
              </w:rPr>
              <w:fldChar w:fldCharType="begin"/>
            </w:r>
            <w:r>
              <w:rPr>
                <w:noProof/>
              </w:rPr>
              <w:instrText xml:space="preserve"> PAGEREF _Toc234229560 \h </w:instrText>
            </w:r>
            <w:r>
              <w:rPr>
                <w:noProof/>
              </w:rPr>
            </w:r>
            <w:r>
              <w:rPr>
                <w:noProof/>
              </w:rPr>
              <w:fldChar w:fldCharType="separate"/>
            </w:r>
            <w:r>
              <w:rPr>
                <w:noProof/>
              </w:rPr>
              <w:t>27</w:t>
            </w:r>
            <w:r>
              <w:rPr>
                <w:noProof/>
              </w:rPr>
              <w:fldChar w:fldCharType="end"/>
            </w:r>
          </w:hyperlink>
        </w:p>
        <w:p w14:paraId="07423CA4" w14:textId="79AA3439"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1" w:history="1">
            <w:r w:rsidRPr="00BD7138">
              <w:rPr>
                <w:rStyle w:val="Hipervnculo"/>
                <w:noProof/>
              </w:rPr>
              <w:t>IV.3.2 La transacción fundacional: privatización de Cananea (1990)</w:t>
            </w:r>
            <w:r>
              <w:rPr>
                <w:noProof/>
              </w:rPr>
              <w:tab/>
            </w:r>
            <w:r>
              <w:rPr>
                <w:noProof/>
              </w:rPr>
              <w:fldChar w:fldCharType="begin"/>
            </w:r>
            <w:r>
              <w:rPr>
                <w:noProof/>
              </w:rPr>
              <w:instrText xml:space="preserve"> PAGEREF _Toc234229561 \h </w:instrText>
            </w:r>
            <w:r>
              <w:rPr>
                <w:noProof/>
              </w:rPr>
            </w:r>
            <w:r>
              <w:rPr>
                <w:noProof/>
              </w:rPr>
              <w:fldChar w:fldCharType="separate"/>
            </w:r>
            <w:r>
              <w:rPr>
                <w:noProof/>
              </w:rPr>
              <w:t>27</w:t>
            </w:r>
            <w:r>
              <w:rPr>
                <w:noProof/>
              </w:rPr>
              <w:fldChar w:fldCharType="end"/>
            </w:r>
          </w:hyperlink>
        </w:p>
        <w:p w14:paraId="131D26C3" w14:textId="20D32364"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2" w:history="1">
            <w:r w:rsidRPr="00BD7138">
              <w:rPr>
                <w:rStyle w:val="Hipervnculo"/>
                <w:noProof/>
              </w:rPr>
              <w:t>IV.3.3 Internacionalización: adquisición de ASARCO y Southern Peru Copper (2004)</w:t>
            </w:r>
            <w:r>
              <w:rPr>
                <w:noProof/>
              </w:rPr>
              <w:tab/>
            </w:r>
            <w:r>
              <w:rPr>
                <w:noProof/>
              </w:rPr>
              <w:fldChar w:fldCharType="begin"/>
            </w:r>
            <w:r>
              <w:rPr>
                <w:noProof/>
              </w:rPr>
              <w:instrText xml:space="preserve"> PAGEREF _Toc234229562 \h </w:instrText>
            </w:r>
            <w:r>
              <w:rPr>
                <w:noProof/>
              </w:rPr>
            </w:r>
            <w:r>
              <w:rPr>
                <w:noProof/>
              </w:rPr>
              <w:fldChar w:fldCharType="separate"/>
            </w:r>
            <w:r>
              <w:rPr>
                <w:noProof/>
              </w:rPr>
              <w:t>27</w:t>
            </w:r>
            <w:r>
              <w:rPr>
                <w:noProof/>
              </w:rPr>
              <w:fldChar w:fldCharType="end"/>
            </w:r>
          </w:hyperlink>
        </w:p>
        <w:p w14:paraId="6064CFBE" w14:textId="57E52F90"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3" w:history="1">
            <w:r w:rsidRPr="00BD7138">
              <w:rPr>
                <w:rStyle w:val="Hipervnculo"/>
                <w:noProof/>
              </w:rPr>
              <w:t>IV.3.4 Extracción: participación de mercado de Grupo México, 2000-2024</w:t>
            </w:r>
            <w:r>
              <w:rPr>
                <w:noProof/>
              </w:rPr>
              <w:tab/>
            </w:r>
            <w:r>
              <w:rPr>
                <w:noProof/>
              </w:rPr>
              <w:fldChar w:fldCharType="begin"/>
            </w:r>
            <w:r>
              <w:rPr>
                <w:noProof/>
              </w:rPr>
              <w:instrText xml:space="preserve"> PAGEREF _Toc234229563 \h </w:instrText>
            </w:r>
            <w:r>
              <w:rPr>
                <w:noProof/>
              </w:rPr>
            </w:r>
            <w:r>
              <w:rPr>
                <w:noProof/>
              </w:rPr>
              <w:fldChar w:fldCharType="separate"/>
            </w:r>
            <w:r>
              <w:rPr>
                <w:noProof/>
              </w:rPr>
              <w:t>28</w:t>
            </w:r>
            <w:r>
              <w:rPr>
                <w:noProof/>
              </w:rPr>
              <w:fldChar w:fldCharType="end"/>
            </w:r>
          </w:hyperlink>
        </w:p>
        <w:p w14:paraId="1682A21D" w14:textId="5A84E73A"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4" w:history="1">
            <w:r w:rsidRPr="00BD7138">
              <w:rPr>
                <w:rStyle w:val="Hipervnculo"/>
                <w:noProof/>
              </w:rPr>
              <w:t>IV.3.5 Refinación: monopolio de facto de Grupo México</w:t>
            </w:r>
            <w:r>
              <w:rPr>
                <w:noProof/>
              </w:rPr>
              <w:tab/>
            </w:r>
            <w:r>
              <w:rPr>
                <w:noProof/>
              </w:rPr>
              <w:fldChar w:fldCharType="begin"/>
            </w:r>
            <w:r>
              <w:rPr>
                <w:noProof/>
              </w:rPr>
              <w:instrText xml:space="preserve"> PAGEREF _Toc234229564 \h </w:instrText>
            </w:r>
            <w:r>
              <w:rPr>
                <w:noProof/>
              </w:rPr>
            </w:r>
            <w:r>
              <w:rPr>
                <w:noProof/>
              </w:rPr>
              <w:fldChar w:fldCharType="separate"/>
            </w:r>
            <w:r>
              <w:rPr>
                <w:noProof/>
              </w:rPr>
              <w:t>28</w:t>
            </w:r>
            <w:r>
              <w:rPr>
                <w:noProof/>
              </w:rPr>
              <w:fldChar w:fldCharType="end"/>
            </w:r>
          </w:hyperlink>
        </w:p>
        <w:p w14:paraId="2C91F034" w14:textId="302C48C1"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5" w:history="1">
            <w:r w:rsidRPr="00BD7138">
              <w:rPr>
                <w:rStyle w:val="Hipervnculo"/>
                <w:noProof/>
              </w:rPr>
              <w:t>IV.3.6 Destino de la producción: exportación de concentrado con China como principal comprador</w:t>
            </w:r>
            <w:r>
              <w:rPr>
                <w:noProof/>
              </w:rPr>
              <w:tab/>
            </w:r>
            <w:r>
              <w:rPr>
                <w:noProof/>
              </w:rPr>
              <w:fldChar w:fldCharType="begin"/>
            </w:r>
            <w:r>
              <w:rPr>
                <w:noProof/>
              </w:rPr>
              <w:instrText xml:space="preserve"> PAGEREF _Toc234229565 \h </w:instrText>
            </w:r>
            <w:r>
              <w:rPr>
                <w:noProof/>
              </w:rPr>
            </w:r>
            <w:r>
              <w:rPr>
                <w:noProof/>
              </w:rPr>
              <w:fldChar w:fldCharType="separate"/>
            </w:r>
            <w:r>
              <w:rPr>
                <w:noProof/>
              </w:rPr>
              <w:t>29</w:t>
            </w:r>
            <w:r>
              <w:rPr>
                <w:noProof/>
              </w:rPr>
              <w:fldChar w:fldCharType="end"/>
            </w:r>
          </w:hyperlink>
        </w:p>
        <w:p w14:paraId="75B8C12C" w14:textId="68016163"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6" w:history="1">
            <w:r w:rsidRPr="00BD7138">
              <w:rPr>
                <w:rStyle w:val="Hipervnculo"/>
                <w:noProof/>
              </w:rPr>
              <w:t>IV.3.7 Impacto de la reforma de 2023: protección de corto plazo, freno a la expansión futura</w:t>
            </w:r>
            <w:r>
              <w:rPr>
                <w:noProof/>
              </w:rPr>
              <w:tab/>
            </w:r>
            <w:r>
              <w:rPr>
                <w:noProof/>
              </w:rPr>
              <w:fldChar w:fldCharType="begin"/>
            </w:r>
            <w:r>
              <w:rPr>
                <w:noProof/>
              </w:rPr>
              <w:instrText xml:space="preserve"> PAGEREF _Toc234229566 \h </w:instrText>
            </w:r>
            <w:r>
              <w:rPr>
                <w:noProof/>
              </w:rPr>
            </w:r>
            <w:r>
              <w:rPr>
                <w:noProof/>
              </w:rPr>
              <w:fldChar w:fldCharType="separate"/>
            </w:r>
            <w:r>
              <w:rPr>
                <w:noProof/>
              </w:rPr>
              <w:t>29</w:t>
            </w:r>
            <w:r>
              <w:rPr>
                <w:noProof/>
              </w:rPr>
              <w:fldChar w:fldCharType="end"/>
            </w:r>
          </w:hyperlink>
        </w:p>
        <w:p w14:paraId="4BD79D5C" w14:textId="22DCC7D6"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67" w:history="1">
            <w:r w:rsidRPr="00BD7138">
              <w:rPr>
                <w:rStyle w:val="Hipervnculo"/>
                <w:noProof/>
              </w:rPr>
              <w:t>IV.4 Fluorita</w:t>
            </w:r>
            <w:r>
              <w:rPr>
                <w:noProof/>
              </w:rPr>
              <w:tab/>
            </w:r>
            <w:r>
              <w:rPr>
                <w:noProof/>
              </w:rPr>
              <w:fldChar w:fldCharType="begin"/>
            </w:r>
            <w:r>
              <w:rPr>
                <w:noProof/>
              </w:rPr>
              <w:instrText xml:space="preserve"> PAGEREF _Toc234229567 \h </w:instrText>
            </w:r>
            <w:r>
              <w:rPr>
                <w:noProof/>
              </w:rPr>
            </w:r>
            <w:r>
              <w:rPr>
                <w:noProof/>
              </w:rPr>
              <w:fldChar w:fldCharType="separate"/>
            </w:r>
            <w:r>
              <w:rPr>
                <w:noProof/>
              </w:rPr>
              <w:t>30</w:t>
            </w:r>
            <w:r>
              <w:rPr>
                <w:noProof/>
              </w:rPr>
              <w:fldChar w:fldCharType="end"/>
            </w:r>
          </w:hyperlink>
        </w:p>
        <w:p w14:paraId="29BCAD50" w14:textId="7C4C274A"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8" w:history="1">
            <w:r w:rsidRPr="00BD7138">
              <w:rPr>
                <w:rStyle w:val="Hipervnculo"/>
                <w:noProof/>
              </w:rPr>
              <w:t>IV.4.1 Contexto: México como segundo productor mundial con las mayores reservas globales</w:t>
            </w:r>
            <w:r>
              <w:rPr>
                <w:noProof/>
              </w:rPr>
              <w:tab/>
            </w:r>
            <w:r>
              <w:rPr>
                <w:noProof/>
              </w:rPr>
              <w:fldChar w:fldCharType="begin"/>
            </w:r>
            <w:r>
              <w:rPr>
                <w:noProof/>
              </w:rPr>
              <w:instrText xml:space="preserve"> PAGEREF _Toc234229568 \h </w:instrText>
            </w:r>
            <w:r>
              <w:rPr>
                <w:noProof/>
              </w:rPr>
            </w:r>
            <w:r>
              <w:rPr>
                <w:noProof/>
              </w:rPr>
              <w:fldChar w:fldCharType="separate"/>
            </w:r>
            <w:r>
              <w:rPr>
                <w:noProof/>
              </w:rPr>
              <w:t>30</w:t>
            </w:r>
            <w:r>
              <w:rPr>
                <w:noProof/>
              </w:rPr>
              <w:fldChar w:fldCharType="end"/>
            </w:r>
          </w:hyperlink>
        </w:p>
        <w:p w14:paraId="46519633" w14:textId="6F2C3F2F"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69" w:history="1">
            <w:r w:rsidRPr="00BD7138">
              <w:rPr>
                <w:rStyle w:val="Hipervnculo"/>
                <w:noProof/>
              </w:rPr>
              <w:t>IV.4.2 Un monopolio geográfico y empresarial documentado desde 1955</w:t>
            </w:r>
            <w:r>
              <w:rPr>
                <w:noProof/>
              </w:rPr>
              <w:tab/>
            </w:r>
            <w:r>
              <w:rPr>
                <w:noProof/>
              </w:rPr>
              <w:fldChar w:fldCharType="begin"/>
            </w:r>
            <w:r>
              <w:rPr>
                <w:noProof/>
              </w:rPr>
              <w:instrText xml:space="preserve"> PAGEREF _Toc234229569 \h </w:instrText>
            </w:r>
            <w:r>
              <w:rPr>
                <w:noProof/>
              </w:rPr>
            </w:r>
            <w:r>
              <w:rPr>
                <w:noProof/>
              </w:rPr>
              <w:fldChar w:fldCharType="separate"/>
            </w:r>
            <w:r>
              <w:rPr>
                <w:noProof/>
              </w:rPr>
              <w:t>30</w:t>
            </w:r>
            <w:r>
              <w:rPr>
                <w:noProof/>
              </w:rPr>
              <w:fldChar w:fldCharType="end"/>
            </w:r>
          </w:hyperlink>
        </w:p>
        <w:p w14:paraId="42FC0EF3" w14:textId="5D3CAE6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0" w:history="1">
            <w:r w:rsidRPr="00BD7138">
              <w:rPr>
                <w:rStyle w:val="Hipervnculo"/>
                <w:noProof/>
              </w:rPr>
              <w:t>IV.4.3 De Mexichem a Orbia/Koura: continuidad del operador único bajo distintos nombres</w:t>
            </w:r>
            <w:r>
              <w:rPr>
                <w:noProof/>
              </w:rPr>
              <w:tab/>
            </w:r>
            <w:r>
              <w:rPr>
                <w:noProof/>
              </w:rPr>
              <w:fldChar w:fldCharType="begin"/>
            </w:r>
            <w:r>
              <w:rPr>
                <w:noProof/>
              </w:rPr>
              <w:instrText xml:space="preserve"> PAGEREF _Toc234229570 \h </w:instrText>
            </w:r>
            <w:r>
              <w:rPr>
                <w:noProof/>
              </w:rPr>
            </w:r>
            <w:r>
              <w:rPr>
                <w:noProof/>
              </w:rPr>
              <w:fldChar w:fldCharType="separate"/>
            </w:r>
            <w:r>
              <w:rPr>
                <w:noProof/>
              </w:rPr>
              <w:t>30</w:t>
            </w:r>
            <w:r>
              <w:rPr>
                <w:noProof/>
              </w:rPr>
              <w:fldChar w:fldCharType="end"/>
            </w:r>
          </w:hyperlink>
        </w:p>
        <w:p w14:paraId="5AD653BF" w14:textId="7BBAE839"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1" w:history="1">
            <w:r w:rsidRPr="00BD7138">
              <w:rPr>
                <w:rStyle w:val="Hipervnculo"/>
                <w:noProof/>
              </w:rPr>
              <w:t>IV.4.4 Destino de la producción: México como proveedor estratégico de Estados Unidos y la Unión Europea</w:t>
            </w:r>
            <w:r>
              <w:rPr>
                <w:noProof/>
              </w:rPr>
              <w:tab/>
            </w:r>
            <w:r>
              <w:rPr>
                <w:noProof/>
              </w:rPr>
              <w:fldChar w:fldCharType="begin"/>
            </w:r>
            <w:r>
              <w:rPr>
                <w:noProof/>
              </w:rPr>
              <w:instrText xml:space="preserve"> PAGEREF _Toc234229571 \h </w:instrText>
            </w:r>
            <w:r>
              <w:rPr>
                <w:noProof/>
              </w:rPr>
            </w:r>
            <w:r>
              <w:rPr>
                <w:noProof/>
              </w:rPr>
              <w:fldChar w:fldCharType="separate"/>
            </w:r>
            <w:r>
              <w:rPr>
                <w:noProof/>
              </w:rPr>
              <w:t>31</w:t>
            </w:r>
            <w:r>
              <w:rPr>
                <w:noProof/>
              </w:rPr>
              <w:fldChar w:fldCharType="end"/>
            </w:r>
          </w:hyperlink>
        </w:p>
        <w:p w14:paraId="6B57AD90" w14:textId="5BC6F196"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2" w:history="1">
            <w:r w:rsidRPr="00BD7138">
              <w:rPr>
                <w:rStyle w:val="Hipervnculo"/>
                <w:noProof/>
              </w:rPr>
              <w:t>IV.4.5 Impacto de la reforma de 2023: relevancia indirecta y geopolítica</w:t>
            </w:r>
            <w:r>
              <w:rPr>
                <w:noProof/>
              </w:rPr>
              <w:tab/>
            </w:r>
            <w:r>
              <w:rPr>
                <w:noProof/>
              </w:rPr>
              <w:fldChar w:fldCharType="begin"/>
            </w:r>
            <w:r>
              <w:rPr>
                <w:noProof/>
              </w:rPr>
              <w:instrText xml:space="preserve"> PAGEREF _Toc234229572 \h </w:instrText>
            </w:r>
            <w:r>
              <w:rPr>
                <w:noProof/>
              </w:rPr>
            </w:r>
            <w:r>
              <w:rPr>
                <w:noProof/>
              </w:rPr>
              <w:fldChar w:fldCharType="separate"/>
            </w:r>
            <w:r>
              <w:rPr>
                <w:noProof/>
              </w:rPr>
              <w:t>31</w:t>
            </w:r>
            <w:r>
              <w:rPr>
                <w:noProof/>
              </w:rPr>
              <w:fldChar w:fldCharType="end"/>
            </w:r>
          </w:hyperlink>
        </w:p>
        <w:p w14:paraId="1DAA4BB9" w14:textId="73CF2851"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73" w:history="1">
            <w:r w:rsidRPr="00BD7138">
              <w:rPr>
                <w:rStyle w:val="Hipervnculo"/>
                <w:noProof/>
              </w:rPr>
              <w:t>IV.5 Grafito</w:t>
            </w:r>
            <w:r>
              <w:rPr>
                <w:noProof/>
              </w:rPr>
              <w:tab/>
            </w:r>
            <w:r>
              <w:rPr>
                <w:noProof/>
              </w:rPr>
              <w:fldChar w:fldCharType="begin"/>
            </w:r>
            <w:r>
              <w:rPr>
                <w:noProof/>
              </w:rPr>
              <w:instrText xml:space="preserve"> PAGEREF _Toc234229573 \h </w:instrText>
            </w:r>
            <w:r>
              <w:rPr>
                <w:noProof/>
              </w:rPr>
            </w:r>
            <w:r>
              <w:rPr>
                <w:noProof/>
              </w:rPr>
              <w:fldChar w:fldCharType="separate"/>
            </w:r>
            <w:r>
              <w:rPr>
                <w:noProof/>
              </w:rPr>
              <w:t>33</w:t>
            </w:r>
            <w:r>
              <w:rPr>
                <w:noProof/>
              </w:rPr>
              <w:fldChar w:fldCharType="end"/>
            </w:r>
          </w:hyperlink>
        </w:p>
        <w:p w14:paraId="2927CCF4" w14:textId="60A7BF46"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4" w:history="1">
            <w:r w:rsidRPr="00BD7138">
              <w:rPr>
                <w:rStyle w:val="Hipervnculo"/>
                <w:noProof/>
              </w:rPr>
              <w:t>IV.5.1 Contexto: monopolio geográfico con mercado empresarial atomizado</w:t>
            </w:r>
            <w:r>
              <w:rPr>
                <w:noProof/>
              </w:rPr>
              <w:tab/>
            </w:r>
            <w:r>
              <w:rPr>
                <w:noProof/>
              </w:rPr>
              <w:fldChar w:fldCharType="begin"/>
            </w:r>
            <w:r>
              <w:rPr>
                <w:noProof/>
              </w:rPr>
              <w:instrText xml:space="preserve"> PAGEREF _Toc234229574 \h </w:instrText>
            </w:r>
            <w:r>
              <w:rPr>
                <w:noProof/>
              </w:rPr>
            </w:r>
            <w:r>
              <w:rPr>
                <w:noProof/>
              </w:rPr>
              <w:fldChar w:fldCharType="separate"/>
            </w:r>
            <w:r>
              <w:rPr>
                <w:noProof/>
              </w:rPr>
              <w:t>33</w:t>
            </w:r>
            <w:r>
              <w:rPr>
                <w:noProof/>
              </w:rPr>
              <w:fldChar w:fldCharType="end"/>
            </w:r>
          </w:hyperlink>
        </w:p>
        <w:p w14:paraId="76EE70D3" w14:textId="28951F53"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5" w:history="1">
            <w:r w:rsidRPr="00BD7138">
              <w:rPr>
                <w:rStyle w:val="Hipervnculo"/>
                <w:noProof/>
              </w:rPr>
              <w:t>IV.5.2 Ausencia de integración vertical dominante</w:t>
            </w:r>
            <w:r>
              <w:rPr>
                <w:noProof/>
              </w:rPr>
              <w:tab/>
            </w:r>
            <w:r>
              <w:rPr>
                <w:noProof/>
              </w:rPr>
              <w:fldChar w:fldCharType="begin"/>
            </w:r>
            <w:r>
              <w:rPr>
                <w:noProof/>
              </w:rPr>
              <w:instrText xml:space="preserve"> PAGEREF _Toc234229575 \h </w:instrText>
            </w:r>
            <w:r>
              <w:rPr>
                <w:noProof/>
              </w:rPr>
            </w:r>
            <w:r>
              <w:rPr>
                <w:noProof/>
              </w:rPr>
              <w:fldChar w:fldCharType="separate"/>
            </w:r>
            <w:r>
              <w:rPr>
                <w:noProof/>
              </w:rPr>
              <w:t>33</w:t>
            </w:r>
            <w:r>
              <w:rPr>
                <w:noProof/>
              </w:rPr>
              <w:fldChar w:fldCharType="end"/>
            </w:r>
          </w:hyperlink>
        </w:p>
        <w:p w14:paraId="346B33BB" w14:textId="45AD31EF"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6" w:history="1">
            <w:r w:rsidRPr="00BD7138">
              <w:rPr>
                <w:rStyle w:val="Hipervnculo"/>
                <w:noProof/>
              </w:rPr>
              <w:t>IV.5.3 Un mercado pequeño, volátil y casi totalmente exportado a un solo mercado</w:t>
            </w:r>
            <w:r>
              <w:rPr>
                <w:noProof/>
              </w:rPr>
              <w:tab/>
            </w:r>
            <w:r>
              <w:rPr>
                <w:noProof/>
              </w:rPr>
              <w:fldChar w:fldCharType="begin"/>
            </w:r>
            <w:r>
              <w:rPr>
                <w:noProof/>
              </w:rPr>
              <w:instrText xml:space="preserve"> PAGEREF _Toc234229576 \h </w:instrText>
            </w:r>
            <w:r>
              <w:rPr>
                <w:noProof/>
              </w:rPr>
            </w:r>
            <w:r>
              <w:rPr>
                <w:noProof/>
              </w:rPr>
              <w:fldChar w:fldCharType="separate"/>
            </w:r>
            <w:r>
              <w:rPr>
                <w:noProof/>
              </w:rPr>
              <w:t>33</w:t>
            </w:r>
            <w:r>
              <w:rPr>
                <w:noProof/>
              </w:rPr>
              <w:fldChar w:fldCharType="end"/>
            </w:r>
          </w:hyperlink>
        </w:p>
        <w:p w14:paraId="0FAC6820" w14:textId="57357B0C"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7" w:history="1">
            <w:r w:rsidRPr="00BD7138">
              <w:rPr>
                <w:rStyle w:val="Hipervnculo"/>
                <w:noProof/>
              </w:rPr>
              <w:t>IV.5.4 Impacto de la reforma de 2023: barrera proporcionalmente mayor para productores pequeños</w:t>
            </w:r>
            <w:r>
              <w:rPr>
                <w:noProof/>
              </w:rPr>
              <w:tab/>
            </w:r>
            <w:r>
              <w:rPr>
                <w:noProof/>
              </w:rPr>
              <w:fldChar w:fldCharType="begin"/>
            </w:r>
            <w:r>
              <w:rPr>
                <w:noProof/>
              </w:rPr>
              <w:instrText xml:space="preserve"> PAGEREF _Toc234229577 \h </w:instrText>
            </w:r>
            <w:r>
              <w:rPr>
                <w:noProof/>
              </w:rPr>
            </w:r>
            <w:r>
              <w:rPr>
                <w:noProof/>
              </w:rPr>
              <w:fldChar w:fldCharType="separate"/>
            </w:r>
            <w:r>
              <w:rPr>
                <w:noProof/>
              </w:rPr>
              <w:t>34</w:t>
            </w:r>
            <w:r>
              <w:rPr>
                <w:noProof/>
              </w:rPr>
              <w:fldChar w:fldCharType="end"/>
            </w:r>
          </w:hyperlink>
        </w:p>
        <w:p w14:paraId="64234946" w14:textId="58EAF3C3"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78" w:history="1">
            <w:r w:rsidRPr="00BD7138">
              <w:rPr>
                <w:rStyle w:val="Hipervnculo"/>
                <w:noProof/>
              </w:rPr>
              <w:t>IV.6 Manganeso</w:t>
            </w:r>
            <w:r>
              <w:rPr>
                <w:noProof/>
              </w:rPr>
              <w:tab/>
            </w:r>
            <w:r>
              <w:rPr>
                <w:noProof/>
              </w:rPr>
              <w:fldChar w:fldCharType="begin"/>
            </w:r>
            <w:r>
              <w:rPr>
                <w:noProof/>
              </w:rPr>
              <w:instrText xml:space="preserve"> PAGEREF _Toc234229578 \h </w:instrText>
            </w:r>
            <w:r>
              <w:rPr>
                <w:noProof/>
              </w:rPr>
            </w:r>
            <w:r>
              <w:rPr>
                <w:noProof/>
              </w:rPr>
              <w:fldChar w:fldCharType="separate"/>
            </w:r>
            <w:r>
              <w:rPr>
                <w:noProof/>
              </w:rPr>
              <w:t>35</w:t>
            </w:r>
            <w:r>
              <w:rPr>
                <w:noProof/>
              </w:rPr>
              <w:fldChar w:fldCharType="end"/>
            </w:r>
          </w:hyperlink>
        </w:p>
        <w:p w14:paraId="38BEDE5E" w14:textId="4E2B952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79" w:history="1">
            <w:r w:rsidRPr="00BD7138">
              <w:rPr>
                <w:rStyle w:val="Hipervnculo"/>
                <w:noProof/>
              </w:rPr>
              <w:t>IV.6.1 Contexto: monopolio geológico en el único yacimiento de escala industrial de Centro y Norteamérica</w:t>
            </w:r>
            <w:r>
              <w:rPr>
                <w:noProof/>
              </w:rPr>
              <w:tab/>
            </w:r>
            <w:r>
              <w:rPr>
                <w:noProof/>
              </w:rPr>
              <w:fldChar w:fldCharType="begin"/>
            </w:r>
            <w:r>
              <w:rPr>
                <w:noProof/>
              </w:rPr>
              <w:instrText xml:space="preserve"> PAGEREF _Toc234229579 \h </w:instrText>
            </w:r>
            <w:r>
              <w:rPr>
                <w:noProof/>
              </w:rPr>
            </w:r>
            <w:r>
              <w:rPr>
                <w:noProof/>
              </w:rPr>
              <w:fldChar w:fldCharType="separate"/>
            </w:r>
            <w:r>
              <w:rPr>
                <w:noProof/>
              </w:rPr>
              <w:t>35</w:t>
            </w:r>
            <w:r>
              <w:rPr>
                <w:noProof/>
              </w:rPr>
              <w:fldChar w:fldCharType="end"/>
            </w:r>
          </w:hyperlink>
        </w:p>
        <w:p w14:paraId="0D65911F" w14:textId="723FE595"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0" w:history="1">
            <w:r w:rsidRPr="00BD7138">
              <w:rPr>
                <w:rStyle w:val="Hipervnculo"/>
                <w:noProof/>
              </w:rPr>
              <w:t>IV.6.2 Compañía Minera Autlán: privatización de 1993 y consolidación del monopolio</w:t>
            </w:r>
            <w:r>
              <w:rPr>
                <w:noProof/>
              </w:rPr>
              <w:tab/>
            </w:r>
            <w:r>
              <w:rPr>
                <w:noProof/>
              </w:rPr>
              <w:fldChar w:fldCharType="begin"/>
            </w:r>
            <w:r>
              <w:rPr>
                <w:noProof/>
              </w:rPr>
              <w:instrText xml:space="preserve"> PAGEREF _Toc234229580 \h </w:instrText>
            </w:r>
            <w:r>
              <w:rPr>
                <w:noProof/>
              </w:rPr>
            </w:r>
            <w:r>
              <w:rPr>
                <w:noProof/>
              </w:rPr>
              <w:fldChar w:fldCharType="separate"/>
            </w:r>
            <w:r>
              <w:rPr>
                <w:noProof/>
              </w:rPr>
              <w:t>35</w:t>
            </w:r>
            <w:r>
              <w:rPr>
                <w:noProof/>
              </w:rPr>
              <w:fldChar w:fldCharType="end"/>
            </w:r>
          </w:hyperlink>
        </w:p>
        <w:p w14:paraId="0C7D04FE" w14:textId="6E1EFC98"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1" w:history="1">
            <w:r w:rsidRPr="00BD7138">
              <w:rPr>
                <w:rStyle w:val="Hipervnculo"/>
                <w:noProof/>
              </w:rPr>
              <w:t>IV.6.3 Integración vertical completa: de la extracción a las ferroaleaciones</w:t>
            </w:r>
            <w:r>
              <w:rPr>
                <w:noProof/>
              </w:rPr>
              <w:tab/>
            </w:r>
            <w:r>
              <w:rPr>
                <w:noProof/>
              </w:rPr>
              <w:fldChar w:fldCharType="begin"/>
            </w:r>
            <w:r>
              <w:rPr>
                <w:noProof/>
              </w:rPr>
              <w:instrText xml:space="preserve"> PAGEREF _Toc234229581 \h </w:instrText>
            </w:r>
            <w:r>
              <w:rPr>
                <w:noProof/>
              </w:rPr>
            </w:r>
            <w:r>
              <w:rPr>
                <w:noProof/>
              </w:rPr>
              <w:fldChar w:fldCharType="separate"/>
            </w:r>
            <w:r>
              <w:rPr>
                <w:noProof/>
              </w:rPr>
              <w:t>36</w:t>
            </w:r>
            <w:r>
              <w:rPr>
                <w:noProof/>
              </w:rPr>
              <w:fldChar w:fldCharType="end"/>
            </w:r>
          </w:hyperlink>
        </w:p>
        <w:p w14:paraId="333536A0" w14:textId="1C9C7AE2"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2" w:history="1">
            <w:r w:rsidRPr="00BD7138">
              <w:rPr>
                <w:rStyle w:val="Hipervnculo"/>
                <w:noProof/>
              </w:rPr>
              <w:t>IV.6.4 Destino de la producción: mercado interno siderúrgico y riesgo de demanda por cierre de AHMSA</w:t>
            </w:r>
            <w:r>
              <w:rPr>
                <w:noProof/>
              </w:rPr>
              <w:tab/>
            </w:r>
            <w:r>
              <w:rPr>
                <w:noProof/>
              </w:rPr>
              <w:fldChar w:fldCharType="begin"/>
            </w:r>
            <w:r>
              <w:rPr>
                <w:noProof/>
              </w:rPr>
              <w:instrText xml:space="preserve"> PAGEREF _Toc234229582 \h </w:instrText>
            </w:r>
            <w:r>
              <w:rPr>
                <w:noProof/>
              </w:rPr>
            </w:r>
            <w:r>
              <w:rPr>
                <w:noProof/>
              </w:rPr>
              <w:fldChar w:fldCharType="separate"/>
            </w:r>
            <w:r>
              <w:rPr>
                <w:noProof/>
              </w:rPr>
              <w:t>36</w:t>
            </w:r>
            <w:r>
              <w:rPr>
                <w:noProof/>
              </w:rPr>
              <w:fldChar w:fldCharType="end"/>
            </w:r>
          </w:hyperlink>
        </w:p>
        <w:p w14:paraId="1B7D745D" w14:textId="6AC5F0CD"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3" w:history="1">
            <w:r w:rsidRPr="00BD7138">
              <w:rPr>
                <w:rStyle w:val="Hipervnculo"/>
                <w:noProof/>
              </w:rPr>
              <w:t>IV.6.5 Impacto de la reforma de 2023: bajo riesgo en la oferta, mayor riesgo en la demanda</w:t>
            </w:r>
            <w:r>
              <w:rPr>
                <w:noProof/>
              </w:rPr>
              <w:tab/>
            </w:r>
            <w:r>
              <w:rPr>
                <w:noProof/>
              </w:rPr>
              <w:fldChar w:fldCharType="begin"/>
            </w:r>
            <w:r>
              <w:rPr>
                <w:noProof/>
              </w:rPr>
              <w:instrText xml:space="preserve"> PAGEREF _Toc234229583 \h </w:instrText>
            </w:r>
            <w:r>
              <w:rPr>
                <w:noProof/>
              </w:rPr>
            </w:r>
            <w:r>
              <w:rPr>
                <w:noProof/>
              </w:rPr>
              <w:fldChar w:fldCharType="separate"/>
            </w:r>
            <w:r>
              <w:rPr>
                <w:noProof/>
              </w:rPr>
              <w:t>36</w:t>
            </w:r>
            <w:r>
              <w:rPr>
                <w:noProof/>
              </w:rPr>
              <w:fldChar w:fldCharType="end"/>
            </w:r>
          </w:hyperlink>
        </w:p>
        <w:p w14:paraId="36E5DE44" w14:textId="7D62787E"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84" w:history="1">
            <w:r w:rsidRPr="00BD7138">
              <w:rPr>
                <w:rStyle w:val="Hipervnculo"/>
                <w:noProof/>
              </w:rPr>
              <w:t>IV.7 Oro</w:t>
            </w:r>
            <w:r>
              <w:rPr>
                <w:noProof/>
              </w:rPr>
              <w:tab/>
            </w:r>
            <w:r>
              <w:rPr>
                <w:noProof/>
              </w:rPr>
              <w:fldChar w:fldCharType="begin"/>
            </w:r>
            <w:r>
              <w:rPr>
                <w:noProof/>
              </w:rPr>
              <w:instrText xml:space="preserve"> PAGEREF _Toc234229584 \h </w:instrText>
            </w:r>
            <w:r>
              <w:rPr>
                <w:noProof/>
              </w:rPr>
            </w:r>
            <w:r>
              <w:rPr>
                <w:noProof/>
              </w:rPr>
              <w:fldChar w:fldCharType="separate"/>
            </w:r>
            <w:r>
              <w:rPr>
                <w:noProof/>
              </w:rPr>
              <w:t>38</w:t>
            </w:r>
            <w:r>
              <w:rPr>
                <w:noProof/>
              </w:rPr>
              <w:fldChar w:fldCharType="end"/>
            </w:r>
          </w:hyperlink>
        </w:p>
        <w:p w14:paraId="2B8C9F4F" w14:textId="5D9F62F1"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5" w:history="1">
            <w:r w:rsidRPr="00BD7138">
              <w:rPr>
                <w:rStyle w:val="Hipervnculo"/>
                <w:noProof/>
              </w:rPr>
              <w:t>IV.7.1 Contexto: el mineral con mayor presencia de capital extranjero y el más reciente declarado crítico</w:t>
            </w:r>
            <w:r>
              <w:rPr>
                <w:noProof/>
              </w:rPr>
              <w:tab/>
            </w:r>
            <w:r>
              <w:rPr>
                <w:noProof/>
              </w:rPr>
              <w:fldChar w:fldCharType="begin"/>
            </w:r>
            <w:r>
              <w:rPr>
                <w:noProof/>
              </w:rPr>
              <w:instrText xml:space="preserve"> PAGEREF _Toc234229585 \h </w:instrText>
            </w:r>
            <w:r>
              <w:rPr>
                <w:noProof/>
              </w:rPr>
            </w:r>
            <w:r>
              <w:rPr>
                <w:noProof/>
              </w:rPr>
              <w:fldChar w:fldCharType="separate"/>
            </w:r>
            <w:r>
              <w:rPr>
                <w:noProof/>
              </w:rPr>
              <w:t>38</w:t>
            </w:r>
            <w:r>
              <w:rPr>
                <w:noProof/>
              </w:rPr>
              <w:fldChar w:fldCharType="end"/>
            </w:r>
          </w:hyperlink>
        </w:p>
        <w:p w14:paraId="4CC873EA" w14:textId="1065E8F4"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6" w:history="1">
            <w:r w:rsidRPr="00BD7138">
              <w:rPr>
                <w:rStyle w:val="Hipervnculo"/>
                <w:noProof/>
              </w:rPr>
              <w:t>IV.7.2 Estructura de extracción: oligopolio moderado con cinco grandes operadores</w:t>
            </w:r>
            <w:r>
              <w:rPr>
                <w:noProof/>
              </w:rPr>
              <w:tab/>
            </w:r>
            <w:r>
              <w:rPr>
                <w:noProof/>
              </w:rPr>
              <w:fldChar w:fldCharType="begin"/>
            </w:r>
            <w:r>
              <w:rPr>
                <w:noProof/>
              </w:rPr>
              <w:instrText xml:space="preserve"> PAGEREF _Toc234229586 \h </w:instrText>
            </w:r>
            <w:r>
              <w:rPr>
                <w:noProof/>
              </w:rPr>
            </w:r>
            <w:r>
              <w:rPr>
                <w:noProof/>
              </w:rPr>
              <w:fldChar w:fldCharType="separate"/>
            </w:r>
            <w:r>
              <w:rPr>
                <w:noProof/>
              </w:rPr>
              <w:t>38</w:t>
            </w:r>
            <w:r>
              <w:rPr>
                <w:noProof/>
              </w:rPr>
              <w:fldChar w:fldCharType="end"/>
            </w:r>
          </w:hyperlink>
        </w:p>
        <w:p w14:paraId="4113A629" w14:textId="02BE710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7" w:history="1">
            <w:r w:rsidRPr="00BD7138">
              <w:rPr>
                <w:rStyle w:val="Hipervnculo"/>
                <w:noProof/>
              </w:rPr>
              <w:t>IV.7.3 La adquisición de Goldcorp por Newmont (2019) y el papel de Peñasquito</w:t>
            </w:r>
            <w:r>
              <w:rPr>
                <w:noProof/>
              </w:rPr>
              <w:tab/>
            </w:r>
            <w:r>
              <w:rPr>
                <w:noProof/>
              </w:rPr>
              <w:fldChar w:fldCharType="begin"/>
            </w:r>
            <w:r>
              <w:rPr>
                <w:noProof/>
              </w:rPr>
              <w:instrText xml:space="preserve"> PAGEREF _Toc234229587 \h </w:instrText>
            </w:r>
            <w:r>
              <w:rPr>
                <w:noProof/>
              </w:rPr>
            </w:r>
            <w:r>
              <w:rPr>
                <w:noProof/>
              </w:rPr>
              <w:fldChar w:fldCharType="separate"/>
            </w:r>
            <w:r>
              <w:rPr>
                <w:noProof/>
              </w:rPr>
              <w:t>39</w:t>
            </w:r>
            <w:r>
              <w:rPr>
                <w:noProof/>
              </w:rPr>
              <w:fldChar w:fldCharType="end"/>
            </w:r>
          </w:hyperlink>
        </w:p>
        <w:p w14:paraId="29DA37AE" w14:textId="0A1E2362"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8" w:history="1">
            <w:r w:rsidRPr="00BD7138">
              <w:rPr>
                <w:rStyle w:val="Hipervnculo"/>
                <w:noProof/>
              </w:rPr>
              <w:t>IV.7.4 Refinación: Peñoles como líder latinoamericano en oro afinado</w:t>
            </w:r>
            <w:r>
              <w:rPr>
                <w:noProof/>
              </w:rPr>
              <w:tab/>
            </w:r>
            <w:r>
              <w:rPr>
                <w:noProof/>
              </w:rPr>
              <w:fldChar w:fldCharType="begin"/>
            </w:r>
            <w:r>
              <w:rPr>
                <w:noProof/>
              </w:rPr>
              <w:instrText xml:space="preserve"> PAGEREF _Toc234229588 \h </w:instrText>
            </w:r>
            <w:r>
              <w:rPr>
                <w:noProof/>
              </w:rPr>
            </w:r>
            <w:r>
              <w:rPr>
                <w:noProof/>
              </w:rPr>
              <w:fldChar w:fldCharType="separate"/>
            </w:r>
            <w:r>
              <w:rPr>
                <w:noProof/>
              </w:rPr>
              <w:t>39</w:t>
            </w:r>
            <w:r>
              <w:rPr>
                <w:noProof/>
              </w:rPr>
              <w:fldChar w:fldCharType="end"/>
            </w:r>
          </w:hyperlink>
        </w:p>
        <w:p w14:paraId="3396DE4F" w14:textId="515DD825"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89" w:history="1">
            <w:r w:rsidRPr="00BD7138">
              <w:rPr>
                <w:rStyle w:val="Hipervnculo"/>
                <w:noProof/>
              </w:rPr>
              <w:t>IV.7.5 Destino de la producción: exportación mayoritaria y efecto precio en 2024-2025</w:t>
            </w:r>
            <w:r>
              <w:rPr>
                <w:noProof/>
              </w:rPr>
              <w:tab/>
            </w:r>
            <w:r>
              <w:rPr>
                <w:noProof/>
              </w:rPr>
              <w:fldChar w:fldCharType="begin"/>
            </w:r>
            <w:r>
              <w:rPr>
                <w:noProof/>
              </w:rPr>
              <w:instrText xml:space="preserve"> PAGEREF _Toc234229589 \h </w:instrText>
            </w:r>
            <w:r>
              <w:rPr>
                <w:noProof/>
              </w:rPr>
            </w:r>
            <w:r>
              <w:rPr>
                <w:noProof/>
              </w:rPr>
              <w:fldChar w:fldCharType="separate"/>
            </w:r>
            <w:r>
              <w:rPr>
                <w:noProof/>
              </w:rPr>
              <w:t>39</w:t>
            </w:r>
            <w:r>
              <w:rPr>
                <w:noProof/>
              </w:rPr>
              <w:fldChar w:fldCharType="end"/>
            </w:r>
          </w:hyperlink>
        </w:p>
        <w:p w14:paraId="3DDB5D35" w14:textId="0265FCBE"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0" w:history="1">
            <w:r w:rsidRPr="00BD7138">
              <w:rPr>
                <w:rStyle w:val="Hipervnculo"/>
                <w:noProof/>
              </w:rPr>
              <w:t>IV.7.6 Impacto de la reforma de 2023: freno documentado a la exploración</w:t>
            </w:r>
            <w:r>
              <w:rPr>
                <w:noProof/>
              </w:rPr>
              <w:tab/>
            </w:r>
            <w:r>
              <w:rPr>
                <w:noProof/>
              </w:rPr>
              <w:fldChar w:fldCharType="begin"/>
            </w:r>
            <w:r>
              <w:rPr>
                <w:noProof/>
              </w:rPr>
              <w:instrText xml:space="preserve"> PAGEREF _Toc234229590 \h </w:instrText>
            </w:r>
            <w:r>
              <w:rPr>
                <w:noProof/>
              </w:rPr>
            </w:r>
            <w:r>
              <w:rPr>
                <w:noProof/>
              </w:rPr>
              <w:fldChar w:fldCharType="separate"/>
            </w:r>
            <w:r>
              <w:rPr>
                <w:noProof/>
              </w:rPr>
              <w:t>40</w:t>
            </w:r>
            <w:r>
              <w:rPr>
                <w:noProof/>
              </w:rPr>
              <w:fldChar w:fldCharType="end"/>
            </w:r>
          </w:hyperlink>
        </w:p>
        <w:p w14:paraId="2393924C" w14:textId="44EFECDE"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91" w:history="1">
            <w:r w:rsidRPr="00BD7138">
              <w:rPr>
                <w:rStyle w:val="Hipervnculo"/>
                <w:noProof/>
              </w:rPr>
              <w:t>IV.8 Plata</w:t>
            </w:r>
            <w:r>
              <w:rPr>
                <w:noProof/>
              </w:rPr>
              <w:tab/>
            </w:r>
            <w:r>
              <w:rPr>
                <w:noProof/>
              </w:rPr>
              <w:fldChar w:fldCharType="begin"/>
            </w:r>
            <w:r>
              <w:rPr>
                <w:noProof/>
              </w:rPr>
              <w:instrText xml:space="preserve"> PAGEREF _Toc234229591 \h </w:instrText>
            </w:r>
            <w:r>
              <w:rPr>
                <w:noProof/>
              </w:rPr>
            </w:r>
            <w:r>
              <w:rPr>
                <w:noProof/>
              </w:rPr>
              <w:fldChar w:fldCharType="separate"/>
            </w:r>
            <w:r>
              <w:rPr>
                <w:noProof/>
              </w:rPr>
              <w:t>41</w:t>
            </w:r>
            <w:r>
              <w:rPr>
                <w:noProof/>
              </w:rPr>
              <w:fldChar w:fldCharType="end"/>
            </w:r>
          </w:hyperlink>
        </w:p>
        <w:p w14:paraId="6F60317E" w14:textId="27A62DF5"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2" w:history="1">
            <w:r w:rsidRPr="00BD7138">
              <w:rPr>
                <w:rStyle w:val="Hipervnculo"/>
                <w:noProof/>
              </w:rPr>
              <w:t>IV.8.1 Contexto: dieciséis años consecutivos como primer productor mundial</w:t>
            </w:r>
            <w:r>
              <w:rPr>
                <w:noProof/>
              </w:rPr>
              <w:tab/>
            </w:r>
            <w:r>
              <w:rPr>
                <w:noProof/>
              </w:rPr>
              <w:fldChar w:fldCharType="begin"/>
            </w:r>
            <w:r>
              <w:rPr>
                <w:noProof/>
              </w:rPr>
              <w:instrText xml:space="preserve"> PAGEREF _Toc234229592 \h </w:instrText>
            </w:r>
            <w:r>
              <w:rPr>
                <w:noProof/>
              </w:rPr>
            </w:r>
            <w:r>
              <w:rPr>
                <w:noProof/>
              </w:rPr>
              <w:fldChar w:fldCharType="separate"/>
            </w:r>
            <w:r>
              <w:rPr>
                <w:noProof/>
              </w:rPr>
              <w:t>41</w:t>
            </w:r>
            <w:r>
              <w:rPr>
                <w:noProof/>
              </w:rPr>
              <w:fldChar w:fldCharType="end"/>
            </w:r>
          </w:hyperlink>
        </w:p>
        <w:p w14:paraId="58579E57" w14:textId="377820B9"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3" w:history="1">
            <w:r w:rsidRPr="00BD7138">
              <w:rPr>
                <w:rStyle w:val="Hipervnculo"/>
                <w:noProof/>
              </w:rPr>
              <w:t>IV.8.2 Una distinción indispensable: extracción y refinación son eslabones distintos con estructuras distintas</w:t>
            </w:r>
            <w:r>
              <w:rPr>
                <w:noProof/>
              </w:rPr>
              <w:tab/>
            </w:r>
            <w:r>
              <w:rPr>
                <w:noProof/>
              </w:rPr>
              <w:fldChar w:fldCharType="begin"/>
            </w:r>
            <w:r>
              <w:rPr>
                <w:noProof/>
              </w:rPr>
              <w:instrText xml:space="preserve"> PAGEREF _Toc234229593 \h </w:instrText>
            </w:r>
            <w:r>
              <w:rPr>
                <w:noProof/>
              </w:rPr>
            </w:r>
            <w:r>
              <w:rPr>
                <w:noProof/>
              </w:rPr>
              <w:fldChar w:fldCharType="separate"/>
            </w:r>
            <w:r>
              <w:rPr>
                <w:noProof/>
              </w:rPr>
              <w:t>41</w:t>
            </w:r>
            <w:r>
              <w:rPr>
                <w:noProof/>
              </w:rPr>
              <w:fldChar w:fldCharType="end"/>
            </w:r>
          </w:hyperlink>
        </w:p>
        <w:p w14:paraId="34625B47" w14:textId="1CA5F87D"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4" w:history="1">
            <w:r w:rsidRPr="00BD7138">
              <w:rPr>
                <w:rStyle w:val="Hipervnculo"/>
                <w:noProof/>
              </w:rPr>
              <w:t>IV.8.3 La escisión de Fresnillo plc de Peñoles (2008): hito corporativo del mercado de plata</w:t>
            </w:r>
            <w:r>
              <w:rPr>
                <w:noProof/>
              </w:rPr>
              <w:tab/>
            </w:r>
            <w:r>
              <w:rPr>
                <w:noProof/>
              </w:rPr>
              <w:fldChar w:fldCharType="begin"/>
            </w:r>
            <w:r>
              <w:rPr>
                <w:noProof/>
              </w:rPr>
              <w:instrText xml:space="preserve"> PAGEREF _Toc234229594 \h </w:instrText>
            </w:r>
            <w:r>
              <w:rPr>
                <w:noProof/>
              </w:rPr>
            </w:r>
            <w:r>
              <w:rPr>
                <w:noProof/>
              </w:rPr>
              <w:fldChar w:fldCharType="separate"/>
            </w:r>
            <w:r>
              <w:rPr>
                <w:noProof/>
              </w:rPr>
              <w:t>42</w:t>
            </w:r>
            <w:r>
              <w:rPr>
                <w:noProof/>
              </w:rPr>
              <w:fldChar w:fldCharType="end"/>
            </w:r>
          </w:hyperlink>
        </w:p>
        <w:p w14:paraId="3C548D4F" w14:textId="3199FE81"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5" w:history="1">
            <w:r w:rsidRPr="00BD7138">
              <w:rPr>
                <w:rStyle w:val="Hipervnculo"/>
                <w:noProof/>
              </w:rPr>
              <w:t>IV.8.4 Las cinco grandes empresas del oligopolio de extracción (2019-2024)</w:t>
            </w:r>
            <w:r>
              <w:rPr>
                <w:noProof/>
              </w:rPr>
              <w:tab/>
            </w:r>
            <w:r>
              <w:rPr>
                <w:noProof/>
              </w:rPr>
              <w:fldChar w:fldCharType="begin"/>
            </w:r>
            <w:r>
              <w:rPr>
                <w:noProof/>
              </w:rPr>
              <w:instrText xml:space="preserve"> PAGEREF _Toc234229595 \h </w:instrText>
            </w:r>
            <w:r>
              <w:rPr>
                <w:noProof/>
              </w:rPr>
            </w:r>
            <w:r>
              <w:rPr>
                <w:noProof/>
              </w:rPr>
              <w:fldChar w:fldCharType="separate"/>
            </w:r>
            <w:r>
              <w:rPr>
                <w:noProof/>
              </w:rPr>
              <w:t>42</w:t>
            </w:r>
            <w:r>
              <w:rPr>
                <w:noProof/>
              </w:rPr>
              <w:fldChar w:fldCharType="end"/>
            </w:r>
          </w:hyperlink>
        </w:p>
        <w:p w14:paraId="12BDD35D" w14:textId="5F8B610A"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6" w:history="1">
            <w:r w:rsidRPr="00BD7138">
              <w:rPr>
                <w:rStyle w:val="Hipervnculo"/>
                <w:noProof/>
              </w:rPr>
              <w:t>IV.8.5 Destino de la producción: el patrón paradójico de la plata mexicana</w:t>
            </w:r>
            <w:r>
              <w:rPr>
                <w:noProof/>
              </w:rPr>
              <w:tab/>
            </w:r>
            <w:r>
              <w:rPr>
                <w:noProof/>
              </w:rPr>
              <w:fldChar w:fldCharType="begin"/>
            </w:r>
            <w:r>
              <w:rPr>
                <w:noProof/>
              </w:rPr>
              <w:instrText xml:space="preserve"> PAGEREF _Toc234229596 \h </w:instrText>
            </w:r>
            <w:r>
              <w:rPr>
                <w:noProof/>
              </w:rPr>
            </w:r>
            <w:r>
              <w:rPr>
                <w:noProof/>
              </w:rPr>
              <w:fldChar w:fldCharType="separate"/>
            </w:r>
            <w:r>
              <w:rPr>
                <w:noProof/>
              </w:rPr>
              <w:t>42</w:t>
            </w:r>
            <w:r>
              <w:rPr>
                <w:noProof/>
              </w:rPr>
              <w:fldChar w:fldCharType="end"/>
            </w:r>
          </w:hyperlink>
        </w:p>
        <w:p w14:paraId="17624B17" w14:textId="5A2476CD"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7" w:history="1">
            <w:r w:rsidRPr="00BD7138">
              <w:rPr>
                <w:rStyle w:val="Hipervnculo"/>
                <w:noProof/>
              </w:rPr>
              <w:t>IV.8.6 Impacto de la reforma de 2023: protección de corto plazo, exposición en el largo</w:t>
            </w:r>
            <w:r>
              <w:rPr>
                <w:noProof/>
              </w:rPr>
              <w:tab/>
            </w:r>
            <w:r>
              <w:rPr>
                <w:noProof/>
              </w:rPr>
              <w:fldChar w:fldCharType="begin"/>
            </w:r>
            <w:r>
              <w:rPr>
                <w:noProof/>
              </w:rPr>
              <w:instrText xml:space="preserve"> PAGEREF _Toc234229597 \h </w:instrText>
            </w:r>
            <w:r>
              <w:rPr>
                <w:noProof/>
              </w:rPr>
            </w:r>
            <w:r>
              <w:rPr>
                <w:noProof/>
              </w:rPr>
              <w:fldChar w:fldCharType="separate"/>
            </w:r>
            <w:r>
              <w:rPr>
                <w:noProof/>
              </w:rPr>
              <w:t>43</w:t>
            </w:r>
            <w:r>
              <w:rPr>
                <w:noProof/>
              </w:rPr>
              <w:fldChar w:fldCharType="end"/>
            </w:r>
          </w:hyperlink>
        </w:p>
        <w:p w14:paraId="30E75C97" w14:textId="2EFB3751"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598" w:history="1">
            <w:r w:rsidRPr="00BD7138">
              <w:rPr>
                <w:rStyle w:val="Hipervnculo"/>
                <w:noProof/>
              </w:rPr>
              <w:t>IV.9 Plomo</w:t>
            </w:r>
            <w:r>
              <w:rPr>
                <w:noProof/>
              </w:rPr>
              <w:tab/>
            </w:r>
            <w:r>
              <w:rPr>
                <w:noProof/>
              </w:rPr>
              <w:fldChar w:fldCharType="begin"/>
            </w:r>
            <w:r>
              <w:rPr>
                <w:noProof/>
              </w:rPr>
              <w:instrText xml:space="preserve"> PAGEREF _Toc234229598 \h </w:instrText>
            </w:r>
            <w:r>
              <w:rPr>
                <w:noProof/>
              </w:rPr>
            </w:r>
            <w:r>
              <w:rPr>
                <w:noProof/>
              </w:rPr>
              <w:fldChar w:fldCharType="separate"/>
            </w:r>
            <w:r>
              <w:rPr>
                <w:noProof/>
              </w:rPr>
              <w:t>44</w:t>
            </w:r>
            <w:r>
              <w:rPr>
                <w:noProof/>
              </w:rPr>
              <w:fldChar w:fldCharType="end"/>
            </w:r>
          </w:hyperlink>
        </w:p>
        <w:p w14:paraId="36D7DF47" w14:textId="0D1EF40B"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599" w:history="1">
            <w:r w:rsidRPr="00BD7138">
              <w:rPr>
                <w:rStyle w:val="Hipervnculo"/>
                <w:noProof/>
              </w:rPr>
              <w:t>IV.9.1 Contexto: cuarto productor mundial, con China como líder global</w:t>
            </w:r>
            <w:r>
              <w:rPr>
                <w:noProof/>
              </w:rPr>
              <w:tab/>
            </w:r>
            <w:r>
              <w:rPr>
                <w:noProof/>
              </w:rPr>
              <w:fldChar w:fldCharType="begin"/>
            </w:r>
            <w:r>
              <w:rPr>
                <w:noProof/>
              </w:rPr>
              <w:instrText xml:space="preserve"> PAGEREF _Toc234229599 \h </w:instrText>
            </w:r>
            <w:r>
              <w:rPr>
                <w:noProof/>
              </w:rPr>
            </w:r>
            <w:r>
              <w:rPr>
                <w:noProof/>
              </w:rPr>
              <w:fldChar w:fldCharType="separate"/>
            </w:r>
            <w:r>
              <w:rPr>
                <w:noProof/>
              </w:rPr>
              <w:t>44</w:t>
            </w:r>
            <w:r>
              <w:rPr>
                <w:noProof/>
              </w:rPr>
              <w:fldChar w:fldCharType="end"/>
            </w:r>
          </w:hyperlink>
        </w:p>
        <w:p w14:paraId="129D7924" w14:textId="426A6EBC"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0" w:history="1">
            <w:r w:rsidRPr="00BD7138">
              <w:rPr>
                <w:rStyle w:val="Hipervnculo"/>
                <w:noProof/>
              </w:rPr>
              <w:t>IV.9.2 Monopolio de refinación: Industrias Peñoles refina el 100% del plomo afinado nacional</w:t>
            </w:r>
            <w:r>
              <w:rPr>
                <w:noProof/>
              </w:rPr>
              <w:tab/>
            </w:r>
            <w:r>
              <w:rPr>
                <w:noProof/>
              </w:rPr>
              <w:fldChar w:fldCharType="begin"/>
            </w:r>
            <w:r>
              <w:rPr>
                <w:noProof/>
              </w:rPr>
              <w:instrText xml:space="preserve"> PAGEREF _Toc234229600 \h </w:instrText>
            </w:r>
            <w:r>
              <w:rPr>
                <w:noProof/>
              </w:rPr>
            </w:r>
            <w:r>
              <w:rPr>
                <w:noProof/>
              </w:rPr>
              <w:fldChar w:fldCharType="separate"/>
            </w:r>
            <w:r>
              <w:rPr>
                <w:noProof/>
              </w:rPr>
              <w:t>44</w:t>
            </w:r>
            <w:r>
              <w:rPr>
                <w:noProof/>
              </w:rPr>
              <w:fldChar w:fldCharType="end"/>
            </w:r>
          </w:hyperlink>
        </w:p>
        <w:p w14:paraId="3E3D2575" w14:textId="5AD19A51"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1" w:history="1">
            <w:r w:rsidRPr="00BD7138">
              <w:rPr>
                <w:rStyle w:val="Hipervnculo"/>
                <w:noProof/>
              </w:rPr>
              <w:t>IV.9.3 Extracción: oligopolio entre Peñoles, Grupo México y Minera Frisco</w:t>
            </w:r>
            <w:r>
              <w:rPr>
                <w:noProof/>
              </w:rPr>
              <w:tab/>
            </w:r>
            <w:r>
              <w:rPr>
                <w:noProof/>
              </w:rPr>
              <w:fldChar w:fldCharType="begin"/>
            </w:r>
            <w:r>
              <w:rPr>
                <w:noProof/>
              </w:rPr>
              <w:instrText xml:space="preserve"> PAGEREF _Toc234229601 \h </w:instrText>
            </w:r>
            <w:r>
              <w:rPr>
                <w:noProof/>
              </w:rPr>
            </w:r>
            <w:r>
              <w:rPr>
                <w:noProof/>
              </w:rPr>
              <w:fldChar w:fldCharType="separate"/>
            </w:r>
            <w:r>
              <w:rPr>
                <w:noProof/>
              </w:rPr>
              <w:t>44</w:t>
            </w:r>
            <w:r>
              <w:rPr>
                <w:noProof/>
              </w:rPr>
              <w:fldChar w:fldCharType="end"/>
            </w:r>
          </w:hyperlink>
        </w:p>
        <w:p w14:paraId="4AD2C901" w14:textId="1D898388"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2" w:history="1">
            <w:r w:rsidRPr="00BD7138">
              <w:rPr>
                <w:rStyle w:val="Hipervnculo"/>
                <w:noProof/>
              </w:rPr>
              <w:t>IV.9.4 Destino de la producción: mercado interno de baterías de plomo-ácido</w:t>
            </w:r>
            <w:r>
              <w:rPr>
                <w:noProof/>
              </w:rPr>
              <w:tab/>
            </w:r>
            <w:r>
              <w:rPr>
                <w:noProof/>
              </w:rPr>
              <w:fldChar w:fldCharType="begin"/>
            </w:r>
            <w:r>
              <w:rPr>
                <w:noProof/>
              </w:rPr>
              <w:instrText xml:space="preserve"> PAGEREF _Toc234229602 \h </w:instrText>
            </w:r>
            <w:r>
              <w:rPr>
                <w:noProof/>
              </w:rPr>
            </w:r>
            <w:r>
              <w:rPr>
                <w:noProof/>
              </w:rPr>
              <w:fldChar w:fldCharType="separate"/>
            </w:r>
            <w:r>
              <w:rPr>
                <w:noProof/>
              </w:rPr>
              <w:t>44</w:t>
            </w:r>
            <w:r>
              <w:rPr>
                <w:noProof/>
              </w:rPr>
              <w:fldChar w:fldCharType="end"/>
            </w:r>
          </w:hyperlink>
        </w:p>
        <w:p w14:paraId="1375FA7E" w14:textId="53CB43E9"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3" w:history="1">
            <w:r w:rsidRPr="00BD7138">
              <w:rPr>
                <w:rStyle w:val="Hipervnculo"/>
                <w:noProof/>
              </w:rPr>
              <w:t>IV.9.5 Impacto de la reforma de 2023: efecto derivado del zinc y la plata</w:t>
            </w:r>
            <w:r>
              <w:rPr>
                <w:noProof/>
              </w:rPr>
              <w:tab/>
            </w:r>
            <w:r>
              <w:rPr>
                <w:noProof/>
              </w:rPr>
              <w:fldChar w:fldCharType="begin"/>
            </w:r>
            <w:r>
              <w:rPr>
                <w:noProof/>
              </w:rPr>
              <w:instrText xml:space="preserve"> PAGEREF _Toc234229603 \h </w:instrText>
            </w:r>
            <w:r>
              <w:rPr>
                <w:noProof/>
              </w:rPr>
            </w:r>
            <w:r>
              <w:rPr>
                <w:noProof/>
              </w:rPr>
              <w:fldChar w:fldCharType="separate"/>
            </w:r>
            <w:r>
              <w:rPr>
                <w:noProof/>
              </w:rPr>
              <w:t>45</w:t>
            </w:r>
            <w:r>
              <w:rPr>
                <w:noProof/>
              </w:rPr>
              <w:fldChar w:fldCharType="end"/>
            </w:r>
          </w:hyperlink>
        </w:p>
        <w:p w14:paraId="3017600F" w14:textId="6A6C780B"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604" w:history="1">
            <w:r w:rsidRPr="00BD7138">
              <w:rPr>
                <w:rStyle w:val="Hipervnculo"/>
                <w:noProof/>
              </w:rPr>
              <w:t>IV.10 Sílice (arena sílica)</w:t>
            </w:r>
            <w:r>
              <w:rPr>
                <w:noProof/>
              </w:rPr>
              <w:tab/>
            </w:r>
            <w:r>
              <w:rPr>
                <w:noProof/>
              </w:rPr>
              <w:fldChar w:fldCharType="begin"/>
            </w:r>
            <w:r>
              <w:rPr>
                <w:noProof/>
              </w:rPr>
              <w:instrText xml:space="preserve"> PAGEREF _Toc234229604 \h </w:instrText>
            </w:r>
            <w:r>
              <w:rPr>
                <w:noProof/>
              </w:rPr>
            </w:r>
            <w:r>
              <w:rPr>
                <w:noProof/>
              </w:rPr>
              <w:fldChar w:fldCharType="separate"/>
            </w:r>
            <w:r>
              <w:rPr>
                <w:noProof/>
              </w:rPr>
              <w:t>46</w:t>
            </w:r>
            <w:r>
              <w:rPr>
                <w:noProof/>
              </w:rPr>
              <w:fldChar w:fldCharType="end"/>
            </w:r>
          </w:hyperlink>
        </w:p>
        <w:p w14:paraId="0BCCE057" w14:textId="475A015F"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5" w:history="1">
            <w:r w:rsidRPr="00BD7138">
              <w:rPr>
                <w:rStyle w:val="Hipervnculo"/>
                <w:noProof/>
              </w:rPr>
              <w:t>IV.10.1 Contexto: recurso abundante, aplicaciones industriales y emergentes</w:t>
            </w:r>
            <w:r>
              <w:rPr>
                <w:noProof/>
              </w:rPr>
              <w:tab/>
            </w:r>
            <w:r>
              <w:rPr>
                <w:noProof/>
              </w:rPr>
              <w:fldChar w:fldCharType="begin"/>
            </w:r>
            <w:r>
              <w:rPr>
                <w:noProof/>
              </w:rPr>
              <w:instrText xml:space="preserve"> PAGEREF _Toc234229605 \h </w:instrText>
            </w:r>
            <w:r>
              <w:rPr>
                <w:noProof/>
              </w:rPr>
            </w:r>
            <w:r>
              <w:rPr>
                <w:noProof/>
              </w:rPr>
              <w:fldChar w:fldCharType="separate"/>
            </w:r>
            <w:r>
              <w:rPr>
                <w:noProof/>
              </w:rPr>
              <w:t>46</w:t>
            </w:r>
            <w:r>
              <w:rPr>
                <w:noProof/>
              </w:rPr>
              <w:fldChar w:fldCharType="end"/>
            </w:r>
          </w:hyperlink>
        </w:p>
        <w:p w14:paraId="4DC7289F" w14:textId="3240C27D"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6" w:history="1">
            <w:r w:rsidRPr="00BD7138">
              <w:rPr>
                <w:rStyle w:val="Hipervnculo"/>
                <w:noProof/>
              </w:rPr>
              <w:t>IV.10.2 El mercado más fragmentado del corpus: ausencia de productor dominante</w:t>
            </w:r>
            <w:r>
              <w:rPr>
                <w:noProof/>
              </w:rPr>
              <w:tab/>
            </w:r>
            <w:r>
              <w:rPr>
                <w:noProof/>
              </w:rPr>
              <w:fldChar w:fldCharType="begin"/>
            </w:r>
            <w:r>
              <w:rPr>
                <w:noProof/>
              </w:rPr>
              <w:instrText xml:space="preserve"> PAGEREF _Toc234229606 \h </w:instrText>
            </w:r>
            <w:r>
              <w:rPr>
                <w:noProof/>
              </w:rPr>
            </w:r>
            <w:r>
              <w:rPr>
                <w:noProof/>
              </w:rPr>
              <w:fldChar w:fldCharType="separate"/>
            </w:r>
            <w:r>
              <w:rPr>
                <w:noProof/>
              </w:rPr>
              <w:t>46</w:t>
            </w:r>
            <w:r>
              <w:rPr>
                <w:noProof/>
              </w:rPr>
              <w:fldChar w:fldCharType="end"/>
            </w:r>
          </w:hyperlink>
        </w:p>
        <w:p w14:paraId="6C6E2C62" w14:textId="23C089F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7" w:history="1">
            <w:r w:rsidRPr="00BD7138">
              <w:rPr>
                <w:rStyle w:val="Hipervnculo"/>
                <w:noProof/>
              </w:rPr>
              <w:t>IV.10.3 Destino de la producción: consumo interno mayoritario</w:t>
            </w:r>
            <w:r>
              <w:rPr>
                <w:noProof/>
              </w:rPr>
              <w:tab/>
            </w:r>
            <w:r>
              <w:rPr>
                <w:noProof/>
              </w:rPr>
              <w:fldChar w:fldCharType="begin"/>
            </w:r>
            <w:r>
              <w:rPr>
                <w:noProof/>
              </w:rPr>
              <w:instrText xml:space="preserve"> PAGEREF _Toc234229607 \h </w:instrText>
            </w:r>
            <w:r>
              <w:rPr>
                <w:noProof/>
              </w:rPr>
            </w:r>
            <w:r>
              <w:rPr>
                <w:noProof/>
              </w:rPr>
              <w:fldChar w:fldCharType="separate"/>
            </w:r>
            <w:r>
              <w:rPr>
                <w:noProof/>
              </w:rPr>
              <w:t>46</w:t>
            </w:r>
            <w:r>
              <w:rPr>
                <w:noProof/>
              </w:rPr>
              <w:fldChar w:fldCharType="end"/>
            </w:r>
          </w:hyperlink>
        </w:p>
        <w:p w14:paraId="59A99686" w14:textId="4CF7BF68"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08" w:history="1">
            <w:r w:rsidRPr="00BD7138">
              <w:rPr>
                <w:rStyle w:val="Hipervnculo"/>
                <w:noProof/>
              </w:rPr>
              <w:t>IV.10.4 Impacto de la reforma de 2023: efecto diferenciado en productores pequeños</w:t>
            </w:r>
            <w:r>
              <w:rPr>
                <w:noProof/>
              </w:rPr>
              <w:tab/>
            </w:r>
            <w:r>
              <w:rPr>
                <w:noProof/>
              </w:rPr>
              <w:fldChar w:fldCharType="begin"/>
            </w:r>
            <w:r>
              <w:rPr>
                <w:noProof/>
              </w:rPr>
              <w:instrText xml:space="preserve"> PAGEREF _Toc234229608 \h </w:instrText>
            </w:r>
            <w:r>
              <w:rPr>
                <w:noProof/>
              </w:rPr>
            </w:r>
            <w:r>
              <w:rPr>
                <w:noProof/>
              </w:rPr>
              <w:fldChar w:fldCharType="separate"/>
            </w:r>
            <w:r>
              <w:rPr>
                <w:noProof/>
              </w:rPr>
              <w:t>47</w:t>
            </w:r>
            <w:r>
              <w:rPr>
                <w:noProof/>
              </w:rPr>
              <w:fldChar w:fldCharType="end"/>
            </w:r>
          </w:hyperlink>
        </w:p>
        <w:p w14:paraId="5A00744F" w14:textId="050AA8F9"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609" w:history="1">
            <w:r w:rsidRPr="00BD7138">
              <w:rPr>
                <w:rStyle w:val="Hipervnculo"/>
                <w:noProof/>
              </w:rPr>
              <w:t>IV.11 Zinc</w:t>
            </w:r>
            <w:r>
              <w:rPr>
                <w:noProof/>
              </w:rPr>
              <w:tab/>
            </w:r>
            <w:r>
              <w:rPr>
                <w:noProof/>
              </w:rPr>
              <w:fldChar w:fldCharType="begin"/>
            </w:r>
            <w:r>
              <w:rPr>
                <w:noProof/>
              </w:rPr>
              <w:instrText xml:space="preserve"> PAGEREF _Toc234229609 \h </w:instrText>
            </w:r>
            <w:r>
              <w:rPr>
                <w:noProof/>
              </w:rPr>
            </w:r>
            <w:r>
              <w:rPr>
                <w:noProof/>
              </w:rPr>
              <w:fldChar w:fldCharType="separate"/>
            </w:r>
            <w:r>
              <w:rPr>
                <w:noProof/>
              </w:rPr>
              <w:t>48</w:t>
            </w:r>
            <w:r>
              <w:rPr>
                <w:noProof/>
              </w:rPr>
              <w:fldChar w:fldCharType="end"/>
            </w:r>
          </w:hyperlink>
        </w:p>
        <w:p w14:paraId="5E7AEE89" w14:textId="12003AD9"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10" w:history="1">
            <w:r w:rsidRPr="00BD7138">
              <w:rPr>
                <w:rStyle w:val="Hipervnculo"/>
                <w:noProof/>
              </w:rPr>
              <w:t>IV.11.1 Contexto: sexto productor mundial con producción concentrada en Zacatecas</w:t>
            </w:r>
            <w:r>
              <w:rPr>
                <w:noProof/>
              </w:rPr>
              <w:tab/>
            </w:r>
            <w:r>
              <w:rPr>
                <w:noProof/>
              </w:rPr>
              <w:fldChar w:fldCharType="begin"/>
            </w:r>
            <w:r>
              <w:rPr>
                <w:noProof/>
              </w:rPr>
              <w:instrText xml:space="preserve"> PAGEREF _Toc234229610 \h </w:instrText>
            </w:r>
            <w:r>
              <w:rPr>
                <w:noProof/>
              </w:rPr>
            </w:r>
            <w:r>
              <w:rPr>
                <w:noProof/>
              </w:rPr>
              <w:fldChar w:fldCharType="separate"/>
            </w:r>
            <w:r>
              <w:rPr>
                <w:noProof/>
              </w:rPr>
              <w:t>48</w:t>
            </w:r>
            <w:r>
              <w:rPr>
                <w:noProof/>
              </w:rPr>
              <w:fldChar w:fldCharType="end"/>
            </w:r>
          </w:hyperlink>
        </w:p>
        <w:p w14:paraId="2D1DF6EE" w14:textId="4414C78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11" w:history="1">
            <w:r w:rsidRPr="00BD7138">
              <w:rPr>
                <w:rStyle w:val="Hipervnculo"/>
                <w:noProof/>
              </w:rPr>
              <w:t>IV.11.2 Extracción: liderazgo rotado de Peñoles a Newmont por la absorción de Goldcorp</w:t>
            </w:r>
            <w:r>
              <w:rPr>
                <w:noProof/>
              </w:rPr>
              <w:tab/>
            </w:r>
            <w:r>
              <w:rPr>
                <w:noProof/>
              </w:rPr>
              <w:fldChar w:fldCharType="begin"/>
            </w:r>
            <w:r>
              <w:rPr>
                <w:noProof/>
              </w:rPr>
              <w:instrText xml:space="preserve"> PAGEREF _Toc234229611 \h </w:instrText>
            </w:r>
            <w:r>
              <w:rPr>
                <w:noProof/>
              </w:rPr>
            </w:r>
            <w:r>
              <w:rPr>
                <w:noProof/>
              </w:rPr>
              <w:fldChar w:fldCharType="separate"/>
            </w:r>
            <w:r>
              <w:rPr>
                <w:noProof/>
              </w:rPr>
              <w:t>48</w:t>
            </w:r>
            <w:r>
              <w:rPr>
                <w:noProof/>
              </w:rPr>
              <w:fldChar w:fldCharType="end"/>
            </w:r>
          </w:hyperlink>
        </w:p>
        <w:p w14:paraId="7196D748" w14:textId="213E4B9B"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12" w:history="1">
            <w:r w:rsidRPr="00BD7138">
              <w:rPr>
                <w:rStyle w:val="Hipervnculo"/>
                <w:noProof/>
              </w:rPr>
              <w:t>IV.11.3 Refinación: hegemonía estable de Peñoles desde los años noventa</w:t>
            </w:r>
            <w:r>
              <w:rPr>
                <w:noProof/>
              </w:rPr>
              <w:tab/>
            </w:r>
            <w:r>
              <w:rPr>
                <w:noProof/>
              </w:rPr>
              <w:fldChar w:fldCharType="begin"/>
            </w:r>
            <w:r>
              <w:rPr>
                <w:noProof/>
              </w:rPr>
              <w:instrText xml:space="preserve"> PAGEREF _Toc234229612 \h </w:instrText>
            </w:r>
            <w:r>
              <w:rPr>
                <w:noProof/>
              </w:rPr>
            </w:r>
            <w:r>
              <w:rPr>
                <w:noProof/>
              </w:rPr>
              <w:fldChar w:fldCharType="separate"/>
            </w:r>
            <w:r>
              <w:rPr>
                <w:noProof/>
              </w:rPr>
              <w:t>49</w:t>
            </w:r>
            <w:r>
              <w:rPr>
                <w:noProof/>
              </w:rPr>
              <w:fldChar w:fldCharType="end"/>
            </w:r>
          </w:hyperlink>
        </w:p>
        <w:p w14:paraId="42CDE8A8" w14:textId="5C3A43D3"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13" w:history="1">
            <w:r w:rsidRPr="00BD7138">
              <w:rPr>
                <w:rStyle w:val="Hipervnculo"/>
                <w:noProof/>
              </w:rPr>
              <w:t>IV.11.4 Destino de la producción: zinc sin refinar hacia Asia y Europa; zinc refinado hacia Estados Unidos</w:t>
            </w:r>
            <w:r>
              <w:rPr>
                <w:noProof/>
              </w:rPr>
              <w:tab/>
            </w:r>
            <w:r>
              <w:rPr>
                <w:noProof/>
              </w:rPr>
              <w:fldChar w:fldCharType="begin"/>
            </w:r>
            <w:r>
              <w:rPr>
                <w:noProof/>
              </w:rPr>
              <w:instrText xml:space="preserve"> PAGEREF _Toc234229613 \h </w:instrText>
            </w:r>
            <w:r>
              <w:rPr>
                <w:noProof/>
              </w:rPr>
            </w:r>
            <w:r>
              <w:rPr>
                <w:noProof/>
              </w:rPr>
              <w:fldChar w:fldCharType="separate"/>
            </w:r>
            <w:r>
              <w:rPr>
                <w:noProof/>
              </w:rPr>
              <w:t>49</w:t>
            </w:r>
            <w:r>
              <w:rPr>
                <w:noProof/>
              </w:rPr>
              <w:fldChar w:fldCharType="end"/>
            </w:r>
          </w:hyperlink>
        </w:p>
        <w:p w14:paraId="7063467A" w14:textId="7E91E357"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14" w:history="1">
            <w:r w:rsidRPr="00BD7138">
              <w:rPr>
                <w:rStyle w:val="Hipervnculo"/>
                <w:noProof/>
              </w:rPr>
              <w:t>IV.11.5 Impacto de la reforma de 2023: operaciones existentes protegidas, expansión frenada</w:t>
            </w:r>
            <w:r>
              <w:rPr>
                <w:noProof/>
              </w:rPr>
              <w:tab/>
            </w:r>
            <w:r>
              <w:rPr>
                <w:noProof/>
              </w:rPr>
              <w:fldChar w:fldCharType="begin"/>
            </w:r>
            <w:r>
              <w:rPr>
                <w:noProof/>
              </w:rPr>
              <w:instrText xml:space="preserve"> PAGEREF _Toc234229614 \h </w:instrText>
            </w:r>
            <w:r>
              <w:rPr>
                <w:noProof/>
              </w:rPr>
            </w:r>
            <w:r>
              <w:rPr>
                <w:noProof/>
              </w:rPr>
              <w:fldChar w:fldCharType="separate"/>
            </w:r>
            <w:r>
              <w:rPr>
                <w:noProof/>
              </w:rPr>
              <w:t>49</w:t>
            </w:r>
            <w:r>
              <w:rPr>
                <w:noProof/>
              </w:rPr>
              <w:fldChar w:fldCharType="end"/>
            </w:r>
          </w:hyperlink>
        </w:p>
        <w:p w14:paraId="2B93A12B" w14:textId="3FB53E01"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615" w:history="1">
            <w:r w:rsidRPr="00BD7138">
              <w:rPr>
                <w:rStyle w:val="Hipervnculo"/>
                <w:noProof/>
              </w:rPr>
              <w:t>IV.12 Síntesis comparativa de la estructura empresarial</w:t>
            </w:r>
            <w:r>
              <w:rPr>
                <w:noProof/>
              </w:rPr>
              <w:tab/>
            </w:r>
            <w:r>
              <w:rPr>
                <w:noProof/>
              </w:rPr>
              <w:fldChar w:fldCharType="begin"/>
            </w:r>
            <w:r>
              <w:rPr>
                <w:noProof/>
              </w:rPr>
              <w:instrText xml:space="preserve"> PAGEREF _Toc234229615 \h </w:instrText>
            </w:r>
            <w:r>
              <w:rPr>
                <w:noProof/>
              </w:rPr>
            </w:r>
            <w:r>
              <w:rPr>
                <w:noProof/>
              </w:rPr>
              <w:fldChar w:fldCharType="separate"/>
            </w:r>
            <w:r>
              <w:rPr>
                <w:noProof/>
              </w:rPr>
              <w:t>51</w:t>
            </w:r>
            <w:r>
              <w:rPr>
                <w:noProof/>
              </w:rPr>
              <w:fldChar w:fldCharType="end"/>
            </w:r>
          </w:hyperlink>
        </w:p>
        <w:p w14:paraId="599AC95C" w14:textId="70A5444C" w:rsidR="008D7B04" w:rsidRDefault="008D7B0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4229616" w:history="1">
            <w:r w:rsidRPr="00BD7138">
              <w:rPr>
                <w:rStyle w:val="Hipervnculo"/>
                <w:noProof/>
              </w:rPr>
              <w:t>IV.12.1 Tres patrones de concentración con implicaciones distintas para el modelo de panel</w:t>
            </w:r>
            <w:r>
              <w:rPr>
                <w:noProof/>
              </w:rPr>
              <w:tab/>
            </w:r>
            <w:r>
              <w:rPr>
                <w:noProof/>
              </w:rPr>
              <w:fldChar w:fldCharType="begin"/>
            </w:r>
            <w:r>
              <w:rPr>
                <w:noProof/>
              </w:rPr>
              <w:instrText xml:space="preserve"> PAGEREF _Toc234229616 \h </w:instrText>
            </w:r>
            <w:r>
              <w:rPr>
                <w:noProof/>
              </w:rPr>
            </w:r>
            <w:r>
              <w:rPr>
                <w:noProof/>
              </w:rPr>
              <w:fldChar w:fldCharType="separate"/>
            </w:r>
            <w:r>
              <w:rPr>
                <w:noProof/>
              </w:rPr>
              <w:t>52</w:t>
            </w:r>
            <w:r>
              <w:rPr>
                <w:noProof/>
              </w:rPr>
              <w:fldChar w:fldCharType="end"/>
            </w:r>
          </w:hyperlink>
        </w:p>
        <w:p w14:paraId="222BA6FD" w14:textId="3F0A226A" w:rsidR="008D7B04" w:rsidRDefault="008D7B04">
          <w:pPr>
            <w:pStyle w:val="TDC1"/>
            <w:tabs>
              <w:tab w:val="right" w:leader="dot" w:pos="8630"/>
            </w:tabs>
            <w:rPr>
              <w:rFonts w:asciiTheme="minorHAnsi" w:eastAsiaTheme="minorEastAsia" w:hAnsiTheme="minorHAnsi" w:cstheme="minorBidi"/>
              <w:noProof/>
              <w:kern w:val="2"/>
              <w:sz w:val="24"/>
              <w:szCs w:val="24"/>
              <w14:ligatures w14:val="standardContextual"/>
            </w:rPr>
          </w:pPr>
          <w:hyperlink w:anchor="_Toc234229617" w:history="1">
            <w:r w:rsidRPr="00BD7138">
              <w:rPr>
                <w:rStyle w:val="Hipervnculo"/>
                <w:noProof/>
              </w:rPr>
              <w:t>Referencias bibliográficas</w:t>
            </w:r>
            <w:r>
              <w:rPr>
                <w:noProof/>
              </w:rPr>
              <w:tab/>
            </w:r>
            <w:r>
              <w:rPr>
                <w:noProof/>
              </w:rPr>
              <w:fldChar w:fldCharType="begin"/>
            </w:r>
            <w:r>
              <w:rPr>
                <w:noProof/>
              </w:rPr>
              <w:instrText xml:space="preserve"> PAGEREF _Toc234229617 \h </w:instrText>
            </w:r>
            <w:r>
              <w:rPr>
                <w:noProof/>
              </w:rPr>
            </w:r>
            <w:r>
              <w:rPr>
                <w:noProof/>
              </w:rPr>
              <w:fldChar w:fldCharType="separate"/>
            </w:r>
            <w:r>
              <w:rPr>
                <w:noProof/>
              </w:rPr>
              <w:t>54</w:t>
            </w:r>
            <w:r>
              <w:rPr>
                <w:noProof/>
              </w:rPr>
              <w:fldChar w:fldCharType="end"/>
            </w:r>
          </w:hyperlink>
        </w:p>
        <w:p w14:paraId="40CC3969" w14:textId="7FB20635" w:rsidR="00DB2F71" w:rsidRDefault="00000000">
          <w:r>
            <w:fldChar w:fldCharType="end"/>
          </w:r>
        </w:p>
      </w:sdtContent>
    </w:sdt>
    <w:p w14:paraId="75C356AB" w14:textId="77777777" w:rsidR="00DB2F71" w:rsidRDefault="00000000">
      <w:pPr>
        <w:pStyle w:val="Ttulo1"/>
        <w:pageBreakBefore/>
        <w:pBdr>
          <w:bottom w:val="single" w:sz="8" w:space="4" w:color="1F3B5C"/>
        </w:pBdr>
      </w:pPr>
      <w:bookmarkStart w:id="1" w:name="_Toc234229522"/>
      <w:r>
        <w:lastRenderedPageBreak/>
        <w:t>Capítulo I. Introducción</w:t>
      </w:r>
      <w:bookmarkEnd w:id="1"/>
    </w:p>
    <w:p w14:paraId="61E0E30B" w14:textId="77777777" w:rsidR="00DB2F71" w:rsidRDefault="00000000">
      <w:pPr>
        <w:spacing w:after="180" w:line="360" w:lineRule="auto"/>
        <w:jc w:val="both"/>
      </w:pPr>
      <w:r>
        <w:rPr>
          <w:color w:val="000000"/>
        </w:rPr>
        <w:t>La economía mundial atraviesa una transformación acelerada en sus sistemas energéticos e industriales. La expansión de las energías renovables, la electrificación de la movilidad y la digitalización de los procesos productivos han reconfigurado la demanda de materias primas a escala global, colocando en el centro del debate estratégico a un grupo de recursos que hasta hace poco tiempo eran considerados de interés secundario: los minerales críticos. En ese contexto, México ocupa una posición que, a primera vista, parece privilegiada: es el primer productor mundial de plata, el segundo de fluorita, el sexto de zinc, el décimo de cobre y figura entre los principales productores de manganeso, barita, grafito, plomo, oro y sílice (Micheli Thirion y Cortés Morales, 2026; U.S. Geological Survey, 2025a). Sin embargo, esa posición de liderazgo en la extracción contrasta de forma paradójica con una inserción estructural en las cadenas de valor internacionales que se limita, en la inmensa mayoría de los casos, a la provisión de materia prima o concentrado sin procesar.</w:t>
      </w:r>
    </w:p>
    <w:p w14:paraId="0B72FFD4" w14:textId="77777777" w:rsidR="00DB2F71" w:rsidRDefault="00000000">
      <w:pPr>
        <w:spacing w:after="180" w:line="360" w:lineRule="auto"/>
        <w:ind w:firstLine="720"/>
        <w:jc w:val="both"/>
      </w:pPr>
      <w:r>
        <w:rPr>
          <w:color w:val="000000"/>
        </w:rPr>
        <w:t>Esta paradoja —abundancia de recursos estratégicos combinada con dependencia tecnológica estructural— no es nueva ni accidental. Sus raíces se remontan al diseño del modelo de concesiones mineras implementado entre 1988 y 1994, que abrió el sector a la acumulación privada sin establecer mecanismos de política industrial que condicionaran esa acumulación a la generación de valor agregado nacional (Sariego, 2009). El resultado, tres décadas después, es una industria dominada por un número reducido de grandes consorcios con posiciones de mercado que en varios minerales rozan el monopolio, exportadores sistemáticos de materia prima hacia los mercados de refinación de sus países de destino, y escasamente articulada con el tejido industrial nacional.</w:t>
      </w:r>
    </w:p>
    <w:p w14:paraId="55CD31E5" w14:textId="77777777" w:rsidR="00DB2F71" w:rsidRDefault="00000000">
      <w:pPr>
        <w:spacing w:after="180" w:line="360" w:lineRule="auto"/>
        <w:ind w:firstLine="720"/>
        <w:jc w:val="both"/>
      </w:pPr>
      <w:r>
        <w:rPr>
          <w:color w:val="000000"/>
        </w:rPr>
        <w:t xml:space="preserve">En la coyuntura más reciente, la urgencia del tema se ha intensificado por dos razones convergentes. La primera es geopolítica: la lista oficial del Servicio Geológico de Estados Unidos (USGS) actualizada en 2025 sitúa a México como el proveedor de mayor riesgo individual para la economía estadounidense en plata —una interrupción de las exportaciones mexicanas causaría una pérdida estimada de 435 millones de dólares en el PIB de ese país— y la Unión Europea depende de México para aproximadamente 27% </w:t>
      </w:r>
      <w:r>
        <w:rPr>
          <w:color w:val="000000"/>
        </w:rPr>
        <w:lastRenderedPageBreak/>
        <w:t>de sus importaciones de fluorita, uno de los insumos clave para la fabricación de semiconductores y baterías (U.S. Geological Survey, 2025b; European Commission, 2023). La negociación binacional sobre minerales críticos en el marco de la revisión del T-MEC convierte este tema en materia de política exterior activa. La segunda razón es interna: la reforma a la Ley Minera aprobada en abril de 2023 modificó de forma sustancial el marco regulatorio del sector —transfiriendo al Estado la exclusividad sobre la exploración de nuevas zonas, reduciendo la duración de las concesiones y estableciendo nuevos criterios de licitación— y generó una incertidumbre regulatoria que, hacia mediados de 2026, ha reducido la exploración minera en 11.5% y la inversión extranjera directa en el sector en 56.3% (Minería en Línea, 2026).</w:t>
      </w:r>
    </w:p>
    <w:p w14:paraId="3BFFFBC7" w14:textId="77777777" w:rsidR="00DB2F71" w:rsidRDefault="00000000">
      <w:pPr>
        <w:spacing w:after="180" w:line="360" w:lineRule="auto"/>
        <w:ind w:firstLine="720"/>
        <w:jc w:val="both"/>
      </w:pPr>
      <w:r>
        <w:rPr>
          <w:color w:val="000000"/>
        </w:rPr>
        <w:t>Frente a ese escenario, la presente investigación formula una pregunta precisa: ¿por qué México no ha logrado, entre 1992 y 2025, transitar de ser exportador de minerales críticos en bruto a participar en etapas superiores de la cadena de valor, y en qué medida esto se explica por la estructura de mercado oligopólica de los consorcios dominantes y por el impacto del marco regulatorio vigente sobre los incentivos a la integración vertical? La respuesta a esa pregunta tiene implicaciones tanto académicas —contribuye a llenar una brecha específica en la literatura sobre economía industrial y desarrollo en México— como de política pública, pues permite formular recomendaciones diferenciadas según el tipo de falla identificada.</w:t>
      </w:r>
    </w:p>
    <w:p w14:paraId="666AD61C" w14:textId="77777777" w:rsidR="00DB2F71" w:rsidRDefault="00000000">
      <w:pPr>
        <w:pStyle w:val="Ttulo2"/>
      </w:pPr>
      <w:bookmarkStart w:id="2" w:name="_Toc234229523"/>
      <w:r>
        <w:t>I.1 Estructura de la tesis</w:t>
      </w:r>
      <w:bookmarkEnd w:id="2"/>
    </w:p>
    <w:p w14:paraId="2BA4E1B1" w14:textId="77777777" w:rsidR="00DB2F71" w:rsidRDefault="00000000">
      <w:pPr>
        <w:spacing w:after="180" w:line="360" w:lineRule="auto"/>
        <w:ind w:firstLine="720"/>
        <w:jc w:val="both"/>
      </w:pPr>
      <w:r>
        <w:rPr>
          <w:color w:val="000000"/>
        </w:rPr>
        <w:t xml:space="preserve">La tesis se organiza en ocho capítulos. El Capítulo I (este capítulo) presenta el problema de investigación, las preguntas, los objetivos y las hipótesis. El Capítulo II desarrolla el marco conceptual: define los términos de mineral crítico y materia prima estratégica, justifica la selección del corpus de diez minerales y sitúa la investigación en sus tres tradiciones teóricas (economía del desarrollo, economía industrial y economía institucional). El Capítulo III contextualiza históricamente el sistema minero mexicano desde la reforma estructural de 1988-1994 hasta la coyuntura de 2023-2025. El Capítulo IV documenta la estructura empresarial de cada uno de los diez minerales seleccionados: quiénes dominan la extracción y la refinación, con qué porcentaje de mercado, desde cuándo y con qué hitos corporativos en el periodo 1993-2025. El Capítulo V presenta el diagnóstico cuantitativo de encadenamientos productivos (análisis insumo-producto). El </w:t>
      </w:r>
      <w:r>
        <w:rPr>
          <w:color w:val="000000"/>
        </w:rPr>
        <w:lastRenderedPageBreak/>
        <w:t>Capítulo VI contiene el modelo de panel central (HHI → Ghosh / CCV). El Capítulo VII evalúa el impacto de la reforma de 2023. El Capítulo VIII integra los hallazgos y deriva conclusiones y recomendaciones de política.</w:t>
      </w:r>
    </w:p>
    <w:p w14:paraId="6F72FDE4" w14:textId="77777777" w:rsidR="00DB2F71" w:rsidRDefault="00000000">
      <w:pPr>
        <w:pStyle w:val="Ttulo2"/>
      </w:pPr>
      <w:bookmarkStart w:id="3" w:name="_Toc234229524"/>
      <w:r>
        <w:t>I.2 Preguntas, objetivos e hipótesis</w:t>
      </w:r>
      <w:bookmarkEnd w:id="3"/>
    </w:p>
    <w:p w14:paraId="298315AE" w14:textId="77777777" w:rsidR="00DB2F71" w:rsidRDefault="00000000">
      <w:pPr>
        <w:pStyle w:val="Ttulo3"/>
      </w:pPr>
      <w:bookmarkStart w:id="4" w:name="_Toc234229525"/>
      <w:r>
        <w:t>Pregunta central</w:t>
      </w:r>
      <w:bookmarkEnd w:id="4"/>
    </w:p>
    <w:p w14:paraId="24E385CF" w14:textId="77777777" w:rsidR="00DB2F71" w:rsidRDefault="00000000">
      <w:pPr>
        <w:pBdr>
          <w:left w:val="single" w:sz="18" w:space="4" w:color="1F3B5C"/>
        </w:pBdr>
        <w:spacing w:before="160" w:after="160" w:line="320" w:lineRule="auto"/>
        <w:ind w:left="900" w:right="900"/>
        <w:jc w:val="both"/>
      </w:pPr>
      <w:r>
        <w:rPr>
          <w:i/>
          <w:iCs/>
          <w:color w:val="000000"/>
        </w:rPr>
        <w:t>¿Por qué México no ha logrado, entre 1992 y 2025, transitar de ser exportador de minerales críticos en bruto a participar en etapas superiores de la cadena de valor, y en qué medida esto se explica por la estructura de mercado oligopólica de los consorcios dominantes —medida por el Índice de Herfindahl-Hirschman— y por el impacto diferencial del marco regulatorio vigente sobre los incentivos a la integración vertical?</w:t>
      </w:r>
    </w:p>
    <w:p w14:paraId="4791289F" w14:textId="77777777" w:rsidR="00DB2F71" w:rsidRDefault="00000000">
      <w:pPr>
        <w:pStyle w:val="Ttulo3"/>
      </w:pPr>
      <w:bookmarkStart w:id="5" w:name="_Toc234229526"/>
      <w:r>
        <w:t>Preguntas subsidiarias</w:t>
      </w:r>
      <w:bookmarkEnd w:id="5"/>
    </w:p>
    <w:p w14:paraId="26D02E1C" w14:textId="77777777" w:rsidR="00DB2F71" w:rsidRDefault="00000000">
      <w:pPr>
        <w:pStyle w:val="Prrafodelista"/>
        <w:numPr>
          <w:ilvl w:val="0"/>
          <w:numId w:val="2"/>
        </w:numPr>
        <w:spacing w:line="300" w:lineRule="auto"/>
      </w:pPr>
      <w:r>
        <w:rPr>
          <w:color w:val="000000"/>
        </w:rPr>
        <w:t>¿Cuál es el grado de encadenamiento productivo hacia adelante (Ghosh) y hacia atrás (Leontief) de cada uno de los diez minerales críticos seleccionados en la economía mexicana, cómo ha evolucionado entre 1992 y 2025, y qué tan bajo resulta en comparación con países exportadores de referencia como Chile y Australia?</w:t>
      </w:r>
    </w:p>
    <w:p w14:paraId="1B85B38D" w14:textId="77777777" w:rsidR="00DB2F71" w:rsidRDefault="00000000">
      <w:pPr>
        <w:pStyle w:val="Prrafodelista"/>
        <w:numPr>
          <w:ilvl w:val="0"/>
          <w:numId w:val="2"/>
        </w:numPr>
        <w:spacing w:line="300" w:lineRule="auto"/>
      </w:pPr>
      <w:r>
        <w:rPr>
          <w:color w:val="000000"/>
        </w:rPr>
        <w:t>¿Existe una relación estadísticamente significativa entre el HHI de cada mineral y el coeficiente de encadenamiento hacia adelante de Ghosh en el panel de diez minerales para el periodo 1993-2025? ¿Se mantiene cuando se usa el coeficiente de captura de valor como variable dependiente alternativa?</w:t>
      </w:r>
    </w:p>
    <w:p w14:paraId="7345F7B8" w14:textId="77777777" w:rsidR="00DB2F71" w:rsidRDefault="00000000">
      <w:pPr>
        <w:pStyle w:val="Prrafodelista"/>
        <w:numPr>
          <w:ilvl w:val="0"/>
          <w:numId w:val="2"/>
        </w:numPr>
        <w:spacing w:line="300" w:lineRule="auto"/>
      </w:pPr>
      <w:r>
        <w:rPr>
          <w:color w:val="000000"/>
        </w:rPr>
        <w:t>¿De qué manera la reforma a la Ley Minera de 2023 ha modificado los flujos de inversión en exploración y procesamiento, y ha afectado de forma diferencial a los grandes consorcios establecidos frente a las empresas entrantes y los nuevos proyectos de integración vertical?</w:t>
      </w:r>
    </w:p>
    <w:p w14:paraId="5E3D4354" w14:textId="77777777" w:rsidR="00DB2F71" w:rsidRDefault="00000000">
      <w:pPr>
        <w:pStyle w:val="Ttulo3"/>
      </w:pPr>
      <w:bookmarkStart w:id="6" w:name="_Toc234229527"/>
      <w:r>
        <w:t>Hipótesis general</w:t>
      </w:r>
      <w:bookmarkEnd w:id="6"/>
    </w:p>
    <w:p w14:paraId="6F4CE686" w14:textId="77777777" w:rsidR="00DB2F71" w:rsidRDefault="00000000">
      <w:pPr>
        <w:spacing w:after="180" w:line="360" w:lineRule="auto"/>
        <w:ind w:firstLine="720"/>
        <w:jc w:val="both"/>
      </w:pPr>
      <w:r>
        <w:rPr>
          <w:color w:val="000000"/>
        </w:rPr>
        <w:t xml:space="preserve">La persistente ausencia de encadenamiento productivo en la minería mexicana de minerales críticos obedece a una combinación de falla de mercado y falla institucional que se refuerzan mutuamente: la estructura oligopólica consolidada desde las privatizaciones de 1992 genera rentas suficientes para que los consorcios dominantes no requieran integración vertical local —lo que se refleja en coeficientes de Ghosh y </w:t>
      </w:r>
      <w:r>
        <w:rPr>
          <w:color w:val="000000"/>
        </w:rPr>
        <w:lastRenderedPageBreak/>
        <w:t>coeficientes de captura de valor significativamente más bajos en los minerales de mayor concentración de mercado—, mientras que el marco regulatorio no ha generado los mecanismos de política industrial que en otros países exportadores han facilitado la transición hacia etapas superiores de la cadena de valor mineral.</w:t>
      </w:r>
    </w:p>
    <w:p w14:paraId="743489EE" w14:textId="77777777" w:rsidR="00DB2F71" w:rsidRDefault="00000000">
      <w:pPr>
        <w:pStyle w:val="Ttulo1"/>
        <w:pageBreakBefore/>
        <w:pBdr>
          <w:bottom w:val="single" w:sz="8" w:space="4" w:color="1F3B5C"/>
        </w:pBdr>
      </w:pPr>
      <w:bookmarkStart w:id="7" w:name="_Toc234229528"/>
      <w:r>
        <w:lastRenderedPageBreak/>
        <w:t>Capítulo II. Marco conceptual y teórico</w:t>
      </w:r>
      <w:bookmarkEnd w:id="7"/>
    </w:p>
    <w:p w14:paraId="1E9C54FE" w14:textId="77777777" w:rsidR="00DB2F71" w:rsidRDefault="00000000">
      <w:pPr>
        <w:spacing w:after="180" w:line="360" w:lineRule="auto"/>
        <w:jc w:val="both"/>
      </w:pPr>
      <w:r>
        <w:rPr>
          <w:color w:val="000000"/>
        </w:rPr>
        <w:t>Este capítulo cumple tres funciones. Primero, define con precisión los conceptos centrales de la investigación —mineral crítico, materia prima estratégica y coeficiente de captura de valor— y establece las distinciones y relaciones entre ellos. Segundo, justifica la selección del corpus de diez minerales a partir de criterios metodológicos explícitos, documentados en la literatura oficial y académica. Tercero, sitúa la investigación en sus tres tradiciones teóricas: la economía del desarrollo en su vertiente estructuralista latinoamericana, la economía industrial en su paradigma Estructura-Conducta-Desempeño, y la economía institucional.</w:t>
      </w:r>
    </w:p>
    <w:p w14:paraId="6E754C8B" w14:textId="77777777" w:rsidR="00DB2F71" w:rsidRDefault="00000000">
      <w:pPr>
        <w:pStyle w:val="Ttulo2"/>
      </w:pPr>
      <w:bookmarkStart w:id="8" w:name="_Toc234229529"/>
      <w:r>
        <w:t>II.1 Definición de mineral crítico y términos relacionados</w:t>
      </w:r>
      <w:bookmarkEnd w:id="8"/>
    </w:p>
    <w:p w14:paraId="25065A26" w14:textId="77777777" w:rsidR="00DB2F71" w:rsidRDefault="00000000">
      <w:pPr>
        <w:pStyle w:val="Ttulo3"/>
      </w:pPr>
      <w:bookmarkStart w:id="9" w:name="_Toc234229530"/>
      <w:r>
        <w:t>II.1.1 El concepto de mineral crítico</w:t>
      </w:r>
      <w:bookmarkEnd w:id="9"/>
    </w:p>
    <w:p w14:paraId="7FBD1BC6" w14:textId="77777777" w:rsidR="00DB2F71" w:rsidRDefault="00000000">
      <w:pPr>
        <w:spacing w:after="180" w:line="360" w:lineRule="auto"/>
        <w:ind w:firstLine="720"/>
        <w:jc w:val="both"/>
      </w:pPr>
      <w:r>
        <w:rPr>
          <w:color w:val="000000"/>
        </w:rPr>
        <w:t>El término mineral crítico —o en inglés critical mineral— no tiene una definición universal fija: su contenido varía según el país, la institución y el momento histórico que lo acuña. El Foro Intergubernamental sobre Minería, Minerales, Metales y Desarrollo Sostenible (IGF) lo define en términos de dos dimensiones que deben concurrir simultáneamente: la importancia económica del mineral para uno o más sectores clave de la economía, y el riesgo de interrupción de su suministro derivado de factores geológicos, geopolíticos, tecnológicos o comerciales (Hendriwardani y Ramdoo, 2022). La tensión entre esas dos dimensiones es la que hace a un mineral «crítico»: no basta con que sea económicamente importante si su suministro es abundante y diversificado; tampoco basta con que sea escaso si su uso económico es marginal.</w:t>
      </w:r>
    </w:p>
    <w:p w14:paraId="14DF6F12" w14:textId="77777777" w:rsidR="00DB2F71" w:rsidRDefault="00000000">
      <w:pPr>
        <w:spacing w:after="180" w:line="360" w:lineRule="auto"/>
        <w:ind w:firstLine="720"/>
        <w:jc w:val="both"/>
      </w:pPr>
      <w:r>
        <w:rPr>
          <w:color w:val="000000"/>
        </w:rPr>
        <w:t>El mismo IGF advierte explícitamente que la criticidad depende mucho del contexto y el país, sobre todo respecto de la dotación de minerales, la importancia relativa de los minerales para el desarrollo industrial y económico, y la evaluación estratégica de los riesgos del suministro (Hendriwardani y Ramdoo, 2022, p. 3). Esta advertencia es metodológicamente relevante para la presente investigación, porque implica que la lista de minerales críticos pertinente para México no es necesariamente idéntica a la que elaboran la Unión Europea o Estados Unidos desde la perspectiva de países importadores netos.</w:t>
      </w:r>
    </w:p>
    <w:p w14:paraId="5AB4CDFE" w14:textId="77777777" w:rsidR="00DB2F71" w:rsidRDefault="00000000">
      <w:pPr>
        <w:pStyle w:val="Ttulo3"/>
      </w:pPr>
      <w:bookmarkStart w:id="10" w:name="_Toc234229531"/>
      <w:r>
        <w:lastRenderedPageBreak/>
        <w:t>II.1.2 Materias primas estratégicas y minerales estratégicos</w:t>
      </w:r>
      <w:bookmarkEnd w:id="10"/>
    </w:p>
    <w:p w14:paraId="654F7BE9" w14:textId="77777777" w:rsidR="00DB2F71" w:rsidRDefault="00000000">
      <w:pPr>
        <w:spacing w:after="180" w:line="360" w:lineRule="auto"/>
        <w:ind w:firstLine="720"/>
        <w:jc w:val="both"/>
      </w:pPr>
      <w:r>
        <w:rPr>
          <w:color w:val="000000"/>
        </w:rPr>
        <w:t>Los términos materia prima estratégica y mineral estratégico son frecuentes en la literatura de política industrial y en los documentos de política exterior, y se superponen parcialmente con el de mineral crítico, aunque no son sinónimos. En el uso de la Comisión Europea, la noción de materia prima estratégica (strategic raw material) se reserva para aquellos materiales que son simultáneamente críticos —en el sentido de alto riesgo de suministro y alta importancia económica— y relevantes para las cadenas de valor de las tecnologías de transición energética y digitalización, como el grafito, el cobalto o el litio (European Commission, 2023). En el marco de la política exterior estadounidense, el término mineral estratégico ha tendido a usarse históricamente en un sentido más amplio, asociado a la seguridad nacional y la defensa, y fue reactivado por la orden ejecutiva del 20 de marzo de 2025 que declaró al oro, el cobre y el uranio como minerales críticos para efectos de seguridad nacional (The White House, 2025).</w:t>
      </w:r>
    </w:p>
    <w:p w14:paraId="35519667" w14:textId="77777777" w:rsidR="00DB2F71" w:rsidRDefault="00000000">
      <w:pPr>
        <w:spacing w:after="180" w:line="360" w:lineRule="auto"/>
        <w:ind w:firstLine="720"/>
        <w:jc w:val="both"/>
      </w:pPr>
      <w:r>
        <w:rPr>
          <w:color w:val="000000"/>
        </w:rPr>
        <w:t>Para los efectos de esta investigación, los tres términos se usan de la siguiente manera. El término mineral crítico es el genérico y el más amplio, y se aplica a cualquier mineral que, en el contexto de un país o región específica, satisfaga las dos dimensiones del IGF: importancia económica y riesgo de suministro. El término materia prima estratégica se usa de forma intercambiable con mineral crítico cuando se quiere enfatizar la dimensión de política industrial o de política exterior, particularmente en el contexto de la negociación binacional México-Estados Unidos. El término mineral estratégico se reserva para el contexto específico de la política de seguridad nacional, siguiendo el uso de los documentos oficiales. En todos los casos, la unidad de análisis es el mineral o grupo de minerales producidos en México, y la perspectiva es la de un país productor —no importador— que evalúa su posición en las cadenas de valor globales.</w:t>
      </w:r>
    </w:p>
    <w:p w14:paraId="1603B175" w14:textId="77777777" w:rsidR="00DB2F71" w:rsidRDefault="00000000">
      <w:pPr>
        <w:pStyle w:val="Ttulo3"/>
      </w:pPr>
      <w:bookmarkStart w:id="11" w:name="_Toc234229532"/>
      <w:r>
        <w:t>II.1.3 La distinción entre criticidad desde el país importador y desde el país productor</w:t>
      </w:r>
      <w:bookmarkEnd w:id="11"/>
    </w:p>
    <w:p w14:paraId="26BB8649" w14:textId="77777777" w:rsidR="00DB2F71" w:rsidRDefault="00000000">
      <w:pPr>
        <w:spacing w:after="180" w:line="360" w:lineRule="auto"/>
        <w:ind w:firstLine="720"/>
        <w:jc w:val="both"/>
      </w:pPr>
      <w:r>
        <w:rPr>
          <w:color w:val="000000"/>
        </w:rPr>
        <w:t xml:space="preserve">La literatura distingue dos perspectivas para determinar la criticidad de un mineral. La perspectiva de seguridad y control del suministro es la que adoptan los países importadores netos como la Unión Europea, Estados Unidos o Japón: para ellos, un mineral es crítico si es escaso en su territorio, si su producción mundial está concentrada en pocos países o empresas, y si su interrupción generaría pérdidas económicas </w:t>
      </w:r>
      <w:r>
        <w:rPr>
          <w:color w:val="000000"/>
        </w:rPr>
        <w:lastRenderedPageBreak/>
        <w:t>significativas. Es la perspectiva que subyace a las listas del USGS y la Comisión Europea. La perspectiva de captura de valor es la que adoptan los países con posición dominante en la oferta, como Canadá, Australia o Chile: para ellos, un mineral es crítico no porque escasee, sino porque su abundancia puede convertirse en ventaja competitiva en la cadena de suministro mundial, y el desafío es transitar de exportadores de materia prima a participantes en etapas superiores de valor (Hendriwardani y Ramdoo, 2022).</w:t>
      </w:r>
    </w:p>
    <w:p w14:paraId="031B5B84" w14:textId="77777777" w:rsidR="00DB2F71" w:rsidRDefault="00000000">
      <w:pPr>
        <w:spacing w:after="180" w:line="360" w:lineRule="auto"/>
        <w:ind w:firstLine="720"/>
        <w:jc w:val="both"/>
      </w:pPr>
      <w:r>
        <w:rPr>
          <w:color w:val="000000"/>
        </w:rPr>
        <w:t>México encaja estructuralmente con la segunda perspectiva. Como lo señalaron en febrero de 2026 la directora del Servicio Geológico Mexicano, Flor de María Harp, y el secretario de Economía, Marcelo Ebrard, la condición de crítico varía de nación en nación: México sí cuenta, a diferencia de otras economías, con reservas, capacidad de extracción y cadenas de valor —en distintos grados de desarrollo— para los diez minerales analizados en esta investigación. Esta distinción no es meramente semántica: tiene implicaciones directas para el tipo de política pública que resulta apropiada, pues los instrumentos relevantes para un importador neto (acuerdos de acceso, reservas estratégicas, diversificación de proveedores) son distintos de los relevantes para un exportador productor (política industrial de encadenamiento hacia adelante, incentivos a la integración vertical, condicionamiento de las concesiones).</w:t>
      </w:r>
    </w:p>
    <w:p w14:paraId="4B9284E2" w14:textId="77777777" w:rsidR="00DB2F71" w:rsidRDefault="00000000">
      <w:pPr>
        <w:pStyle w:val="Ttulo2"/>
      </w:pPr>
      <w:bookmarkStart w:id="12" w:name="_Toc234229533"/>
      <w:r>
        <w:t>II.2 Justificación del corpus de diez minerales</w:t>
      </w:r>
      <w:bookmarkEnd w:id="12"/>
    </w:p>
    <w:p w14:paraId="4F00B934" w14:textId="77777777" w:rsidR="00DB2F71" w:rsidRDefault="00000000">
      <w:pPr>
        <w:spacing w:after="180" w:line="360" w:lineRule="auto"/>
        <w:ind w:firstLine="720"/>
        <w:jc w:val="both"/>
      </w:pPr>
      <w:r>
        <w:rPr>
          <w:color w:val="000000"/>
        </w:rPr>
        <w:t>La investigación analiza los siguientes diez minerales: barita, cobre, fluorita, grafito, manganeso, oro, plata, plomo, sílice y zinc. La selección no es arbitraria: resulta de la confluencia de tres criterios que se aplican de forma simultánea.</w:t>
      </w:r>
    </w:p>
    <w:p w14:paraId="69CDEE55" w14:textId="77777777" w:rsidR="00DB2F71" w:rsidRDefault="00000000">
      <w:pPr>
        <w:pStyle w:val="Ttulo3"/>
      </w:pPr>
      <w:bookmarkStart w:id="13" w:name="_Toc234229534"/>
      <w:r>
        <w:t>II.2.1 Criterio 1: presencia en las listas oficiales de criticidad</w:t>
      </w:r>
      <w:bookmarkEnd w:id="13"/>
    </w:p>
    <w:p w14:paraId="1C3D290B" w14:textId="77777777" w:rsidR="00DB2F71" w:rsidRDefault="00000000">
      <w:pPr>
        <w:spacing w:after="180" w:line="360" w:lineRule="auto"/>
        <w:ind w:firstLine="720"/>
        <w:jc w:val="both"/>
      </w:pPr>
      <w:r>
        <w:rPr>
          <w:color w:val="000000"/>
        </w:rPr>
        <w:t xml:space="preserve">El primer criterio es que el mineral figure en al menos una de las dos listas de criticidad de mayor influencia geopolítica para México: la lista del USGS (2025a) o la de la Comisión Europea (European Commission, 2023). Micheli Thirion y Cortés Morales (2026) documentan que, del cruce de ambas listas con los minerales que efectivamente produce México, resultan los mismos diez minerales analizados en esta investigación, con variaciones en qué lista incluye a cada uno: ocho de los diez figuran en la lista estadounidense, seis en la europea, y varios en ambas. El manganeso, la plata, el plomo, </w:t>
      </w:r>
      <w:r>
        <w:rPr>
          <w:color w:val="000000"/>
        </w:rPr>
        <w:lastRenderedPageBreak/>
        <w:t>el zinc y el oro son reconocidos únicamente por la lista estadounidense; la fluorita, la barita, el grafito, el cobre y la sílice aparecen también en la lista europea.</w:t>
      </w:r>
    </w:p>
    <w:p w14:paraId="715C4FA1" w14:textId="77777777" w:rsidR="00DB2F71" w:rsidRDefault="00000000">
      <w:pPr>
        <w:spacing w:after="180" w:line="360" w:lineRule="auto"/>
        <w:ind w:firstLine="720"/>
        <w:jc w:val="both"/>
      </w:pPr>
      <w:r>
        <w:rPr>
          <w:color w:val="000000"/>
        </w:rPr>
        <w:t>El caso del oro merece una mención específica: fue declarado mineral crítico para efectos de seguridad nacional por una orden ejecutiva presidencial del 20 de marzo de 2025 (The White House, 2025), un giro histórico respecto de su tratamiento tradicional como reserva de valor más que como insumo industrial crítico, motivado por su creciente uso en dispositivos digitales y electrónica de precisión (Micheli Thirion y Cortés Morales, 2026, p. 3).</w:t>
      </w:r>
    </w:p>
    <w:p w14:paraId="7D67BC03" w14:textId="77777777" w:rsidR="00DB2F71" w:rsidRDefault="00000000">
      <w:pPr>
        <w:pStyle w:val="Ttulo3"/>
      </w:pPr>
      <w:bookmarkStart w:id="14" w:name="_Toc234229535"/>
      <w:r>
        <w:t>II.2.2 Criterio 2: producción comercial documentada en México</w:t>
      </w:r>
      <w:bookmarkEnd w:id="14"/>
    </w:p>
    <w:p w14:paraId="0FA4A7EB" w14:textId="77777777" w:rsidR="00DB2F71" w:rsidRDefault="00000000">
      <w:pPr>
        <w:spacing w:after="180" w:line="360" w:lineRule="auto"/>
        <w:ind w:firstLine="720"/>
        <w:jc w:val="both"/>
      </w:pPr>
      <w:r>
        <w:rPr>
          <w:color w:val="000000"/>
        </w:rPr>
        <w:t>El segundo criterio es que México tenga producción comercial relevante del mineral, con estructura empresarial identificable y datos de concentración de mercado verificables para el periodo 1993-2025. Este criterio excluye minerales que, aunque presentes en las listas internacionales, no tienen producción comercial en México al cierre de esta investigación: el litio, el cobalto, el níquel y las tierras raras no cumplen este requisito. Según información del propio Servicio Geológico Mexicano, en febrero de 2026, México depende del 100% de las importaciones para catorce minerales, entre ellos litio, cobalto, titanio y cromo. Estudiar la conformación histórica de mercados de minerales que México no produce no tendría el mismo sentido empírico que el ejercicio de concentración empresarial que es el objeto central de esta tesis.</w:t>
      </w:r>
    </w:p>
    <w:p w14:paraId="3ACA9A58" w14:textId="77777777" w:rsidR="00DB2F71" w:rsidRDefault="00000000">
      <w:pPr>
        <w:pStyle w:val="Ttulo3"/>
      </w:pPr>
      <w:bookmarkStart w:id="15" w:name="_Toc234229536"/>
      <w:r>
        <w:t>II.2.3 Criterio 3: variación en la estructura de mercado</w:t>
      </w:r>
      <w:bookmarkEnd w:id="15"/>
    </w:p>
    <w:p w14:paraId="098FEFBF" w14:textId="77777777" w:rsidR="00DB2F71" w:rsidRDefault="00000000">
      <w:pPr>
        <w:spacing w:after="180" w:line="360" w:lineRule="auto"/>
        <w:ind w:firstLine="720"/>
        <w:jc w:val="both"/>
      </w:pPr>
      <w:commentRangeStart w:id="16"/>
      <w:r>
        <w:rPr>
          <w:color w:val="000000"/>
        </w:rPr>
        <w:t>El tercer criterio es metodológico: el corpus debe incluir minerales con estructuras de mercado suficientemente heterogéneas como para que el modelo de panel tenga variación en la variable independiente clave (el HHI). Los diez minerales seleccionados satisfacen este criterio de forma excepcional: el HHI oscila desde 10,000 en manganeso —monopolio absoluto de Compañía Minera Autlán desde 1993— hasta valores por debajo de 1,500 en sílice, pasando por todos los grados intermedios. Esta variación convierte al corpus en un cuasi-experimento natural para estudiar la relación entre concentración de mercado y encadenamiento productivo, porque permite aislar el efecto del HHI controlando por otras características del mineral y del año.</w:t>
      </w:r>
      <w:commentRangeEnd w:id="16"/>
      <w:r w:rsidR="008D7B04">
        <w:rPr>
          <w:rStyle w:val="Refdecomentario"/>
          <w:sz w:val="22"/>
          <w:szCs w:val="22"/>
        </w:rPr>
        <w:commentReference w:id="16"/>
      </w:r>
    </w:p>
    <w:p w14:paraId="71ED3AB1" w14:textId="77777777" w:rsidR="00DB2F71" w:rsidRDefault="00000000">
      <w:pPr>
        <w:pStyle w:val="Ttulo3"/>
      </w:pPr>
      <w:bookmarkStart w:id="17" w:name="_Toc234229537"/>
      <w:r>
        <w:t>II.2.4 El papel de la sílice como caso de contraste metodológico</w:t>
      </w:r>
      <w:bookmarkEnd w:id="17"/>
    </w:p>
    <w:p w14:paraId="34F17D01" w14:textId="560E50CF" w:rsidR="00DB2F71" w:rsidRDefault="005113D4">
      <w:pPr>
        <w:spacing w:after="180" w:line="360" w:lineRule="auto"/>
        <w:ind w:firstLine="720"/>
        <w:jc w:val="both"/>
      </w:pPr>
      <w:r w:rsidRPr="005113D4">
        <w:rPr>
          <w:color w:val="000000"/>
        </w:rPr>
        <w:lastRenderedPageBreak/>
        <w:t>El corpus incorpora deliberadamente un caso de contraste en el extremo no concentrado del espectro: el grafito. A diferencia del resto de los minerales analizados, el grafito combina un monopolio geográfico —la totalidad de la producción nacional se localiza en Sonora— con un mercado empresarial atomizado, sin que las fuentes oficiales (Servicio Geológico Mexicano, Secretaría de Economía) ni los Informes Anuales de la Cámara Minera de México identifiquen un productor o grupo de productores dominante; de hecho, la CAMIMEX no desagrega la producción de grafito por empresa en ninguna de sus ediciones, a diferencia de lo que ocurre con la barita, la fluorita o la sílice. Su inclusión permite dimensionar, por comparación, cuán atípica es la concentración observada en el resto del corpus, y verificar si la relación HHI → Ghosh se sostiene en el extremo no concentrado del espectro. La sílice, considerada inicialmente como candidata a este papel por la percepción de un mercado fragmentado, resultó —al examinar los datos de producción por empresa— un mercado concentrado dominado por Grupo Materias Primas (subsidiaria de Covia Corporation), por lo que se reclasifica y se documenta en la sección IV.10.</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2400"/>
        <w:gridCol w:w="3360"/>
      </w:tblGrid>
      <w:tr w:rsidR="00DB2F71" w14:paraId="25DFAE0D" w14:textId="77777777">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2F556E00" w14:textId="77777777" w:rsidR="00DB2F71" w:rsidRDefault="00000000">
            <w:r>
              <w:rPr>
                <w:b/>
                <w:bCs/>
                <w:color w:val="FFFFFF"/>
                <w:sz w:val="19"/>
                <w:szCs w:val="19"/>
              </w:rPr>
              <w:t>Mineral</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B69B948" w14:textId="77777777" w:rsidR="00DB2F71" w:rsidRDefault="00000000">
            <w:r>
              <w:rPr>
                <w:b/>
                <w:bCs/>
                <w:color w:val="FFFFFF"/>
                <w:sz w:val="19"/>
                <w:szCs w:val="19"/>
              </w:rPr>
              <w:t>Lista USGS 2025</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21F603B5" w14:textId="77777777" w:rsidR="00DB2F71" w:rsidRDefault="00000000">
            <w:r>
              <w:rPr>
                <w:b/>
                <w:bCs/>
                <w:color w:val="FFFFFF"/>
                <w:sz w:val="19"/>
                <w:szCs w:val="19"/>
              </w:rPr>
              <w:t>Lista UE 2023</w:t>
            </w:r>
          </w:p>
        </w:tc>
        <w:tc>
          <w:tcPr>
            <w:tcW w:w="2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5F8F6AA" w14:textId="77777777" w:rsidR="00DB2F71" w:rsidRDefault="00000000">
            <w:r>
              <w:rPr>
                <w:b/>
                <w:bCs/>
                <w:color w:val="FFFFFF"/>
                <w:sz w:val="19"/>
                <w:szCs w:val="19"/>
              </w:rPr>
              <w:t>HHI estimado (aprox.)</w:t>
            </w:r>
          </w:p>
        </w:tc>
        <w:tc>
          <w:tcPr>
            <w:tcW w:w="33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6B1BD5A3" w14:textId="77777777" w:rsidR="00DB2F71" w:rsidRDefault="00000000">
            <w:r>
              <w:rPr>
                <w:b/>
                <w:bCs/>
                <w:color w:val="FFFFFF"/>
                <w:sz w:val="19"/>
                <w:szCs w:val="19"/>
              </w:rPr>
              <w:t>Tipo de estructura</w:t>
            </w:r>
          </w:p>
        </w:tc>
      </w:tr>
      <w:tr w:rsidR="00DB2F71" w14:paraId="4D5E20F3"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124E87D" w14:textId="77777777" w:rsidR="00DB2F71" w:rsidRDefault="00000000">
            <w:pPr>
              <w:spacing w:line="252" w:lineRule="auto"/>
            </w:pPr>
            <w:r>
              <w:rPr>
                <w:sz w:val="19"/>
                <w:szCs w:val="19"/>
              </w:rPr>
              <w:t>Barita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4FF7CCF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07FEDFC"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6D9C1D9" w14:textId="77777777" w:rsidR="00DB2F71" w:rsidRDefault="00000000">
            <w:pPr>
              <w:spacing w:line="252" w:lineRule="auto"/>
            </w:pPr>
            <w:r>
              <w:rPr>
                <w:sz w:val="19"/>
                <w:szCs w:val="19"/>
              </w:rPr>
              <w:t>&lt; 3,000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AEE91DA" w14:textId="77777777" w:rsidR="00DB2F71" w:rsidRDefault="00000000">
            <w:pPr>
              <w:spacing w:line="252" w:lineRule="auto"/>
            </w:pPr>
            <w:r>
              <w:rPr>
                <w:sz w:val="19"/>
                <w:szCs w:val="19"/>
              </w:rPr>
              <w:t>Oligopolio (4 empresas)</w:t>
            </w:r>
          </w:p>
        </w:tc>
      </w:tr>
      <w:tr w:rsidR="00DB2F71" w14:paraId="4EDF17E8"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F22F26E" w14:textId="77777777" w:rsidR="00DB2F71" w:rsidRDefault="00000000">
            <w:pPr>
              <w:spacing w:line="252" w:lineRule="auto"/>
            </w:pPr>
            <w:r>
              <w:rPr>
                <w:sz w:val="19"/>
                <w:szCs w:val="19"/>
              </w:rPr>
              <w:t>Cobre</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ABB2BDE"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98ECF8C"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6BCF6EA" w14:textId="77777777" w:rsidR="00DB2F71" w:rsidRDefault="00000000">
            <w:pPr>
              <w:spacing w:line="252" w:lineRule="auto"/>
            </w:pPr>
            <w:r>
              <w:rPr>
                <w:sz w:val="19"/>
                <w:szCs w:val="19"/>
              </w:rPr>
              <w:t>~6,000-7,000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A594CAA" w14:textId="77777777" w:rsidR="00DB2F71" w:rsidRDefault="00000000">
            <w:pPr>
              <w:spacing w:line="252" w:lineRule="auto"/>
            </w:pPr>
            <w:r>
              <w:rPr>
                <w:sz w:val="19"/>
                <w:szCs w:val="19"/>
              </w:rPr>
              <w:t>Cuasi-monopolio (Grupo México ≈78%)</w:t>
            </w:r>
          </w:p>
        </w:tc>
      </w:tr>
      <w:tr w:rsidR="00DB2F71" w14:paraId="5AC3D431"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FA50CC0" w14:textId="77777777" w:rsidR="00DB2F71" w:rsidRDefault="00000000">
            <w:pPr>
              <w:spacing w:line="252" w:lineRule="auto"/>
            </w:pPr>
            <w:r>
              <w:rPr>
                <w:sz w:val="19"/>
                <w:szCs w:val="19"/>
              </w:rPr>
              <w:t>Fluorita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9E70A0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F796892"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FAD6655" w14:textId="77777777" w:rsidR="00DB2F71" w:rsidRDefault="00000000">
            <w:pPr>
              <w:spacing w:line="252" w:lineRule="auto"/>
            </w:pPr>
            <w:r>
              <w:rPr>
                <w:sz w:val="19"/>
                <w:szCs w:val="19"/>
              </w:rPr>
              <w:t>~9,000-9,500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A3B94AE" w14:textId="77777777" w:rsidR="00DB2F71" w:rsidRDefault="00000000">
            <w:pPr>
              <w:spacing w:line="252" w:lineRule="auto"/>
            </w:pPr>
            <w:r>
              <w:rPr>
                <w:sz w:val="19"/>
                <w:szCs w:val="19"/>
              </w:rPr>
              <w:t>Monopolio casi absoluto (Orbia/Koura ≈95%)</w:t>
            </w:r>
          </w:p>
        </w:tc>
      </w:tr>
      <w:tr w:rsidR="00DB2F71" w14:paraId="4BD554D9"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5B034BE" w14:textId="77777777" w:rsidR="00DB2F71" w:rsidRDefault="00000000">
            <w:pPr>
              <w:spacing w:line="252" w:lineRule="auto"/>
            </w:pPr>
            <w:r>
              <w:rPr>
                <w:sz w:val="19"/>
                <w:szCs w:val="19"/>
              </w:rPr>
              <w:t>Grafito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3E427C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12D7C7F4"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B1EA571" w14:textId="77777777" w:rsidR="00DB2F71" w:rsidRDefault="00000000">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1BDDD08" w14:textId="77777777" w:rsidR="00DB2F71" w:rsidRDefault="00000000">
            <w:pPr>
              <w:spacing w:line="252" w:lineRule="auto"/>
            </w:pPr>
            <w:r>
              <w:rPr>
                <w:sz w:val="19"/>
                <w:szCs w:val="19"/>
              </w:rPr>
              <w:t>Monopolio geográfico / mercado atomizado</w:t>
            </w:r>
          </w:p>
        </w:tc>
      </w:tr>
      <w:tr w:rsidR="00DB2F71" w14:paraId="649875EA"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224D39C" w14:textId="77777777" w:rsidR="00DB2F71" w:rsidRDefault="00000000">
            <w:pPr>
              <w:spacing w:line="252" w:lineRule="auto"/>
            </w:pPr>
            <w:r>
              <w:rPr>
                <w:sz w:val="19"/>
                <w:szCs w:val="19"/>
              </w:rPr>
              <w:t>Manganeso</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9D6EC26"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52E5DE5"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ED51035" w14:textId="77777777" w:rsidR="00DB2F71" w:rsidRDefault="00000000">
            <w:pPr>
              <w:spacing w:line="252" w:lineRule="auto"/>
            </w:pPr>
            <w:r>
              <w:rPr>
                <w:sz w:val="19"/>
                <w:szCs w:val="19"/>
              </w:rPr>
              <w:t>10,000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EDB7807" w14:textId="77777777" w:rsidR="00DB2F71" w:rsidRDefault="00000000">
            <w:pPr>
              <w:spacing w:line="252" w:lineRule="auto"/>
            </w:pPr>
            <w:r>
              <w:rPr>
                <w:sz w:val="19"/>
                <w:szCs w:val="19"/>
              </w:rPr>
              <w:t>Monopolio absoluto (Autlán 100%)</w:t>
            </w:r>
          </w:p>
        </w:tc>
      </w:tr>
      <w:tr w:rsidR="00DB2F71" w14:paraId="406E9841"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F075E3" w14:textId="77777777" w:rsidR="00DB2F71" w:rsidRDefault="00000000">
            <w:pPr>
              <w:spacing w:line="252" w:lineRule="auto"/>
            </w:pPr>
            <w:r>
              <w:rPr>
                <w:sz w:val="19"/>
                <w:szCs w:val="19"/>
              </w:rPr>
              <w:t>Oro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EE7642C"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DFADC9A"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BEDDA15" w14:textId="77777777" w:rsidR="00DB2F71" w:rsidRDefault="00000000">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ED4452C" w14:textId="77777777" w:rsidR="00DB2F71" w:rsidRDefault="00000000">
            <w:pPr>
              <w:spacing w:line="252" w:lineRule="auto"/>
            </w:pPr>
            <w:r>
              <w:rPr>
                <w:sz w:val="19"/>
                <w:szCs w:val="19"/>
              </w:rPr>
              <w:t>Oligopolio moderado-bajo (5 grandes ≈42-45%)</w:t>
            </w:r>
          </w:p>
        </w:tc>
      </w:tr>
      <w:tr w:rsidR="00DB2F71" w14:paraId="4F49A51E"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DD3C556" w14:textId="77777777" w:rsidR="00DB2F71" w:rsidRDefault="00000000">
            <w:pPr>
              <w:spacing w:line="252" w:lineRule="auto"/>
            </w:pPr>
            <w:r>
              <w:rPr>
                <w:sz w:val="19"/>
                <w:szCs w:val="19"/>
              </w:rPr>
              <w:t>Plata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0465845"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5B53BC9"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24C37D71" w14:textId="77777777" w:rsidR="00DB2F71" w:rsidRDefault="00000000">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AB00F58" w14:textId="77777777" w:rsidR="00DB2F71" w:rsidRDefault="00000000">
            <w:pPr>
              <w:spacing w:line="252" w:lineRule="auto"/>
            </w:pPr>
            <w:r>
              <w:rPr>
                <w:sz w:val="19"/>
                <w:szCs w:val="19"/>
              </w:rPr>
              <w:t>Oligopolio moderado (5 grandes; Fresnillo plc ≈30% extracción)</w:t>
            </w:r>
          </w:p>
        </w:tc>
      </w:tr>
      <w:tr w:rsidR="00DB2F71" w14:paraId="5CF57E77"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7505D5E" w14:textId="77777777" w:rsidR="00DB2F71" w:rsidRDefault="00000000">
            <w:pPr>
              <w:spacing w:line="252" w:lineRule="auto"/>
            </w:pPr>
            <w:r>
              <w:rPr>
                <w:sz w:val="19"/>
                <w:szCs w:val="19"/>
              </w:rPr>
              <w:t>Plomo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11AC773"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B625A9F"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3B696B" w14:textId="77777777" w:rsidR="00DB2F71" w:rsidRDefault="00000000">
            <w:pPr>
              <w:spacing w:line="252" w:lineRule="auto"/>
            </w:pPr>
            <w:r>
              <w:rPr>
                <w:sz w:val="19"/>
                <w:szCs w:val="19"/>
              </w:rPr>
              <w:t>~5,000-6,000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D47F7AD" w14:textId="77777777" w:rsidR="00DB2F71" w:rsidRDefault="00000000">
            <w:pPr>
              <w:spacing w:line="252" w:lineRule="auto"/>
            </w:pPr>
            <w:r>
              <w:rPr>
                <w:sz w:val="19"/>
                <w:szCs w:val="19"/>
              </w:rPr>
              <w:t>Monopolio refinación (Peñoles 100%); oligopolio extracción</w:t>
            </w:r>
          </w:p>
        </w:tc>
      </w:tr>
      <w:tr w:rsidR="00DB2F71" w14:paraId="2D1F6BCB"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101742B" w14:textId="77777777" w:rsidR="00DB2F71" w:rsidRDefault="00000000">
            <w:pPr>
              <w:spacing w:line="252" w:lineRule="auto"/>
            </w:pPr>
            <w:r>
              <w:rPr>
                <w:sz w:val="19"/>
                <w:szCs w:val="19"/>
              </w:rPr>
              <w:t>Sílice</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FD286C3"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A88CB53"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CECD285" w14:textId="471009F6" w:rsidR="00DB2F71" w:rsidRDefault="005113D4">
            <w:pPr>
              <w:spacing w:line="252" w:lineRule="auto"/>
            </w:pPr>
            <w:r w:rsidRPr="005113D4">
              <w:rPr>
                <w:sz w:val="19"/>
                <w:szCs w:val="19"/>
              </w:rPr>
              <w:t>~6,700–9,700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45507F7" w14:textId="4919BFE6" w:rsidR="00DB2F71" w:rsidRPr="005113D4" w:rsidRDefault="005113D4">
            <w:pPr>
              <w:spacing w:line="252" w:lineRule="auto"/>
              <w:rPr>
                <w:sz w:val="19"/>
                <w:szCs w:val="19"/>
              </w:rPr>
            </w:pPr>
            <w:r w:rsidRPr="005113D4">
              <w:rPr>
                <w:sz w:val="19"/>
                <w:szCs w:val="19"/>
              </w:rPr>
              <w:t>Concentrado (Covia/Grupo Materias Primas ≈ 74–99%)</w:t>
            </w:r>
          </w:p>
        </w:tc>
      </w:tr>
      <w:tr w:rsidR="00DB2F71" w14:paraId="71312524"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9771527" w14:textId="77777777" w:rsidR="00DB2F71" w:rsidRDefault="00000000">
            <w:pPr>
              <w:spacing w:line="252" w:lineRule="auto"/>
            </w:pPr>
            <w:r>
              <w:rPr>
                <w:sz w:val="19"/>
                <w:szCs w:val="19"/>
              </w:rPr>
              <w:lastRenderedPageBreak/>
              <w:t>Zinc</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8733ACE"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7A3CF2B"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24F98C3" w14:textId="77777777" w:rsidR="00DB2F71" w:rsidRDefault="00000000">
            <w:pPr>
              <w:spacing w:line="252" w:lineRule="auto"/>
            </w:pPr>
            <w:commentRangeStart w:id="18"/>
            <w:r>
              <w:rPr>
                <w:sz w:val="19"/>
                <w:szCs w:val="19"/>
              </w:rPr>
              <w:t>~3,500-4,000</w:t>
            </w:r>
            <w:commentRangeEnd w:id="18"/>
            <w:r w:rsidR="008A078A">
              <w:rPr>
                <w:rStyle w:val="Refdecomentario"/>
                <w:sz w:val="22"/>
                <w:szCs w:val="22"/>
              </w:rPr>
              <w:commentReference w:id="18"/>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02A43926" w14:textId="77777777" w:rsidR="00DB2F71" w:rsidRDefault="00000000">
            <w:pPr>
              <w:spacing w:line="252" w:lineRule="auto"/>
            </w:pPr>
            <w:r>
              <w:rPr>
                <w:sz w:val="19"/>
                <w:szCs w:val="19"/>
              </w:rPr>
              <w:t>Oligopolio concentrado (Newmont 33.4% extracción 2024; Peñoles 69% refinación)</w:t>
            </w:r>
          </w:p>
        </w:tc>
      </w:tr>
    </w:tbl>
    <w:p w14:paraId="056ADB15" w14:textId="151E1590" w:rsidR="00DB2F71" w:rsidRDefault="00000000">
      <w:pPr>
        <w:spacing w:before="60" w:after="200"/>
      </w:pPr>
      <w:r>
        <w:rPr>
          <w:i/>
          <w:iCs/>
          <w:color w:val="666666"/>
          <w:sz w:val="17"/>
          <w:szCs w:val="17"/>
        </w:rPr>
        <w:t>Nota: * Incluido como mineral crítico para efectos de seguridad nacional por orden ejecutiva de EE.UU. del 20 de marzo de 2025 (The White House, 2025). Cifras de HHI son estimaciones basadas en datos de participación de mercado; las fuentes primarias se detallan en el Capítulo IV</w:t>
      </w:r>
      <w:r w:rsidR="005113D4">
        <w:rPr>
          <w:i/>
          <w:iCs/>
          <w:color w:val="666666"/>
          <w:sz w:val="17"/>
          <w:szCs w:val="17"/>
        </w:rPr>
        <w:t>, para l</w:t>
      </w:r>
      <w:r w:rsidR="005113D4" w:rsidRPr="005113D4">
        <w:rPr>
          <w:i/>
          <w:iCs/>
          <w:color w:val="666666"/>
          <w:sz w:val="17"/>
          <w:szCs w:val="17"/>
        </w:rPr>
        <w:t>os minerales no metálicos se revisaron con datos de producción por empresa de CAMIMEX 2021–2024</w:t>
      </w:r>
      <w:r w:rsidR="005113D4">
        <w:rPr>
          <w:i/>
          <w:iCs/>
          <w:color w:val="666666"/>
          <w:sz w:val="17"/>
          <w:szCs w:val="17"/>
        </w:rPr>
        <w:t>.</w:t>
      </w:r>
      <w:r>
        <w:rPr>
          <w:i/>
          <w:iCs/>
          <w:color w:val="666666"/>
          <w:sz w:val="17"/>
          <w:szCs w:val="17"/>
        </w:rPr>
        <w:t xml:space="preserve"> Fuentes: Micheli Thirion y Cortés Morales (2026); U.S. Geological Survey (2025a); European Commission (2023); Cámara Minera de México (2024).</w:t>
      </w:r>
    </w:p>
    <w:p w14:paraId="6F63688D" w14:textId="77777777" w:rsidR="00DB2F71" w:rsidRDefault="00000000">
      <w:pPr>
        <w:pStyle w:val="Ttulo2"/>
      </w:pPr>
      <w:bookmarkStart w:id="19" w:name="_Toc234229538"/>
      <w:r>
        <w:t>II.3 Factores que impulsan la demanda de minerales críticos</w:t>
      </w:r>
      <w:bookmarkEnd w:id="19"/>
    </w:p>
    <w:p w14:paraId="53AEE4B4" w14:textId="77777777" w:rsidR="00DB2F71" w:rsidRDefault="00000000">
      <w:pPr>
        <w:spacing w:after="180" w:line="360" w:lineRule="auto"/>
        <w:ind w:firstLine="720"/>
        <w:jc w:val="both"/>
      </w:pPr>
      <w:r>
        <w:rPr>
          <w:color w:val="000000"/>
        </w:rPr>
        <w:t>Comprender por qué los minerales del corpus de esta investigación son considerados críticos requiere entender qué impulsa su demanda. El IGF (Hendriwardani y Ramdoo, 2022) identifica seis vías de demanda que, en conjunto, explican el auge reciente de la demanda mundial de minerales críticos y que conectan directamente con los diez minerales analizados en esta tesis.</w:t>
      </w:r>
    </w:p>
    <w:p w14:paraId="7788B46A" w14:textId="77777777" w:rsidR="00DB2F71" w:rsidRDefault="00000000">
      <w:pPr>
        <w:pStyle w:val="Prrafodelista"/>
        <w:numPr>
          <w:ilvl w:val="0"/>
          <w:numId w:val="2"/>
        </w:numPr>
        <w:spacing w:line="300" w:lineRule="auto"/>
      </w:pPr>
      <w:r>
        <w:rPr>
          <w:color w:val="000000"/>
        </w:rPr>
        <w:t>Descarbonización y tecnologías energéticas: el cobre y la plata son los minerales del corpus más directamente vinculados a esta vía. El IGF documenta que la energía eólica y solar emplea más de diez minerales críticos distintos, y el cobre es indispensable para el cableado de cualquier instalación de generación renovable. Un vehículo eléctrico requiere 53.2 kg de cobre y 24.5 kg de manganeso —hasta seis veces más contenido mineral que un vehículo convencional (Hendriwardani y Ramdoo, 2022, p. 8).</w:t>
      </w:r>
    </w:p>
    <w:p w14:paraId="527E3D58" w14:textId="77777777" w:rsidR="00DB2F71" w:rsidRDefault="00000000">
      <w:pPr>
        <w:pStyle w:val="Prrafodelista"/>
        <w:numPr>
          <w:ilvl w:val="0"/>
          <w:numId w:val="2"/>
        </w:numPr>
        <w:spacing w:line="300" w:lineRule="auto"/>
      </w:pPr>
      <w:r>
        <w:rPr>
          <w:color w:val="000000"/>
        </w:rPr>
        <w:t>Movilidad eléctrica: el manganeso es insumo estándar de los cátodos de baterías de ion-litio tipo NMC y del acero especial para carrocerías de vehículos eléctricos, lo que explica el interés industrial reciente en el Distrito de Molango (Hidalgo), el único yacimiento de manganeso a escala industrial de todo Centro y Norteamérica.</w:t>
      </w:r>
    </w:p>
    <w:p w14:paraId="5004361B" w14:textId="77777777" w:rsidR="00DB2F71" w:rsidRDefault="00000000">
      <w:pPr>
        <w:pStyle w:val="Prrafodelista"/>
        <w:numPr>
          <w:ilvl w:val="0"/>
          <w:numId w:val="2"/>
        </w:numPr>
        <w:spacing w:line="300" w:lineRule="auto"/>
      </w:pPr>
      <w:r>
        <w:rPr>
          <w:color w:val="000000"/>
        </w:rPr>
        <w:t>Digitalización: el IGF estima que se requieren unos 42 minerales distintos para fabricar los dispositivos digitales emergentes. La sílice de alta pureza es el material base de las obleas de silicio para semiconductores; el oro se usa en conectores y componentes electrónicos de precisión.</w:t>
      </w:r>
    </w:p>
    <w:p w14:paraId="4C9C7B2E" w14:textId="77777777" w:rsidR="00DB2F71" w:rsidRDefault="00000000">
      <w:pPr>
        <w:pStyle w:val="Prrafodelista"/>
        <w:numPr>
          <w:ilvl w:val="0"/>
          <w:numId w:val="2"/>
        </w:numPr>
        <w:spacing w:line="300" w:lineRule="auto"/>
      </w:pPr>
      <w:r>
        <w:rPr>
          <w:color w:val="000000"/>
        </w:rPr>
        <w:t>Aplicaciones industriales avanzadas: el zinc y el plomo son insumos de la galvanización anticorrosiva y de las baterías de plomo-ácido, respectivamente; la fluorita es el insumo del ácido fluorhídrico usado en semiconductores, refrigerantes y baterías de nueva generación.</w:t>
      </w:r>
    </w:p>
    <w:p w14:paraId="2A2E7798" w14:textId="77777777" w:rsidR="00DB2F71" w:rsidRDefault="00000000">
      <w:pPr>
        <w:pStyle w:val="Prrafodelista"/>
        <w:numPr>
          <w:ilvl w:val="0"/>
          <w:numId w:val="2"/>
        </w:numPr>
        <w:spacing w:line="300" w:lineRule="auto"/>
      </w:pPr>
      <w:r>
        <w:rPr>
          <w:color w:val="000000"/>
        </w:rPr>
        <w:lastRenderedPageBreak/>
        <w:t>Infraestructura y construcción: la barita (insumo casi exclusivo de los lodos de perforación petrolera) y la sílice (componente del concreto, el vidrio plano y los ladrillos) son minerales cuya demanda está más ligada al ciclo de inversión en hidrocarburos y construcción que a la transición energética propiamente dicha.</w:t>
      </w:r>
    </w:p>
    <w:p w14:paraId="53AEBA90" w14:textId="77777777" w:rsidR="00DB2F71" w:rsidRDefault="00000000">
      <w:pPr>
        <w:pStyle w:val="Ttulo2"/>
      </w:pPr>
      <w:bookmarkStart w:id="20" w:name="_Toc234229539"/>
      <w:r>
        <w:t>II.4 Marco teórico</w:t>
      </w:r>
      <w:bookmarkEnd w:id="20"/>
    </w:p>
    <w:p w14:paraId="713816ED" w14:textId="77777777" w:rsidR="00DB2F71" w:rsidRDefault="00000000">
      <w:pPr>
        <w:pStyle w:val="Ttulo3"/>
      </w:pPr>
      <w:bookmarkStart w:id="21" w:name="_Toc234229540"/>
      <w:r>
        <w:t>II.4.1 Economía del desarrollo: reprimarización y enclave exportador</w:t>
      </w:r>
      <w:bookmarkEnd w:id="21"/>
    </w:p>
    <w:p w14:paraId="0FD48287" w14:textId="77777777" w:rsidR="00DB2F71" w:rsidRDefault="00000000">
      <w:pPr>
        <w:spacing w:after="180" w:line="360" w:lineRule="auto"/>
        <w:ind w:firstLine="720"/>
        <w:jc w:val="both"/>
      </w:pPr>
      <w:r>
        <w:rPr>
          <w:color w:val="000000"/>
        </w:rPr>
        <w:t>La primera tradición teórica de esta investigación es la economía del desarrollo en su vertiente estructuralista latinoamericana. Prebisch (1950) y Furtado (1966) argumentaron que la inserción de América Latina como exportadora de materias primas e importadora de manufacturas genera una transferencia sistemática de valor hacia los países del centro que perpetúa la asimetría tecnológica, en lo que se conoce como el deterioro de los términos de intercambio. La noción de enclave exportador —unidades productivas integradas al mercado mundial pero desconectadas del tejido industrial nacional— captura con precisión la dinámica de la minería mexicana: las minas producen para el mercado internacional, emplean insumos importados en proporción relevante, y generan poco encadenamiento con industrias procesadoras nacionales.</w:t>
      </w:r>
    </w:p>
    <w:p w14:paraId="66A03568" w14:textId="77777777" w:rsidR="00DB2F71" w:rsidRDefault="00000000">
      <w:pPr>
        <w:spacing w:after="180" w:line="360" w:lineRule="auto"/>
        <w:ind w:firstLine="720"/>
        <w:jc w:val="both"/>
      </w:pPr>
      <w:r>
        <w:rPr>
          <w:color w:val="000000"/>
        </w:rPr>
        <w:t>El concepto de reprimarización (Svampa, 2013) actualiza el argumento estructuralista para el periodo post-reformas de los años noventa, describiendo el retorno a una estructura productiva dominada por actividades extractivas en economías que habían avanzado —parcialmente, en el caso mexicano— hacia la industrialización. La hipótesis de la maldición de los recursos (Sachs y Warner, 1995; Auty, 1993) añade una dimensión macroeconómica, aunque su formulación más reciente reconoce que la maldición es condicional y no inevitable: Australia, Noruega y Chile han logrado convertir su abundancia mineral en desarrollo sostenido mediante políticas industriales activas (Lederman y Maloney, 2007; Venables, 2016). La comparación con Chile y Australia es, en esa literatura, el contrafactual implícito que esta investigación busca hacer explícito y cuantitativo.</w:t>
      </w:r>
    </w:p>
    <w:p w14:paraId="2B2DB1BF" w14:textId="77777777" w:rsidR="00DB2F71" w:rsidRDefault="00000000">
      <w:pPr>
        <w:pStyle w:val="Ttulo3"/>
      </w:pPr>
      <w:bookmarkStart w:id="22" w:name="_Toc234229541"/>
      <w:r>
        <w:t>II.4.2 Economía industrial: Estructura-Conducta-Desempeño e integración vertical</w:t>
      </w:r>
      <w:bookmarkEnd w:id="22"/>
    </w:p>
    <w:p w14:paraId="1308B37F" w14:textId="77777777" w:rsidR="00DB2F71" w:rsidRDefault="00000000">
      <w:pPr>
        <w:spacing w:after="180" w:line="360" w:lineRule="auto"/>
        <w:ind w:firstLine="720"/>
        <w:jc w:val="both"/>
      </w:pPr>
      <w:r>
        <w:rPr>
          <w:color w:val="000000"/>
        </w:rPr>
        <w:t xml:space="preserve">La segunda tradición es la economía industrial en su paradigma Estructura-Conducta-Desempeño (SCP, por sus siglas en inglés), desarrollado por Mason (1939) y </w:t>
      </w:r>
      <w:r>
        <w:rPr>
          <w:color w:val="000000"/>
        </w:rPr>
        <w:lastRenderedPageBreak/>
        <w:t>Bain (1956). El paradigma postula que la concentración del mercado —la estructura— determina las conductas de las empresas (precios, inversión, innovación, decisiones de integración vertical), que a su vez determinan el desempeño del sector (eficiencia, distribución de rentas, encadenamiento con el resto de la economía). Para los propósitos de esta investigación, el vínculo central es el que va de la concentración de mercado a las decisiones de integración vertical: ¿por qué los consorcios oligopólicos que dominan la extracción de minerales críticos en México prefieren exportar en bruto en lugar de procesar localmente?</w:t>
      </w:r>
    </w:p>
    <w:p w14:paraId="4FDAD113" w14:textId="77777777" w:rsidR="00DB2F71" w:rsidRDefault="00000000">
      <w:pPr>
        <w:spacing w:after="180" w:line="360" w:lineRule="auto"/>
        <w:ind w:firstLine="720"/>
        <w:jc w:val="both"/>
      </w:pPr>
      <w:r>
        <w:rPr>
          <w:color w:val="000000"/>
        </w:rPr>
        <w:t>La teoría de la integración vertical (Williamson, 1985; Klein, Crawford y Alchian, 1978) ofrece el mecanismo explicativo: cuando los activos específicos requeridos para el procesamiento son costosos y las relaciones contractuales con los compradores son difíciles de garantizar ex ante, la integración vertical hacia adelante en el país de origen puede ser menos rentable que la exportación de concentrado a refinadores establecidos en los mercados de destino, especialmente cuando esos refinadores son subsidiarias del mismo grupo corporativo y operan bajo lógicas de precios de transferencia internos. Este mecanismo conecta directamente el poder de mercado del oligopolio minero mexicano con la baja dispersión de valor hacia adelante que los coeficientes de Ghosh buscan medir.</w:t>
      </w:r>
    </w:p>
    <w:p w14:paraId="189399C0" w14:textId="77777777" w:rsidR="00DB2F71" w:rsidRDefault="00000000">
      <w:pPr>
        <w:pStyle w:val="Ttulo3"/>
      </w:pPr>
      <w:bookmarkStart w:id="23" w:name="_Toc234229542"/>
      <w:r>
        <w:t>II.4.3 Economía institucional: reglas del juego y cambio regulatorio</w:t>
      </w:r>
      <w:bookmarkEnd w:id="23"/>
    </w:p>
    <w:p w14:paraId="717E180A" w14:textId="77777777" w:rsidR="00DB2F71" w:rsidRDefault="00000000">
      <w:pPr>
        <w:spacing w:after="180" w:line="360" w:lineRule="auto"/>
        <w:ind w:firstLine="720"/>
        <w:jc w:val="both"/>
      </w:pPr>
      <w:r>
        <w:rPr>
          <w:color w:val="000000"/>
        </w:rPr>
        <w:t xml:space="preserve">La tercera tradición es la economía institucional, particularmente la obra de North (1990), para quien las instituciones son las reglas del juego en una sociedad —tanto las formales (leyes, regulaciones, contratos) como las informales (convenciones, códigos de conducta)— que reducen la incertidumbre y estructuran los incentivos de los actores económicos. Desde esta perspectiva, la Ley Minera de 1992 y su reforma de 2023 no son simplemente cambios técnicos en la regulación sectorial, sino modificaciones al marco de incentivos que determinan qué inversiones son rentables, qué actores pueden realizarlas y en qué escala. La reforma de 1992 redujo los costos de transacción para la gran empresa extractiva, prolongó las concesiones hasta 50 años sin condicionarlas a la generación de valor agregado, y facilitó la acumulación privada de reservas. La de 2023, al trasladar la exploración al Estado y establecer un nuevo régimen de licitaciones, alteró ese equilibrio, pero de forma asimétrica: los grandes consorcios con concesiones de larga </w:t>
      </w:r>
      <w:r>
        <w:rPr>
          <w:color w:val="000000"/>
        </w:rPr>
        <w:lastRenderedPageBreak/>
        <w:t>data quedan relativamente protegidos, mientras que los nuevos proyectos —incluidos los de procesamiento que requerirían nuevas concesiones— enfrentan mayor incertidumbre.</w:t>
      </w:r>
    </w:p>
    <w:p w14:paraId="0D6D27CE" w14:textId="77777777" w:rsidR="00DB2F71" w:rsidRDefault="00000000">
      <w:pPr>
        <w:pStyle w:val="Ttulo3"/>
      </w:pPr>
      <w:bookmarkStart w:id="24" w:name="_Toc234229543"/>
      <w:r>
        <w:t>II.4.4 Análisis insumo-producto: Leontief, Ghosh y el coeficiente de captura de valor</w:t>
      </w:r>
      <w:bookmarkEnd w:id="24"/>
    </w:p>
    <w:p w14:paraId="2F9CBA2B" w14:textId="77777777" w:rsidR="00DB2F71" w:rsidRDefault="00000000">
      <w:pPr>
        <w:spacing w:after="180" w:line="360" w:lineRule="auto"/>
        <w:ind w:firstLine="720"/>
        <w:jc w:val="both"/>
      </w:pPr>
      <w:r>
        <w:rPr>
          <w:color w:val="000000"/>
        </w:rPr>
        <w:t>El instrumental empírico central de esta investigación es el análisis insumo-producto en sus versiones de Leontief (1941) y Ghosh (1958), complementado por los índices normalizados de encadenamiento de Hirschman (1958) y Rasmussen (1956). El modelo de Leontief captura los encadenamientos hacia atrás: cuánto demanda la minería de cada mineral del resto de la economía nacional como comprador de insumos (energía, maquinaria, servicios). El modelo de Ghosh captura los encadenamientos hacia adelante: cuánto de la producción de cada mineral se incorpora como insumo en otros sectores nacionales, en lugar de exportarse. Es el coeficiente de Ghosh el que actúa como variable dependiente central del modelo econométrico de la tesis: se espera que sea sistemáticamente bajo para los minerales cuya producción se exporta en bruto, y que esa baja sea mayor cuanto mayor sea la concentración de mercado.</w:t>
      </w:r>
    </w:p>
    <w:p w14:paraId="2A9EBD2B" w14:textId="77777777" w:rsidR="00DB2F71" w:rsidRDefault="00000000">
      <w:pPr>
        <w:spacing w:after="180" w:line="360" w:lineRule="auto"/>
        <w:ind w:firstLine="720"/>
        <w:jc w:val="both"/>
      </w:pPr>
      <w:r>
        <w:rPr>
          <w:color w:val="000000"/>
        </w:rPr>
        <w:t>El coeficiente de captura de valor (CCV) complementa al de Ghosh como segunda operacionalización del mismo fenómeno, con una ventaja de disponibilidad de datos: se define como la razón entre el precio de exportación del mineral mexicano en frontera —extraído de Comtrade a nivel de 6 dígitos HS— y el precio del producto refinado o manufacturado derivado en el mercado de destino —extraído de las series históricas del USGS—. Al disponer de datos de precios anuales y continuos desde 1992, el panel del CCV puede alcanzar hasta 320 observaciones (10 minerales × 32 años), frente a las 40-60 del panel de Ghosh basado en los cortes disponibles de las Matrices Insumo-Producto de INEGI.</w:t>
      </w:r>
    </w:p>
    <w:p w14:paraId="26CBE148" w14:textId="77777777" w:rsidR="00DB2F71" w:rsidRDefault="00000000">
      <w:pPr>
        <w:pStyle w:val="Ttulo1"/>
        <w:pageBreakBefore/>
        <w:pBdr>
          <w:bottom w:val="single" w:sz="8" w:space="4" w:color="1F3B5C"/>
        </w:pBdr>
      </w:pPr>
      <w:bookmarkStart w:id="25" w:name="_Toc234229544"/>
      <w:r>
        <w:lastRenderedPageBreak/>
        <w:t>Capítulo III. La minería mexicana desde la reforma estructural: contexto histórico 1988-2025</w:t>
      </w:r>
      <w:bookmarkEnd w:id="25"/>
    </w:p>
    <w:p w14:paraId="768E45A5" w14:textId="77777777" w:rsidR="00DB2F71" w:rsidRDefault="00000000">
      <w:pPr>
        <w:spacing w:after="180" w:line="360" w:lineRule="auto"/>
        <w:jc w:val="both"/>
      </w:pPr>
      <w:r>
        <w:rPr>
          <w:color w:val="000000"/>
        </w:rPr>
        <w:t>El sistema minero mexicano actual no es el resultado de una evolución gradual del mercado, sino el producto de un rediseño institucional deliberado que ocurrió entre 1988 y 1994 y cuyos efectos estructurales —la concentración oligopólica, la integración vertical incompleta, la exportación sistemática de materia prima— han persistido durante tres décadas prácticamente sin alteraciones de fondo. Este capítulo reconstruye ese proceso y su evolución hasta la coyuntura regulatoria más reciente.</w:t>
      </w:r>
    </w:p>
    <w:p w14:paraId="4B12B783" w14:textId="77777777" w:rsidR="00DB2F71" w:rsidRDefault="00000000">
      <w:pPr>
        <w:pStyle w:val="Ttulo2"/>
      </w:pPr>
      <w:bookmarkStart w:id="26" w:name="_Toc234229545"/>
      <w:r>
        <w:t>III.1 El modelo anterior: minería mixta bajo protección estatal (hasta 1988)</w:t>
      </w:r>
      <w:bookmarkEnd w:id="26"/>
    </w:p>
    <w:p w14:paraId="2816FE13" w14:textId="77777777" w:rsidR="00DB2F71" w:rsidRDefault="00000000">
      <w:pPr>
        <w:spacing w:after="180" w:line="360" w:lineRule="auto"/>
        <w:ind w:firstLine="720"/>
        <w:jc w:val="both"/>
      </w:pPr>
      <w:r>
        <w:rPr>
          <w:color w:val="000000"/>
        </w:rPr>
        <w:t>Hasta mediados de los años ochenta, la minería mexicana funcionaba bajo un modelo que combinaba capital privado nacional —históricamente representado por grupos como Peñoles y Frisco desde las primeras décadas del siglo XX— con una presencia estatal significativa en los yacimientos más estratégicos y en la fijación de las condiciones de explotación. La Ley de Mexicanización de 1961 había establecido la obligatoriedad de que al menos 51% del capital de las empresas mineras fuera de origen nacional, limitando la entrada de inversión extranjera directa y creando una estructura de mercado en la que los grandes consorcios nacionales dominaban de forma estable.</w:t>
      </w:r>
    </w:p>
    <w:p w14:paraId="151DDE72" w14:textId="77777777" w:rsidR="00DB2F71" w:rsidRDefault="00000000">
      <w:pPr>
        <w:spacing w:after="180" w:line="360" w:lineRule="auto"/>
        <w:ind w:firstLine="720"/>
        <w:jc w:val="both"/>
      </w:pPr>
      <w:r>
        <w:rPr>
          <w:color w:val="000000"/>
        </w:rPr>
        <w:t>La crisis de la deuda de 1982 y la posterior adopción del modelo de ajuste estructural bajo la influencia del Fondo Monetario Internacional y el Banco Mundial marcaron el inicio del desmantelamiento de ese modelo. La reducción del gasto público, la apertura comercial unilateral que México comenzó en 1985 —antes de la firma del GATT— y la señal explícita de que el Estado se retiraría de las actividades productivas que pudiera gestionar el sector privado crearon las condiciones para la reforma minera de 1988-1994 (Sariego, 2009; Delgado Wise y Del Pozo, 2001).</w:t>
      </w:r>
    </w:p>
    <w:p w14:paraId="35EB7017" w14:textId="77777777" w:rsidR="00DB2F71" w:rsidRDefault="00000000">
      <w:pPr>
        <w:pStyle w:val="Ttulo2"/>
      </w:pPr>
      <w:bookmarkStart w:id="27" w:name="_Toc234229546"/>
      <w:r>
        <w:t>III.2 La reforma estructural: privatización, desincorporación y nueva ley (1988-1994)</w:t>
      </w:r>
      <w:bookmarkEnd w:id="27"/>
    </w:p>
    <w:p w14:paraId="2437F06F" w14:textId="77777777" w:rsidR="00DB2F71" w:rsidRDefault="00000000">
      <w:pPr>
        <w:spacing w:after="180" w:line="360" w:lineRule="auto"/>
        <w:ind w:firstLine="720"/>
        <w:jc w:val="both"/>
      </w:pPr>
      <w:r>
        <w:rPr>
          <w:color w:val="000000"/>
        </w:rPr>
        <w:t xml:space="preserve">En 1988, el gobierno federal desincorporó aproximadamente 6.6 millones de hectáreas de reservas mineras nacionales —alrededor del 98% del total administrado por </w:t>
      </w:r>
      <w:r>
        <w:rPr>
          <w:color w:val="000000"/>
        </w:rPr>
        <w:lastRenderedPageBreak/>
        <w:t>el Estado— que pasaron mayoritariamente a manos de los grupos que ya dominaban la minería mexicana: Grupo México, Industrias Peñoles y Minera Frisco. Entre 1989 y 1993 se privatizaron además las principales empresas paraestatales del sector: Real del Monte y Pachuca en 1989, adquirida por el Grupo Acerero del Norte; la Compañía Minera de Cananea en 1990, adquirida por Grupo México a través de Industrial Minera México por 175 millones de dólares —una cifra 3.7 veces inferior a la oferta que Protexa Monterrey había hecho dos años antes—; y la Compañía Minera Autlán en 1993, adquirida en un 82.7% por el Grupo Ferrominero, hoy Autlán Holding.</w:t>
      </w:r>
    </w:p>
    <w:p w14:paraId="110F9025" w14:textId="77777777" w:rsidR="00DB2F71" w:rsidRDefault="00000000">
      <w:pPr>
        <w:spacing w:after="180" w:line="360" w:lineRule="auto"/>
        <w:ind w:firstLine="720"/>
        <w:jc w:val="both"/>
      </w:pPr>
      <w:r>
        <w:rPr>
          <w:color w:val="000000"/>
        </w:rPr>
        <w:t>La Ley Minera de 1992 consolidó jurídicamente este proceso: declaró la minería actividad preferente sobre cualquier otro uso del suelo donde existan minerales, amplió la duración de las concesiones de 25 a 50 años renovables y eliminó el requisito de mexicanización del capital, abriendo la puerta a la inversión extranjera que el TLCAN (1994) y la posterior reforma a la Ley de Inversión Extranjera (1996) terminarían de liberalizar. Ninguno de estos instrumentos condicionó el otorgamiento o la renovación de las concesiones a la generación de valor agregado nacional, a la integración con cadenas productivas locales, ni a compromisos de transformación del mineral extraído dentro del territorio mexicano. Esta ausencia de condicionalidad es, para los propósitos de esta investigación, el elemento institucional central del modelo que se analiza.</w:t>
      </w:r>
    </w:p>
    <w:p w14:paraId="1D19894D" w14:textId="77777777" w:rsidR="00DB2F71" w:rsidRDefault="00000000">
      <w:pPr>
        <w:pStyle w:val="Ttulo2"/>
      </w:pPr>
      <w:bookmarkStart w:id="28" w:name="_Toc234229547"/>
      <w:r>
        <w:t>III.3 La ola de inversión junior canadiense y la diversificación del mapa empresarial (1994-2010)</w:t>
      </w:r>
      <w:bookmarkEnd w:id="28"/>
    </w:p>
    <w:p w14:paraId="77B508BD" w14:textId="77777777" w:rsidR="00DB2F71" w:rsidRDefault="00000000">
      <w:pPr>
        <w:spacing w:after="180" w:line="360" w:lineRule="auto"/>
        <w:ind w:firstLine="720"/>
        <w:jc w:val="both"/>
      </w:pPr>
      <w:r>
        <w:rPr>
          <w:color w:val="000000"/>
        </w:rPr>
        <w:t>La combinación de la Ley Minera de 1992, el TLCAN de 1994 y la reforma de inversión extranjera de 1996 abrió la puerta a una ola de empresas junior canadienses —compañías de exploración de capital reducido y alto riesgo, especializadas en descubrir y poner en producción yacimientos nuevos antes de venderlos o asociarse con operadores mayores— que se convirtió, desde finales de los noventa y sobre todo en la década de 2000, en el segundo gran actor del mapa empresarial de la minería mexicana. Para 2019, la Secretaría de Economía identificaba 711 de los 1,177 proyectos mineros activos en el país como orientados a metales preciosos, con Canadá aportando 153 de las 238 empresas de capital extranjero registradas en el sector.</w:t>
      </w:r>
    </w:p>
    <w:p w14:paraId="771D3C95" w14:textId="77777777" w:rsidR="00DB2F71" w:rsidRDefault="00000000">
      <w:pPr>
        <w:spacing w:after="180" w:line="360" w:lineRule="auto"/>
        <w:ind w:firstLine="720"/>
        <w:jc w:val="both"/>
      </w:pPr>
      <w:r>
        <w:rPr>
          <w:color w:val="000000"/>
        </w:rPr>
        <w:lastRenderedPageBreak/>
        <w:t>Este proceso tuvo efectos estructurales importantes en dos minerales del corpus. En oro, la ola junior canadiense diversificó sustancialmente el mapa de operadores: Goldcorp desarrolló Peñasquito (Zacatecas) desde 2006, iniciando producción comercial en 2010; Torex Gold desarrolló El Limón-Guajes (Guerrero); Alamos Gold desarrolló Mulatos (Sonora). En plata, la creación de Fresnillo plc en 2008 —escisión de las operaciones de metales preciosos de Industrias Peñoles, que debutó en la Bolsa de Londres convirtiéndose en la primera empresa mexicana en integrar el índice FTSE100— reconfiguró la estructura formal del mercado argentífero sin alterar su control familiar último (Grupo BAL, familia Baillères).</w:t>
      </w:r>
    </w:p>
    <w:p w14:paraId="37AA1F22" w14:textId="77777777" w:rsidR="00DB2F71" w:rsidRDefault="00000000">
      <w:pPr>
        <w:pStyle w:val="Ttulo2"/>
      </w:pPr>
      <w:bookmarkStart w:id="29" w:name="_Toc234229548"/>
      <w:r>
        <w:t>III.4 El ciclo de superprecios y sus efectos (2003-2015)</w:t>
      </w:r>
      <w:bookmarkEnd w:id="29"/>
    </w:p>
    <w:p w14:paraId="147930B3" w14:textId="77777777" w:rsidR="00DB2F71" w:rsidRDefault="00000000">
      <w:pPr>
        <w:spacing w:after="180" w:line="360" w:lineRule="auto"/>
        <w:ind w:firstLine="720"/>
        <w:jc w:val="both"/>
      </w:pPr>
      <w:r>
        <w:rPr>
          <w:color w:val="000000"/>
        </w:rPr>
        <w:t>El ciclo alcista de precios de materias primas que comenzó a principios de la década de 2000 —impulsado por la demanda de China y, más adelante, por los estímulos monetarios posteriores a la crisis financiera global de 2008— tuvo efectos duales sobre la minería mexicana. Por un lado, incrementó notablemente el valor de la producción y las exportaciones mineras, elevando la participación del sector en el PIB y haciéndolo más visible en la agenda de política pública. Por otro, reforzó el modelo extractivo existente: con precios internacionales altos, los márgenes de rentabilidad de la extracción de concentrado sin procesar eran suficientemente atractivos para que los grandes consorcios no tuvieran incentivo alguno para invertir en capacidades de refinación o transformación local. El ciclo de superprecios, paradójicamente, consolidó el enclave exportador en lugar de generar condiciones para su superación.</w:t>
      </w:r>
    </w:p>
    <w:p w14:paraId="084DF23C" w14:textId="77777777" w:rsidR="00DB2F71" w:rsidRDefault="00000000">
      <w:pPr>
        <w:pStyle w:val="Ttulo2"/>
      </w:pPr>
      <w:bookmarkStart w:id="30" w:name="_Toc234229549"/>
      <w:r>
        <w:t>III.5 Consolidaciones corporativas relevantes (2004-2020)</w:t>
      </w:r>
      <w:bookmarkEnd w:id="30"/>
    </w:p>
    <w:p w14:paraId="3152ABE8" w14:textId="77777777" w:rsidR="00DB2F71" w:rsidRDefault="00000000">
      <w:pPr>
        <w:spacing w:after="180" w:line="360" w:lineRule="auto"/>
        <w:ind w:firstLine="720"/>
        <w:jc w:val="both"/>
      </w:pPr>
      <w:r>
        <w:rPr>
          <w:color w:val="000000"/>
        </w:rPr>
        <w:t xml:space="preserve">Dos movimientos corporativos de gran escala reconfiguraron el mapa empresarial durante este periodo. El primero fue la adquisición de ASARCO (Estados Unidos) por parte de Grupo México en 2004, que convirtió al grupo mexicano en la primera compañía del mundo en reservas de cobre y el cuarto productor mundial tanto de cobre como de plata, consolidando su integración vertical en el metal rojo a escala internacional aunque sin generar nuevas capacidades de refinación dentro de México. El segundo fue la adquisición de Goldcorp por parte de Newmont en 2019, que trasladó a la mayor productora de oro del mundo el control de Peñasquito (Zacatecas), en ese momento la </w:t>
      </w:r>
      <w:r>
        <w:rPr>
          <w:color w:val="000000"/>
        </w:rPr>
        <w:lastRenderedPageBreak/>
        <w:t>mayor mina individual de plata de México y una de las mayores productoras de zinc, lo que convirtió a un solo operador estadounidense en el principal productor de zinc del país (33.4% de la extracción nacional en 2024) al mismo tiempo que figuraba entre los mayores de plata y oro.</w:t>
      </w:r>
    </w:p>
    <w:p w14:paraId="4B99C164" w14:textId="77777777" w:rsidR="00DB2F71" w:rsidRDefault="00000000">
      <w:pPr>
        <w:pStyle w:val="Ttulo2"/>
      </w:pPr>
      <w:bookmarkStart w:id="31" w:name="_Toc234229550"/>
      <w:r>
        <w:t>III.6 La reforma a la Ley Minera de 2023 y su coyuntura</w:t>
      </w:r>
      <w:bookmarkEnd w:id="31"/>
    </w:p>
    <w:p w14:paraId="649CF88F" w14:textId="77777777" w:rsidR="00DB2F71" w:rsidRDefault="00000000">
      <w:pPr>
        <w:spacing w:after="180" w:line="360" w:lineRule="auto"/>
        <w:ind w:firstLine="720"/>
        <w:jc w:val="both"/>
      </w:pPr>
      <w:r>
        <w:rPr>
          <w:color w:val="000000"/>
        </w:rPr>
        <w:t>La reforma aprobada en abril de 2023 representa el cambio normativo más relevante desde la Ley Minera de 1992. Sus disposiciones principales son cuatro: el traslado al Servicio Geológico Mexicano de la exclusividad sobre la exploración de nuevas zonas, función antes abierta también a particulares; la reducción de la vigencia máxima de las concesiones de 50 a 30 años con una prórroga única de 25 años adicionales; la declaración de que la actividad minera ya no tiene carácter de actividad preferente sobre otros usos del suelo; y el establecimiento de un nuevo régimen de licitaciones públicas con evaluación de impacto social y ambiental.</w:t>
      </w:r>
    </w:p>
    <w:p w14:paraId="74F880FB" w14:textId="77777777" w:rsidR="00DB2F71" w:rsidRDefault="00000000">
      <w:pPr>
        <w:spacing w:after="180" w:line="360" w:lineRule="auto"/>
        <w:ind w:firstLine="720"/>
        <w:jc w:val="both"/>
      </w:pPr>
      <w:r>
        <w:rPr>
          <w:color w:val="000000"/>
        </w:rPr>
        <w:t>A mediados de 2026, la reforma enfrenta un litigio constitucional activo ante la Suprema Corte de Justicia de la Nación, con múltiples amparos promovidos por empresas y cámaras empresariales. El sistema de concesiones permanece en un limbo jurídico: el otorgamiento de nuevas concesiones está prácticamente paralizado, lo que ha reducido la exploración minera en 11.5% en 2024 y la inversión extranjera directa en el sector en 56.3% en 2025. Al mismo tiempo, el valor de la producción minero-metalúrgica alcanzó un récord de 312,461 millones de pesos en 2024 —un incremento de 19.6% respecto de 2023— impulsado por el alza histórica en los precios del oro (+65% en 2025, su mayor avance anual desde 1979) y la plata (+168% en 2025). Este patrón de crecimiento del valor sin renovación de la exploración ni de la inversión sugiere que los actores dominantes identificados en esta tesis seguirán siendo, en lo esencial, los mismos en el corto y mediano plazo (Aliphat Rodríguez et al., 2025; Minería en Línea, 2026).</w:t>
      </w:r>
    </w:p>
    <w:p w14:paraId="43E68B3D" w14:textId="77777777" w:rsidR="008D7B04" w:rsidRDefault="008D7B04" w:rsidP="008D7B04">
      <w:pPr>
        <w:pStyle w:val="Ttulo1"/>
        <w:pBdr>
          <w:bottom w:val="single" w:sz="8" w:space="4" w:color="1F3B5C"/>
        </w:pBdr>
      </w:pPr>
      <w:bookmarkStart w:id="32" w:name="_Toc234229551"/>
      <w:r>
        <w:rPr>
          <w:sz w:val="30"/>
          <w:szCs w:val="30"/>
        </w:rPr>
        <w:t>Capítulo IV. Estructura empresarial de los diez minerales críticos, 1993–2025</w:t>
      </w:r>
      <w:bookmarkEnd w:id="32"/>
    </w:p>
    <w:p w14:paraId="7E787A13" w14:textId="77777777" w:rsidR="008D7B04" w:rsidRDefault="008D7B04" w:rsidP="008D7B04">
      <w:pPr>
        <w:spacing w:after="160" w:line="348" w:lineRule="auto"/>
        <w:jc w:val="both"/>
      </w:pPr>
      <w:r>
        <w:rPr>
          <w:color w:val="000000"/>
        </w:rPr>
        <w:t xml:space="preserve">Este capítulo documenta, para cada uno de los diez minerales del corpus, la estructura de propiedad y concentración de mercado en el periodo 1993-2025. El capítulo constituye </w:t>
      </w:r>
      <w:r>
        <w:rPr>
          <w:color w:val="000000"/>
        </w:rPr>
        <w:lastRenderedPageBreak/>
        <w:t>el análisis histórico y cualitativo de la dimensión empresarial del objeto de estudio de esta tesis: antes de estimar la relación estadística entre HHI y encadenamientos productivos en el Capítulo VI, es necesario entender con precisión cómo se formó la concentración de mercado en cada mineral, quiénes son los actores dominantes, desde cuándo y por qué mecanismos, y cómo ha respondido cada estructura de mercado a los cambios regulatorios, los ciclos de precios y los movimientos corporativos del periodo.</w:t>
      </w:r>
    </w:p>
    <w:p w14:paraId="6EF01FB7" w14:textId="77777777" w:rsidR="008D7B04" w:rsidRDefault="008D7B04" w:rsidP="008D7B04">
      <w:pPr>
        <w:spacing w:after="160" w:line="348" w:lineRule="auto"/>
        <w:ind w:firstLine="720"/>
        <w:jc w:val="both"/>
      </w:pPr>
      <w:r>
        <w:rPr>
          <w:color w:val="000000"/>
        </w:rPr>
        <w:t>Para cada mineral se describe: (i) contexto y posición de México en el mercado mundial; (ii) origen y consolidación del dominio empresarial a partir del proceso de privatización de 1988-1993; (iii) estructura de la extracción —quiénes producen y con qué porcentaje de mercado—; (iv) estructura de la refinación o procesamiento, que constituye una etapa distinta y frecuentemente más concentrada que la extracción; (v) destino de la producción: qué proporción se consume en el mercado interno y qué proporción se exporta, y hacia qué países; y (vi) impacto de la reforma a la Ley Minera de 2023 sobre la dinámica de inversión y la estructura de mercado de ese mineral específico.</w:t>
      </w:r>
    </w:p>
    <w:p w14:paraId="0CFD9037" w14:textId="77777777" w:rsidR="008D7B04" w:rsidRDefault="008D7B04" w:rsidP="008D7B04">
      <w:pPr>
        <w:spacing w:after="160" w:line="348" w:lineRule="auto"/>
        <w:ind w:firstLine="720"/>
        <w:jc w:val="both"/>
      </w:pPr>
      <w:r>
        <w:rPr>
          <w:color w:val="000000"/>
        </w:rPr>
        <w:t>Dos advertencias metodológicas son indispensables antes de entrar al análisis mineral por mineral. Primera: los porcentajes de participación de mercado citados en extracción y en refinación corresponden a eslabones distintos de la misma cadena de valor y no son directamente comparables entre sí ni con los de otros minerales. Que Industrias Peñoles refine 89% de la plata afinada del país y que Fresnillo plc extraiga 30% de la plata en bruto no son cifras contradictorias: la segunda es subsidiaria de la primera, y buena parte de lo que Fresnillo extrae termina en la refinería de Peñoles. Segunda: los datos de participación de mercado corresponden a distintos años según la disponibilidad de cada fuente, lo que se indica de forma explícita en cada caso.</w:t>
      </w:r>
    </w:p>
    <w:p w14:paraId="769254A3" w14:textId="77777777" w:rsidR="008D7B04" w:rsidRDefault="008D7B04" w:rsidP="008D7B04">
      <w:pPr>
        <w:pStyle w:val="Ttulo2"/>
      </w:pPr>
      <w:bookmarkStart w:id="33" w:name="_Toc234229552"/>
      <w:r>
        <w:rPr>
          <w:sz w:val="25"/>
          <w:szCs w:val="25"/>
        </w:rPr>
        <w:t>IV.1 La lógica de la coextracción: por qué las mismas empresas aparecen en múltiples minerales</w:t>
      </w:r>
      <w:bookmarkEnd w:id="33"/>
    </w:p>
    <w:p w14:paraId="66C5D611" w14:textId="77777777" w:rsidR="008D7B04" w:rsidRDefault="008D7B04" w:rsidP="008D7B04">
      <w:pPr>
        <w:spacing w:after="160" w:line="348" w:lineRule="auto"/>
        <w:ind w:firstLine="720"/>
        <w:jc w:val="both"/>
      </w:pPr>
      <w:r>
        <w:rPr>
          <w:color w:val="000000"/>
        </w:rPr>
        <w:t xml:space="preserve">Antes de analizar cada mineral de forma individual, es necesario señalar un rasgo estructural que da coherencia al conjunto: la mayoría de los yacimientos mexicanos son polimetálicos, es decir, contienen en proporciones variables varios metales entrelazados en la misma roca. En consecuencia, las mismas empresas aparecen una y otra vez en los capítulos de distintos minerales, no porque hayan decidido diversificar hacia mercados independientes, sino porque el mismo mineral arrancado del subsuelo se vende como </w:t>
      </w:r>
      <w:r>
        <w:rPr>
          <w:color w:val="000000"/>
        </w:rPr>
        <w:lastRenderedPageBreak/>
        <w:t>varios productos. El caso más claro es Peñasquito (Zacatecas), operado primero por Goldcorp y desde 2019 por Newmont: esa misma mina produce oro, plata, plomo y zinc simultáneamente, y en 2024 fue identificada por la Cámara Minera de México como la principal mina nacional de zinc al mismo tiempo que figuraba entre los mayores productores de plata y entre los diez mayores de oro del país (Cámara Minera de México, 2025c).</w:t>
      </w:r>
    </w:p>
    <w:p w14:paraId="4EB236E5" w14:textId="77777777" w:rsidR="008D7B04" w:rsidRDefault="008D7B04" w:rsidP="008D7B04">
      <w:pPr>
        <w:spacing w:after="160" w:line="348" w:lineRule="auto"/>
        <w:ind w:firstLine="720"/>
        <w:jc w:val="both"/>
      </w:pPr>
      <w:r>
        <w:rPr>
          <w:color w:val="000000"/>
        </w:rPr>
        <w:t>Tres familias de coextracción son reconocibles en el corpus de esta tesis. La primera es la familia plata-plomo-zinc-oro, la asociación geológica más común: yacimientos epitermales y de reemplazamiento en los que la plata viaja casi siempre acompañada de plomo y zinc, y frecuentemente de oro. Por esa razón, Peñoles, Fresnillo plc, Grupo México, Newmont y Minera Frisco aparecen repetidos en los capítulos de plata, zinc y plomo: no son negocios separados sino, en gran medida, el mismo mineral polimetálico vendido como tres o cuatro productos distintos. La segunda familia es la del cobre-molibdeno-oro-plata: los grandes pórfidos cupríferos de Sonora (La Caridad y Buenavista del Cobre, ambos de Grupo México) arrastran molibdeno como subproducto sistemático, más oro y plata en cantidades menores. La tercera es la de los minerales no metálicos que comparten provincias geológicas con minerales base —fluorita, barita y sílice en las secuencias sedimentarias del norte de México— aunque casi siempre en manos de empresas distintas a las de la gran minería metálica (Servicio Geológico Mexicano, 2024).</w:t>
      </w:r>
    </w:p>
    <w:p w14:paraId="25F0DE89" w14:textId="77777777" w:rsidR="008D7B04" w:rsidRDefault="008D7B04" w:rsidP="008D7B04">
      <w:pPr>
        <w:pStyle w:val="Ttulo1"/>
        <w:pageBreakBefore/>
        <w:pBdr>
          <w:bottom w:val="single" w:sz="8" w:space="4" w:color="1F3B5C"/>
        </w:pBdr>
      </w:pPr>
      <w:bookmarkStart w:id="34" w:name="_Toc234229553"/>
      <w:r>
        <w:rPr>
          <w:sz w:val="30"/>
          <w:szCs w:val="30"/>
        </w:rPr>
        <w:lastRenderedPageBreak/>
        <w:t>IV.2 Barita</w:t>
      </w:r>
      <w:bookmarkEnd w:id="34"/>
    </w:p>
    <w:p w14:paraId="24960477" w14:textId="77777777" w:rsidR="008D7B04" w:rsidRDefault="008D7B04" w:rsidP="008D7B04">
      <w:pPr>
        <w:pStyle w:val="Ttulo2"/>
      </w:pPr>
      <w:bookmarkStart w:id="35" w:name="_Toc234229554"/>
      <w:r>
        <w:rPr>
          <w:sz w:val="25"/>
          <w:szCs w:val="25"/>
        </w:rPr>
        <w:t>IV.2.1 Contexto: un mercado estructuralmente cautivo de la industria petrolera</w:t>
      </w:r>
      <w:bookmarkEnd w:id="35"/>
    </w:p>
    <w:p w14:paraId="2A3602C7" w14:textId="77777777" w:rsidR="008D7B04" w:rsidRDefault="008D7B04" w:rsidP="008D7B04">
      <w:pPr>
        <w:spacing w:after="160" w:line="348" w:lineRule="auto"/>
        <w:ind w:firstLine="720"/>
        <w:jc w:val="both"/>
      </w:pPr>
      <w:r>
        <w:rPr>
          <w:color w:val="000000"/>
        </w:rPr>
        <w:t>La barita —sulfato de bario natural (BaSO₄)— es un mineral industrial cuyo 95% de la producción nacional se destina a la formulación de lodos de perforación de pozos petroleros, donde su alta densidad (peso específico de entre 4.3 y 4.6 g/cc) es el atributo técnico clave. El 5% restante se destina a pinturas automotrices y blindaje radiológico. México se ubica en séptimo lugar mundial en producción de barita según cifras del Servicio Geológico Mexicano de 2020. Esta dependencia de un solo comprador doméstico —la industria petrolera— hace de la barita el mineral del corpus más directamente ligado al ciclo de inversión en hidrocarburos, tanto de PEMEX como de los operadores privados que ingresaron al sector tras la reforma energética de 2013-2014 (Secretaría de Economía, 2021a).</w:t>
      </w:r>
    </w:p>
    <w:p w14:paraId="751552F3" w14:textId="77777777" w:rsidR="008D7B04" w:rsidRDefault="008D7B04" w:rsidP="008D7B04">
      <w:pPr>
        <w:pStyle w:val="Ttulo2"/>
      </w:pPr>
      <w:bookmarkStart w:id="36" w:name="_Toc234229555"/>
      <w:r>
        <w:rPr>
          <w:sz w:val="25"/>
          <w:szCs w:val="25"/>
        </w:rPr>
        <w:t>IV.2.2 Estructura de extracción y procesamiento: oligopolio sin desagregación por empresa</w:t>
      </w:r>
      <w:bookmarkEnd w:id="36"/>
    </w:p>
    <w:p w14:paraId="58B618F5" w14:textId="77777777" w:rsidR="00B94290" w:rsidRPr="00B94290" w:rsidRDefault="008D7B04" w:rsidP="00B94290">
      <w:pPr>
        <w:spacing w:after="160" w:line="348" w:lineRule="auto"/>
        <w:ind w:firstLine="720"/>
        <w:jc w:val="both"/>
        <w:rPr>
          <w:color w:val="000000"/>
        </w:rPr>
      </w:pPr>
      <w:r>
        <w:rPr>
          <w:color w:val="000000"/>
        </w:rPr>
        <w:t>La Secretaría de Economía documentó desde 2012 que el mercado de barita nacional cuenta con cuatro empresas productoras y prácticamente un solo consumidor, la industria petrolera. A diferencia de los metales analizados más adelante, no existe en fuentes oficiales una cifra de participación de mercado desagregada por empresa individual para la barita —situación común a los minerales no metálicos de menor escala en México—. La estructura de cuatro operadores se ha mantenido estable sin fusiones o consolidaciones documentadas en el periodo 1993-2025 (Secretaría de Economía, 2014, 2021a). La barita no requiere un proceso de refinación metalúrgica equivalente al de los metales: su beneficio consiste en trituración, molienda y micronización hasta alcanzar los parámetros técnicos exigidos por la industria de lodos de perforación. Por tanto, las mismas cuatro empresas concentran tanto la extracción como el procesamiento del mineral; no existe una etapa de refinación separada dominada por un actor distinto.</w:t>
      </w:r>
      <w:r w:rsidR="00B94290">
        <w:rPr>
          <w:color w:val="000000"/>
        </w:rPr>
        <w:t xml:space="preserve"> </w:t>
      </w:r>
      <w:r w:rsidR="00B94290" w:rsidRPr="00B94290">
        <w:rPr>
          <w:color w:val="000000"/>
        </w:rPr>
        <w:t xml:space="preserve">Los Informes Anuales de la Cámara Minera de México (2022–2025) sí permiten, no obstante, identificar a Baramin como el mayor productor nacional y estimar su participación, que descendió de forma sostenida —de aproximadamente 82% en 2021 a 24.6% en 2024— </w:t>
      </w:r>
      <w:r w:rsidR="00B94290" w:rsidRPr="00B94290">
        <w:rPr>
          <w:color w:val="000000"/>
        </w:rPr>
        <w:lastRenderedPageBreak/>
        <w:t>por el agotamiento de su mina "Grecia" en Nuevo León, lo que introduce una dinámica de desconcentración que el índice de mercado recoge.</w:t>
      </w:r>
    </w:p>
    <w:p w14:paraId="26FCF3B6" w14:textId="77777777" w:rsidR="008D7B04" w:rsidRDefault="008D7B04" w:rsidP="008D7B04">
      <w:pPr>
        <w:pStyle w:val="Ttulo2"/>
      </w:pPr>
      <w:bookmarkStart w:id="37" w:name="_Toc234229556"/>
      <w:r>
        <w:rPr>
          <w:sz w:val="25"/>
          <w:szCs w:val="25"/>
        </w:rPr>
        <w:t>IV.2.3 Concentración geográfica: variable y no coincidente con la empresarial</w:t>
      </w:r>
      <w:bookmarkEnd w:id="37"/>
    </w:p>
    <w:p w14:paraId="511E5619" w14:textId="77777777" w:rsidR="008D7B04" w:rsidRDefault="008D7B04" w:rsidP="00135564">
      <w:pPr>
        <w:spacing w:after="160" w:line="348" w:lineRule="auto"/>
        <w:jc w:val="both"/>
        <w:rPr>
          <w:color w:val="000000"/>
        </w:rPr>
      </w:pPr>
      <w:r>
        <w:rPr>
          <w:color w:val="000000"/>
        </w:rPr>
        <w:t>La concentración geográfica de la barita es muy marcada pero inestable en el tiempo, condicionada por el descubrimiento y agotamiento de yacimientos en distintos estados. Nuevo León (región de Galeana) se consolidó como el productor dominante hacia el final de la década de 2010, con 89% de la producción nacional en 2019. Coahuila experimentó una caída dramática: de 16.4% en 2016 a apenas 5% en 2017. Sonora ha mantenido una participación secundaria pero relevante (entre 11% y 19% según el año), y Chihuahua una contribución marginal de 1% a 2% (Secretaría de Economía, 2021a).</w:t>
      </w:r>
    </w:p>
    <w:p w14:paraId="412A81E2" w14:textId="431EF13E" w:rsidR="00135564" w:rsidRDefault="00135564" w:rsidP="00135564">
      <w:pPr>
        <w:spacing w:after="160" w:line="348" w:lineRule="auto"/>
        <w:ind w:firstLine="709"/>
        <w:jc w:val="both"/>
      </w:pPr>
      <w:r w:rsidRPr="00135564">
        <w:t>Los Informes Anuales de la Cámara Minera de México (2022–2025) sí permiten, no obstante, identificar a Baramin como el mayor productor nacional y estimar su participación, que descendió de forma sostenida —de aproximadamente 82% en 2021 a 24.6% en 2024— por el agotamiento de su mina "Grecia" en Nuevo León, lo que introduce una dinámica de desconcentración que el índice de mercado recoge.</w:t>
      </w:r>
    </w:p>
    <w:p w14:paraId="13D9D3C7" w14:textId="77777777" w:rsidR="008D7B04" w:rsidRDefault="008D7B04" w:rsidP="008D7B04">
      <w:pPr>
        <w:pStyle w:val="Ttulo2"/>
      </w:pPr>
      <w:bookmarkStart w:id="38" w:name="_Toc234229557"/>
      <w:r>
        <w:rPr>
          <w:sz w:val="25"/>
          <w:szCs w:val="25"/>
        </w:rPr>
        <w:t>IV.2.4 Destino de la producción: mercado interno dominante, exportación marginal hacia Estados Unidos</w:t>
      </w:r>
      <w:bookmarkEnd w:id="38"/>
    </w:p>
    <w:p w14:paraId="269E32D7" w14:textId="77777777" w:rsidR="008D7B04" w:rsidRDefault="008D7B04" w:rsidP="008D7B04">
      <w:pPr>
        <w:spacing w:after="160" w:line="348" w:lineRule="auto"/>
        <w:ind w:firstLine="720"/>
        <w:jc w:val="both"/>
      </w:pPr>
      <w:r>
        <w:rPr>
          <w:color w:val="000000"/>
        </w:rPr>
        <w:t>El 95% de la producción de barita abastece a la industria petrolera nacional. Del remanente exportable, Estados Unidos ha sido el destino dominante de forma sostenida: 78.3% de las exportaciones en 2013, con Colombia como segundo destino (12.6%) y Venezuela como tercero (8.4%). Las importaciones mexicanas de barita —que complementan el abasto interno en años de alta actividad petrolera— provienen históricamente de Marruecos, India y China (Secretaría de Economía, 2014).</w:t>
      </w:r>
    </w:p>
    <w:p w14:paraId="1E1128C4" w14:textId="77777777" w:rsidR="008D7B04" w:rsidRDefault="008D7B04" w:rsidP="008D7B04">
      <w:pPr>
        <w:pStyle w:val="Ttulo2"/>
      </w:pPr>
      <w:bookmarkStart w:id="39" w:name="_Toc234229558"/>
      <w:r>
        <w:rPr>
          <w:sz w:val="25"/>
          <w:szCs w:val="25"/>
        </w:rPr>
        <w:t>IV.2.5 Volatilidad ligada al ciclo petrolero y efecto de la reforma de 2023</w:t>
      </w:r>
      <w:bookmarkEnd w:id="39"/>
    </w:p>
    <w:p w14:paraId="1355A5B2" w14:textId="77777777" w:rsidR="008D7B04" w:rsidRDefault="008D7B04" w:rsidP="008D7B04">
      <w:pPr>
        <w:spacing w:after="160" w:line="348" w:lineRule="auto"/>
        <w:ind w:firstLine="720"/>
        <w:jc w:val="both"/>
      </w:pPr>
      <w:r>
        <w:rPr>
          <w:color w:val="000000"/>
        </w:rPr>
        <w:t xml:space="preserve">La producción de barita ha mostrado oscilaciones de gran amplitud: de 134,000 toneladas en 2011 a 343,000 toneladas en 2013 —un incremento de 145.4% en dos años—, seguido de una caída en 2016-2017 y una recuperación posterior. En 2024, la producción de barita retrocedió 17.5% respecto de 2023 (Aliphat Rodríguez et al., 2025). La reforma de 2023 afecta a la barita de forma indirecta: la exclusividad del Servicio </w:t>
      </w:r>
      <w:r>
        <w:rPr>
          <w:color w:val="000000"/>
        </w:rPr>
        <w:lastRenderedPageBreak/>
        <w:t>Geológico Mexicano sobre la exploración de nuevas zonas limita la capacidad de las cuatro empresas bariteras de identificar y desarrollar nuevos yacimientos por cuenta propia, y el litigio constitucional sobre la reforma paraliza el otorgamiento de nuevas concesiones en todo el sector, incluidos los minerales no metálicos de menor escala (Secretaría de Economía, 2024a; Minería en Línea, 2026).</w:t>
      </w:r>
    </w:p>
    <w:p w14:paraId="57C263DF" w14:textId="77777777" w:rsidR="008D7B04" w:rsidRDefault="008D7B04" w:rsidP="008D7B04">
      <w:pPr>
        <w:spacing w:before="50" w:after="180"/>
      </w:pPr>
      <w:r>
        <w:rPr>
          <w:i/>
          <w:iCs/>
          <w:color w:val="666666"/>
          <w:sz w:val="17"/>
          <w:szCs w:val="17"/>
        </w:rPr>
        <w:t>Fuentes: Secretaría de Economía, Perfiles de Mercado de la Barita (2012, 2014, 2021a); Aliphat Rodríguez et al. (2025); Servicio Geológico Mexicano, Anuario Estadístico de la Minería Mexicana (2024); Minería en Línea (2026).</w:t>
      </w:r>
    </w:p>
    <w:p w14:paraId="577E436B" w14:textId="77777777" w:rsidR="008D7B04" w:rsidRDefault="008D7B04" w:rsidP="008D7B04">
      <w:pPr>
        <w:pStyle w:val="Ttulo1"/>
        <w:pageBreakBefore/>
        <w:pBdr>
          <w:bottom w:val="single" w:sz="8" w:space="4" w:color="1F3B5C"/>
        </w:pBdr>
      </w:pPr>
      <w:bookmarkStart w:id="40" w:name="_Toc234229559"/>
      <w:r>
        <w:rPr>
          <w:sz w:val="30"/>
          <w:szCs w:val="30"/>
        </w:rPr>
        <w:lastRenderedPageBreak/>
        <w:t>IV.3 Cobre</w:t>
      </w:r>
      <w:bookmarkEnd w:id="40"/>
    </w:p>
    <w:p w14:paraId="21ED3ECF" w14:textId="77777777" w:rsidR="008D7B04" w:rsidRDefault="008D7B04" w:rsidP="008D7B04">
      <w:pPr>
        <w:pStyle w:val="Ttulo2"/>
      </w:pPr>
      <w:bookmarkStart w:id="41" w:name="_Toc234229560"/>
      <w:r>
        <w:rPr>
          <w:sz w:val="25"/>
          <w:szCs w:val="25"/>
        </w:rPr>
        <w:t>IV.3.1 Contexto y posición mundial</w:t>
      </w:r>
      <w:bookmarkEnd w:id="41"/>
    </w:p>
    <w:p w14:paraId="258F43FF" w14:textId="77777777" w:rsidR="008D7B04" w:rsidRDefault="008D7B04" w:rsidP="008D7B04">
      <w:pPr>
        <w:spacing w:after="160" w:line="348" w:lineRule="auto"/>
        <w:ind w:firstLine="720"/>
        <w:jc w:val="both"/>
      </w:pPr>
      <w:r>
        <w:rPr>
          <w:color w:val="000000"/>
        </w:rPr>
        <w:t>México se ubica de manera consistente entre los diez principales productores mundiales de cobre —en 2025 ocupaba el octavo o noveno lugar según la fuente—, con una producción nacional concentrada de forma extraordinaria en el estado de Sonora: en 2023, Sonora aportó 80.2% de la producción nacional, y dentro de Sonora los municipios de Cananea y Nacozari concentraron 94% de la producción estatal. La producción minero-metalúrgica nacional de cobre fue de 699,118 toneladas en 2023 y de 717,332 toneladas en 2024, un incremento de 2.6% según cifras del INEGI. El Compendio Estadístico de CAMIMEX para 2023 reporta 508,804 toneladas bajo una metodología distinta, ilustrando la heterogeneidad de mediciones disponibles para el mismo mineral (Servicio Geológico Mexicano, 2024; Cámara Minera de México, 2024).</w:t>
      </w:r>
    </w:p>
    <w:p w14:paraId="04305B57" w14:textId="77777777" w:rsidR="008D7B04" w:rsidRDefault="008D7B04" w:rsidP="008D7B04">
      <w:pPr>
        <w:pStyle w:val="Ttulo2"/>
      </w:pPr>
      <w:bookmarkStart w:id="42" w:name="_Toc234229561"/>
      <w:r>
        <w:rPr>
          <w:sz w:val="25"/>
          <w:szCs w:val="25"/>
        </w:rPr>
        <w:t>IV.3.2 La transacción fundacional: privatización de Cananea (1990)</w:t>
      </w:r>
      <w:bookmarkEnd w:id="42"/>
    </w:p>
    <w:p w14:paraId="4E2CD9F1" w14:textId="77777777" w:rsidR="008D7B04" w:rsidRDefault="008D7B04" w:rsidP="008D7B04">
      <w:pPr>
        <w:spacing w:after="160" w:line="348" w:lineRule="auto"/>
        <w:ind w:firstLine="720"/>
        <w:jc w:val="both"/>
      </w:pPr>
      <w:r>
        <w:rPr>
          <w:color w:val="000000"/>
        </w:rPr>
        <w:t>El mercado del cobre mexicano es el que exhibe el patrón de concentración más nítido y mejor documentado de los diez minerales analizados, en parte porque es posible reconstruir el precio exacto de la transacción que lo configuró. En 1989, el gobierno federal canceló dos licitaciones en las que Protexa Monterrey e Industrias Peñoles habían ofrecido 975 y 650 millones de dólares respectivamente por la Compañía Minera de Cananea, y terminó adjudicando la empresa a Grupo México —entonces encabezado por Jorge Larrea— por apenas 175 millones de dólares, 3.7 veces menos que la oferta de Protexa, obteniendo además la cancelación del contrato colectivo de trabajo a cambio de ceder 5% de las acciones. Con esta operación, formalizada en 1990, Grupo México consolidó un dominio prácticamente monopólico sobre la minería de cobre en Sonora. Al sumar La Caridad, incorporada también durante los años noventa, Grupo México llegó a producir 87.5% del cobre nacional en el año 2000, posicionándose entre los tres mayores productores mundiales (De la Garza Pedraza et al., 2021).</w:t>
      </w:r>
    </w:p>
    <w:p w14:paraId="29B1DB61" w14:textId="77777777" w:rsidR="008D7B04" w:rsidRDefault="008D7B04" w:rsidP="008D7B04">
      <w:pPr>
        <w:pStyle w:val="Ttulo2"/>
      </w:pPr>
      <w:bookmarkStart w:id="43" w:name="_Toc234229562"/>
      <w:r>
        <w:rPr>
          <w:sz w:val="25"/>
          <w:szCs w:val="25"/>
        </w:rPr>
        <w:t>IV.3.3 Internacionalización: adquisición de ASARCO y Southern Peru Copper (2004)</w:t>
      </w:r>
      <w:bookmarkEnd w:id="43"/>
    </w:p>
    <w:p w14:paraId="2739D023" w14:textId="77777777" w:rsidR="008D7B04" w:rsidRDefault="008D7B04" w:rsidP="008D7B04">
      <w:pPr>
        <w:spacing w:after="160" w:line="348" w:lineRule="auto"/>
        <w:ind w:firstLine="720"/>
        <w:jc w:val="both"/>
      </w:pPr>
      <w:r>
        <w:rPr>
          <w:color w:val="000000"/>
        </w:rPr>
        <w:t xml:space="preserve">La adquisición de ASARCO (Estados Unidos) y su participación mayoritaria en Southern Peru Copper Corporation (SPCC, Perú) en 2004 transformó a Grupo México de </w:t>
      </w:r>
      <w:r>
        <w:rPr>
          <w:color w:val="000000"/>
        </w:rPr>
        <w:lastRenderedPageBreak/>
        <w:t>líder nacional a actor cuprífero de escala global: la empresa pasó a ser la primera en reservas de cobre del mundo y el cuarto productor mundial de cobre y plata. Desde entonces, las operaciones mexicanas de cobre —Buenavista del Cobre (la antigua Cananea) y La Caridad— forman parte de un portafolio integrado verticalmente (minería, fundición y refinación) que opera bajo la subsidiaria Americas Mining Corporation, con presencia en México, Perú, Estados Unidos y proyectos de exploración en Chile, Argentina, Ecuador y España (De la Garza Pedraza et al., 2021).</w:t>
      </w:r>
    </w:p>
    <w:p w14:paraId="6FF29585" w14:textId="77777777" w:rsidR="008D7B04" w:rsidRDefault="008D7B04" w:rsidP="008D7B04">
      <w:pPr>
        <w:pStyle w:val="Ttulo2"/>
      </w:pPr>
      <w:bookmarkStart w:id="44" w:name="_Toc234229563"/>
      <w:r>
        <w:rPr>
          <w:sz w:val="25"/>
          <w:szCs w:val="25"/>
        </w:rPr>
        <w:t>IV.3.4 Extracción: participación de mercado de Grupo México, 2000-2024</w:t>
      </w:r>
      <w:bookmarkEnd w:id="44"/>
    </w:p>
    <w:p w14:paraId="485F021B" w14:textId="77777777" w:rsidR="008D7B04" w:rsidRDefault="008D7B04" w:rsidP="008D7B04">
      <w:pPr>
        <w:spacing w:after="160" w:line="348" w:lineRule="auto"/>
        <w:ind w:firstLine="720"/>
        <w:jc w:val="both"/>
      </w:pPr>
      <w:r>
        <w:rPr>
          <w:color w:val="000000"/>
        </w:rPr>
        <w:t>La serie de participación de mercado de Grupo México en la extracción nacional de cobre es la más documentada del corpus: 87.5% estimado para el año 2000 (literatura académica), 85% estimado para 2018 (De la Garza Pedraza et al., 2021), 73.3% en 2022 (Expert Market Research, 2024) y 78% en 2024 (Cámara Minera de México, 2024). Los competidores secundarios son Capstone Copper (empresa canadiense con operaciones en México), Santa María de la Paz y Anexas, Nemisa e Industrias Peñoles —cuya producción de cobre es subproducto de minas polimetálicas de zinc-plomo—. La variación en el porcentaje de Grupo México entre 2022 y 2024 refleja tanto diferencias metodológicas entre fuentes como la entrada de nuevos proyectos de Capstone Copper.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8D7B04" w14:paraId="7DDDA5F8" w14:textId="77777777" w:rsidTr="003F7386">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FE0AA22" w14:textId="77777777" w:rsidR="008D7B04" w:rsidRDefault="008D7B04" w:rsidP="003F7386">
            <w:r>
              <w:rPr>
                <w:b/>
                <w:bCs/>
                <w:color w:val="FFFFFF"/>
                <w:sz w:val="18"/>
                <w:szCs w:val="18"/>
              </w:rPr>
              <w:t>Año</w:t>
            </w:r>
          </w:p>
        </w:tc>
        <w:tc>
          <w:tcPr>
            <w:tcW w:w="38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8EBE2DE" w14:textId="77777777" w:rsidR="008D7B04" w:rsidRDefault="008D7B04" w:rsidP="003F7386">
            <w:r>
              <w:rPr>
                <w:b/>
                <w:bCs/>
                <w:color w:val="FFFFFF"/>
                <w:sz w:val="18"/>
                <w:szCs w:val="18"/>
              </w:rPr>
              <w:t>Participación de Grupo México en extracción</w:t>
            </w:r>
          </w:p>
        </w:tc>
        <w:tc>
          <w:tcPr>
            <w:tcW w:w="4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C6B5D0E" w14:textId="77777777" w:rsidR="008D7B04" w:rsidRDefault="008D7B04" w:rsidP="003F7386">
            <w:r>
              <w:rPr>
                <w:b/>
                <w:bCs/>
                <w:color w:val="FFFFFF"/>
                <w:sz w:val="18"/>
                <w:szCs w:val="18"/>
              </w:rPr>
              <w:t>Fuente</w:t>
            </w:r>
          </w:p>
        </w:tc>
      </w:tr>
      <w:tr w:rsidR="008D7B04" w14:paraId="1D4700F7"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B350AAA" w14:textId="77777777" w:rsidR="008D7B04" w:rsidRDefault="008D7B04" w:rsidP="003F7386">
            <w:pPr>
              <w:spacing w:line="248" w:lineRule="auto"/>
            </w:pPr>
            <w:r>
              <w:rPr>
                <w:sz w:val="18"/>
                <w:szCs w:val="18"/>
              </w:rPr>
              <w:t>2000</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CE6E110" w14:textId="77777777" w:rsidR="008D7B04" w:rsidRDefault="008D7B04" w:rsidP="003F7386">
            <w:pPr>
              <w:spacing w:line="248" w:lineRule="auto"/>
            </w:pPr>
            <w:r>
              <w:rPr>
                <w:sz w:val="18"/>
                <w:szCs w:val="18"/>
              </w:rPr>
              <w:t>≈87.5%</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05523B1" w14:textId="77777777" w:rsidR="008D7B04" w:rsidRDefault="008D7B04" w:rsidP="003F7386">
            <w:pPr>
              <w:spacing w:line="248" w:lineRule="auto"/>
            </w:pPr>
            <w:r>
              <w:rPr>
                <w:sz w:val="18"/>
                <w:szCs w:val="18"/>
              </w:rPr>
              <w:t>De la Garza Pedraza et al. (2021)</w:t>
            </w:r>
          </w:p>
        </w:tc>
      </w:tr>
      <w:tr w:rsidR="008D7B04" w14:paraId="4E34A9DD"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7FCB808" w14:textId="77777777" w:rsidR="008D7B04" w:rsidRDefault="008D7B04" w:rsidP="003F7386">
            <w:pPr>
              <w:spacing w:line="248" w:lineRule="auto"/>
            </w:pPr>
            <w:r>
              <w:rPr>
                <w:sz w:val="18"/>
                <w:szCs w:val="18"/>
              </w:rPr>
              <w:t>2018</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52CDC81" w14:textId="77777777" w:rsidR="008D7B04" w:rsidRDefault="008D7B04" w:rsidP="003F7386">
            <w:pPr>
              <w:spacing w:line="248" w:lineRule="auto"/>
            </w:pPr>
            <w:r>
              <w:rPr>
                <w:sz w:val="18"/>
                <w:szCs w:val="18"/>
              </w:rPr>
              <w:t>≈85%</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5141348" w14:textId="77777777" w:rsidR="008D7B04" w:rsidRDefault="008D7B04" w:rsidP="003F7386">
            <w:pPr>
              <w:spacing w:line="248" w:lineRule="auto"/>
            </w:pPr>
            <w:r>
              <w:rPr>
                <w:sz w:val="18"/>
                <w:szCs w:val="18"/>
              </w:rPr>
              <w:t>De la Garza Pedraza et al. (2021)</w:t>
            </w:r>
          </w:p>
        </w:tc>
      </w:tr>
      <w:tr w:rsidR="008D7B04" w14:paraId="0F60FDE9"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5657506" w14:textId="77777777" w:rsidR="008D7B04" w:rsidRDefault="008D7B04" w:rsidP="003F7386">
            <w:pPr>
              <w:spacing w:line="248" w:lineRule="auto"/>
            </w:pPr>
            <w:r>
              <w:rPr>
                <w:sz w:val="18"/>
                <w:szCs w:val="18"/>
              </w:rPr>
              <w:t>2022</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0475D0B" w14:textId="77777777" w:rsidR="008D7B04" w:rsidRDefault="008D7B04" w:rsidP="003F7386">
            <w:pPr>
              <w:spacing w:line="248" w:lineRule="auto"/>
            </w:pPr>
            <w:r>
              <w:rPr>
                <w:sz w:val="18"/>
                <w:szCs w:val="18"/>
              </w:rPr>
              <w:t>73.3%</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CC93E1F" w14:textId="77777777" w:rsidR="008D7B04" w:rsidRDefault="008D7B04" w:rsidP="003F7386">
            <w:pPr>
              <w:spacing w:line="248" w:lineRule="auto"/>
            </w:pPr>
            <w:r>
              <w:rPr>
                <w:sz w:val="18"/>
                <w:szCs w:val="18"/>
              </w:rPr>
              <w:t>Expert Market Research (2024)</w:t>
            </w:r>
          </w:p>
        </w:tc>
      </w:tr>
      <w:tr w:rsidR="008D7B04" w14:paraId="5B862B80"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6F99489" w14:textId="77777777" w:rsidR="008D7B04" w:rsidRDefault="008D7B04" w:rsidP="003F7386">
            <w:pPr>
              <w:spacing w:line="248" w:lineRule="auto"/>
            </w:pPr>
            <w:r>
              <w:rPr>
                <w:sz w:val="18"/>
                <w:szCs w:val="18"/>
              </w:rPr>
              <w:t>2024</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FC40AC8" w14:textId="77777777" w:rsidR="008D7B04" w:rsidRDefault="008D7B04" w:rsidP="003F7386">
            <w:pPr>
              <w:spacing w:line="248" w:lineRule="auto"/>
            </w:pPr>
            <w:r>
              <w:rPr>
                <w:sz w:val="18"/>
                <w:szCs w:val="18"/>
              </w:rPr>
              <w:t>78%</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EDE91A5" w14:textId="77777777" w:rsidR="008D7B04" w:rsidRDefault="008D7B04" w:rsidP="003F7386">
            <w:pPr>
              <w:spacing w:line="248" w:lineRule="auto"/>
            </w:pPr>
            <w:r>
              <w:rPr>
                <w:sz w:val="18"/>
                <w:szCs w:val="18"/>
              </w:rPr>
              <w:t>Cámara Minera de México (2024)</w:t>
            </w:r>
          </w:p>
        </w:tc>
      </w:tr>
    </w:tbl>
    <w:p w14:paraId="453FAF0F" w14:textId="77777777" w:rsidR="008D7B04" w:rsidRDefault="008D7B04" w:rsidP="008D7B04">
      <w:pPr>
        <w:pStyle w:val="Ttulo2"/>
      </w:pPr>
      <w:bookmarkStart w:id="45" w:name="_Toc234229564"/>
      <w:r>
        <w:rPr>
          <w:sz w:val="25"/>
          <w:szCs w:val="25"/>
        </w:rPr>
        <w:t>IV.3.5 Refinación: monopolio de facto de Grupo México</w:t>
      </w:r>
      <w:bookmarkEnd w:id="45"/>
    </w:p>
    <w:p w14:paraId="372B98F5" w14:textId="77777777" w:rsidR="008D7B04" w:rsidRDefault="008D7B04" w:rsidP="008D7B04">
      <w:pPr>
        <w:spacing w:after="160" w:line="348" w:lineRule="auto"/>
        <w:ind w:firstLine="720"/>
        <w:jc w:val="both"/>
      </w:pPr>
      <w:r>
        <w:rPr>
          <w:color w:val="000000"/>
        </w:rPr>
        <w:t>En la etapa de refinación, Grupo México mantiene una posición de monopolio de facto: es el único operador mexicano con fundición y refinería electrolítica de cobre integradas dentro del Complejo Metalúrgico de Sonora, lo que en la práctica convierte la refinación de cobre primario en un negocio exclusivo del grupo dentro del territorio nacional. Las operaciones de cobre de las empresas secundarias (Capstone, Peñoles) se procesan en fundiciones fuera de México o se exportan como concentrado sin refinar.</w:t>
      </w:r>
    </w:p>
    <w:p w14:paraId="1E97C5EC" w14:textId="77777777" w:rsidR="008D7B04" w:rsidRDefault="008D7B04" w:rsidP="008D7B04">
      <w:pPr>
        <w:pStyle w:val="Ttulo2"/>
      </w:pPr>
      <w:bookmarkStart w:id="46" w:name="_Toc234229565"/>
      <w:r>
        <w:rPr>
          <w:sz w:val="25"/>
          <w:szCs w:val="25"/>
        </w:rPr>
        <w:lastRenderedPageBreak/>
        <w:t>IV.3.6 Destino de la producción: exportación de concentrado con China como principal comprador</w:t>
      </w:r>
      <w:bookmarkEnd w:id="46"/>
    </w:p>
    <w:p w14:paraId="3F90BD2F" w14:textId="77777777" w:rsidR="008D7B04" w:rsidRDefault="008D7B04" w:rsidP="008D7B04">
      <w:pPr>
        <w:spacing w:after="160" w:line="348" w:lineRule="auto"/>
        <w:ind w:firstLine="720"/>
        <w:jc w:val="both"/>
      </w:pPr>
      <w:r>
        <w:rPr>
          <w:color w:val="000000"/>
        </w:rPr>
        <w:t>El cobre mexicano se exporta mayoritariamente como concentrado o mineral sin refinar. En 2024, China fue el principal destino con 2,315 millones de dólares, seguida de Japón (532 millones), Filipinas (129 millones), Alemania (78.3 millones) y Taiwán (73 millones). El intercambio comercial total del rubro alcanzó 6,203 millones de dólares ese año, con Sonora como la entidad federativa exportadora dominante (3,147 millones de dólares). El cobre que se queda en el país abastece a industrias manufactureras nacionales —automotriz, eléctrica, construcción— a través de los encadenamientos productivos que la investigación busca cuantificar en el Capítulo V (Secretaría de Economía / DataMéxico, 2025a; Aliphat Rodríguez et al., 2025).</w:t>
      </w:r>
    </w:p>
    <w:p w14:paraId="2EB694BC" w14:textId="77777777" w:rsidR="008D7B04" w:rsidRDefault="008D7B04" w:rsidP="008D7B04">
      <w:pPr>
        <w:pStyle w:val="Ttulo2"/>
      </w:pPr>
      <w:bookmarkStart w:id="47" w:name="_Toc234229566"/>
      <w:r>
        <w:rPr>
          <w:sz w:val="25"/>
          <w:szCs w:val="25"/>
        </w:rPr>
        <w:t>IV.3.7 Impacto de la reforma de 2023: protección de corto plazo, freno a la expansión futura</w:t>
      </w:r>
      <w:bookmarkEnd w:id="47"/>
    </w:p>
    <w:p w14:paraId="2D74AFEA" w14:textId="77777777" w:rsidR="008D7B04" w:rsidRDefault="008D7B04" w:rsidP="008D7B04">
      <w:pPr>
        <w:spacing w:after="160" w:line="348" w:lineRule="auto"/>
        <w:ind w:firstLine="720"/>
        <w:jc w:val="both"/>
      </w:pPr>
      <w:r>
        <w:rPr>
          <w:color w:val="000000"/>
        </w:rPr>
        <w:t>Para Grupo México, el análisis de sus concesiones muestra vigencias dispares: La Caridad Número 1, 2, 3, 4 y 6 vencen en enero de 2029, mientras que La Caridad Número 8 tiene vigencia hasta 2062. Esta distribución blinda la operación productiva actual en el corto y mediano plazo, pero el efecto real de la reforma recae sobre los proyectos de expansión que el grupo no ha podido tramitar desde 2023. La consultora Moody's advirtió en 2023 que las limitaciones en la duración de las concesiones podrían dificultar el crecimiento del sector. En 2024, la exploración minera cayó 11.5% y la inversión extranjera directa en el sector retrocedió 56.3% en 2025, en un contexto de litigio constitucional sin resolver ante la Suprema Corte de Justicia de la Nación. Grupo México reportó en 2024 una producción consolidada de cobre de 1,086,052 toneladas (incluyendo Perú y Estados Unidos), un aumento de 5.5% respecto de 2023, lo que ilustra que el impacto de la reforma sobre las operaciones existentes es marginal, mientras que el freno opera sobre el futuro (Minería en Línea, 2026; Secretaría de Economía, 2024a).</w:t>
      </w:r>
    </w:p>
    <w:p w14:paraId="708D5FA6" w14:textId="77777777" w:rsidR="008D7B04" w:rsidRDefault="008D7B04" w:rsidP="008D7B04">
      <w:pPr>
        <w:spacing w:before="50" w:after="180"/>
      </w:pPr>
      <w:r>
        <w:rPr>
          <w:i/>
          <w:iCs/>
          <w:color w:val="666666"/>
          <w:sz w:val="17"/>
          <w:szCs w:val="17"/>
        </w:rPr>
        <w:t>Fuentes: De la Garza Pedraza et al. (2021); Cámara Minera de México (2024); Expert Market Research (2024); Secretaría de Economía / DataMéxico (2025a); Aliphat Rodríguez et al. (2025); Minería en Línea (2026).</w:t>
      </w:r>
    </w:p>
    <w:p w14:paraId="7A9B539E" w14:textId="77777777" w:rsidR="008D7B04" w:rsidRDefault="008D7B04" w:rsidP="008D7B04">
      <w:pPr>
        <w:pStyle w:val="Ttulo1"/>
        <w:pageBreakBefore/>
        <w:pBdr>
          <w:bottom w:val="single" w:sz="8" w:space="4" w:color="1F3B5C"/>
        </w:pBdr>
      </w:pPr>
      <w:bookmarkStart w:id="48" w:name="_Toc234229567"/>
      <w:r>
        <w:rPr>
          <w:sz w:val="30"/>
          <w:szCs w:val="30"/>
        </w:rPr>
        <w:lastRenderedPageBreak/>
        <w:t>IV.4 Fluorita</w:t>
      </w:r>
      <w:bookmarkEnd w:id="48"/>
    </w:p>
    <w:p w14:paraId="33E3DF64" w14:textId="77777777" w:rsidR="008D7B04" w:rsidRDefault="008D7B04" w:rsidP="008D7B04">
      <w:pPr>
        <w:pStyle w:val="Ttulo2"/>
      </w:pPr>
      <w:bookmarkStart w:id="49" w:name="_Toc234229568"/>
      <w:r>
        <w:rPr>
          <w:sz w:val="25"/>
          <w:szCs w:val="25"/>
        </w:rPr>
        <w:t>IV.4.1 Contexto: México como segundo productor mundial con las mayores reservas globales</w:t>
      </w:r>
      <w:bookmarkEnd w:id="49"/>
    </w:p>
    <w:p w14:paraId="47FDD712" w14:textId="77777777" w:rsidR="008D7B04" w:rsidRDefault="008D7B04" w:rsidP="008D7B04">
      <w:pPr>
        <w:spacing w:after="160" w:line="348" w:lineRule="auto"/>
        <w:ind w:firstLine="720"/>
        <w:jc w:val="both"/>
      </w:pPr>
      <w:r>
        <w:rPr>
          <w:color w:val="000000"/>
        </w:rPr>
        <w:t>México es el segundo productor mundial de fluorita después de China, y posee la mayor reserva mundial del mineral, estimada en torno al 20% del total global, por encima de China (19%) y Sudáfrica (13%). Según el USGS, China aportó 65% de la producción mundial de fluorita en 2023 y México 11.4%. La fluorita es, además, uno de los minerales considerados críticos para la transición energética, al ser insumo del ácido fluorhídrico usado en semiconductores, baterías de nueva generación y refrigerantes de bajo impacto ambiental (U.S. Geological Survey, 2025a; European Commission, 2023).</w:t>
      </w:r>
    </w:p>
    <w:p w14:paraId="70309BE9" w14:textId="77777777" w:rsidR="008D7B04" w:rsidRDefault="008D7B04" w:rsidP="008D7B04">
      <w:pPr>
        <w:pStyle w:val="Ttulo2"/>
      </w:pPr>
      <w:bookmarkStart w:id="50" w:name="_Toc234229569"/>
      <w:r>
        <w:rPr>
          <w:sz w:val="25"/>
          <w:szCs w:val="25"/>
        </w:rPr>
        <w:t>IV.4.2 Un monopolio geográfico y empresarial documentado desde 1955</w:t>
      </w:r>
      <w:bookmarkEnd w:id="50"/>
    </w:p>
    <w:p w14:paraId="13DA39B3" w14:textId="77777777" w:rsidR="008D7B04" w:rsidRDefault="008D7B04" w:rsidP="008D7B04">
      <w:pPr>
        <w:spacing w:after="160" w:line="348" w:lineRule="auto"/>
        <w:ind w:firstLine="720"/>
        <w:jc w:val="both"/>
      </w:pPr>
      <w:r>
        <w:rPr>
          <w:color w:val="000000"/>
        </w:rPr>
        <w:t>La estructura de mercado de la fluorita mexicana es la más estable y concentrada del corpus, junto con la del manganeso. San Luis Potosí ha aportado de forma sostenida entre 91% y 98% de la producción nacional en cada año documentado desde la década de 2010 hasta 2025: 93.5% en 2015, 91.5% en 2016, 96% en 2018, 98% en enero de 2025 (Secretaría de Economía, 2020a). La totalidad de esa producción potosina proviene de un único distrito minero, Las Cuevas (municipio de Villa de Zaragoza), explotado de forma ininterrumpida desde 1955 y catalogado como la mina de fluorita más grande del mundo, con capacidad para cubrir cerca del 20% de la demanda mundial del mineral. En Coahuila —segundo productor con una participación residual de entre 1% y 8% según el año— operan dos empresas adicionales de fluorita grado concentrado, pero su peso conjunto nunca ha superado un dígito porcentual de la producción nacional.</w:t>
      </w:r>
    </w:p>
    <w:p w14:paraId="35E44BD7" w14:textId="77777777" w:rsidR="008D7B04" w:rsidRDefault="008D7B04" w:rsidP="008D7B04">
      <w:pPr>
        <w:pStyle w:val="Ttulo2"/>
      </w:pPr>
      <w:bookmarkStart w:id="51" w:name="_Toc234229570"/>
      <w:r>
        <w:rPr>
          <w:sz w:val="25"/>
          <w:szCs w:val="25"/>
        </w:rPr>
        <w:t>IV.4.3 De Mexichem a Orbia/Koura: continuidad del operador único bajo distintos nombres</w:t>
      </w:r>
      <w:bookmarkEnd w:id="51"/>
    </w:p>
    <w:p w14:paraId="123E3958" w14:textId="77777777" w:rsidR="008D7B04" w:rsidRDefault="008D7B04" w:rsidP="008D7B04">
      <w:pPr>
        <w:spacing w:after="160" w:line="348" w:lineRule="auto"/>
        <w:ind w:firstLine="720"/>
        <w:jc w:val="both"/>
      </w:pPr>
      <w:r>
        <w:rPr>
          <w:color w:val="000000"/>
        </w:rPr>
        <w:t xml:space="preserve">El operador de Las Cuevas ha cambiado de denominación corporativa pero no de control accionarial: la mina fue operada bajo el nombre comercial Mexichem durante la mayor parte del periodo 1993-2018, y desde el cambio de marca corporativa de 2019-2020 opera como Koura, filial especializada en flúor de Orbia Advance Corporation, la multinacional mexicana antes llamada Mexichem. Como en el caso de la barita, no existe en la fluorita una etapa de refinación separada comparable a la de los metales: Koura </w:t>
      </w:r>
      <w:r>
        <w:rPr>
          <w:color w:val="000000"/>
        </w:rPr>
        <w:lastRenderedPageBreak/>
        <w:t>realiza directamente el beneficio del mineral hasta fluorita grado metalúrgico y grado ácido (concentrado superior a 97% de fluoruro de calcio, CaF₂) en el complejo de Las Cuevas. La operación mantiene 33 lotes mineros registrados desde 1978, aunque la explotación del yacimiento se remonta a 1955 (Secretaría de Economía, 2020a).</w:t>
      </w:r>
    </w:p>
    <w:p w14:paraId="782AAE52" w14:textId="77777777" w:rsidR="008D7B04" w:rsidRDefault="008D7B04" w:rsidP="008D7B04">
      <w:pPr>
        <w:pStyle w:val="Ttulo2"/>
      </w:pPr>
      <w:bookmarkStart w:id="52" w:name="_Toc234229571"/>
      <w:r>
        <w:rPr>
          <w:sz w:val="25"/>
          <w:szCs w:val="25"/>
        </w:rPr>
        <w:t>IV.4.4 Destino de la producción: México como proveedor estratégico de Estados Unidos y la Unión Europea</w:t>
      </w:r>
      <w:bookmarkEnd w:id="52"/>
    </w:p>
    <w:p w14:paraId="186E7953" w14:textId="77777777" w:rsidR="008D7B04" w:rsidRDefault="008D7B04" w:rsidP="008D7B04">
      <w:pPr>
        <w:spacing w:after="160" w:line="348" w:lineRule="auto"/>
        <w:ind w:firstLine="720"/>
        <w:jc w:val="both"/>
      </w:pPr>
      <w:r>
        <w:rPr>
          <w:color w:val="000000"/>
        </w:rPr>
        <w:t>La fluorita mexicana se exporta de forma abrumadoramente mayoritaria, dado que el consumo industrial interno (vidrio, cerámica, algo de química) es reducido frente a la capacidad productiva de Las Cuevas. En 2018, el destino de las exportaciones fue: Estados Unidos 39%, Italia 21%, Países Bajos 10%, Túnez 6%, Japón 6% y Brasil 4%. En el periodo 2014-2017, México cubrió 69% de las importaciones estadounidenses de fluorita —frente a 10% de Vietnam, 8% de Sudáfrica y 6% de China—, y hacia 2025 esa proporción se estimaba en 70% (Secretaría de Economía, 2020a; Instituto Mexicano para la Competitividad, 2026). Para la Unión Europea, México fue el principal proveedor de fluorita con 27% de sus importaciones en el periodo 2010-2014, según datos de la Comisión Europea (European Commission, 2023; Micheli Thirion y Cortés Morales, 2026). Esta dependencia bilateral convierte a la fluorita en una de las piezas centrales de la negociación México-Estados Unidos sobre minerales críticos en el marco de la revisión del T-MEC.</w:t>
      </w:r>
    </w:p>
    <w:p w14:paraId="6131309A" w14:textId="77777777" w:rsidR="008D7B04" w:rsidRDefault="008D7B04" w:rsidP="008D7B04">
      <w:pPr>
        <w:pStyle w:val="Ttulo2"/>
      </w:pPr>
      <w:bookmarkStart w:id="53" w:name="_Toc234229572"/>
      <w:r>
        <w:rPr>
          <w:sz w:val="25"/>
          <w:szCs w:val="25"/>
        </w:rPr>
        <w:t>IV.4.5 Impacto de la reforma de 2023: relevancia indirecta y geopolítica</w:t>
      </w:r>
      <w:bookmarkEnd w:id="53"/>
    </w:p>
    <w:p w14:paraId="372280C7" w14:textId="77777777" w:rsidR="008D7B04" w:rsidRDefault="008D7B04" w:rsidP="008D7B04">
      <w:pPr>
        <w:spacing w:after="160" w:line="348" w:lineRule="auto"/>
        <w:ind w:firstLine="720"/>
        <w:jc w:val="both"/>
      </w:pPr>
      <w:r>
        <w:rPr>
          <w:color w:val="000000"/>
        </w:rPr>
        <w:t>Por tratarse de una operación consolidada desde hace siete décadas con concesiones ya otorgadas, la fluorita de Las Cuevas no ha sido reportada como un caso de fricción regulatoria comparable al de los grandes proyectos de cobre u oro en expansión. El efecto más relevante de la reforma de 2023 sobre este mineral es indirecto y de naturaleza geopolítica: al posicionarse el gobierno de Estados Unidos en la negociación de un plan de acción binacional sobre minerales críticos que incluye explícitamente a la fluorita, la certidumbre del régimen mexicano de concesiones —en limbo judicial desde 2023— se convierte en un asunto de interés diplomático que trasciende al operador individual (Instituto Mexicano para la Competitividad, 2026; Minería en Línea, 2026).</w:t>
      </w:r>
    </w:p>
    <w:p w14:paraId="41B31D4C" w14:textId="77777777" w:rsidR="008D7B04" w:rsidRDefault="008D7B04" w:rsidP="008D7B04">
      <w:pPr>
        <w:spacing w:before="50" w:after="180"/>
      </w:pPr>
      <w:r>
        <w:rPr>
          <w:i/>
          <w:iCs/>
          <w:color w:val="666666"/>
          <w:sz w:val="17"/>
          <w:szCs w:val="17"/>
        </w:rPr>
        <w:lastRenderedPageBreak/>
        <w:t>Fuentes: Secretaría de Economía, Perfil de Mercado de la Fluorita (2020a); U.S. Geological Survey (2025a); European Commission (2023); Instituto Mexicano para la Competitividad (2026); Micheli Thirion y Cortés Morales (2026); Minería en Línea (2026).</w:t>
      </w:r>
    </w:p>
    <w:p w14:paraId="0F77BFA2" w14:textId="77777777" w:rsidR="008D7B04" w:rsidRDefault="008D7B04" w:rsidP="008D7B04">
      <w:pPr>
        <w:pStyle w:val="Ttulo1"/>
        <w:pageBreakBefore/>
        <w:pBdr>
          <w:bottom w:val="single" w:sz="8" w:space="4" w:color="1F3B5C"/>
        </w:pBdr>
      </w:pPr>
      <w:bookmarkStart w:id="54" w:name="_Toc234229573"/>
      <w:r>
        <w:rPr>
          <w:sz w:val="30"/>
          <w:szCs w:val="30"/>
        </w:rPr>
        <w:lastRenderedPageBreak/>
        <w:t>IV.5 Grafito</w:t>
      </w:r>
      <w:bookmarkEnd w:id="54"/>
    </w:p>
    <w:p w14:paraId="7FFF6737" w14:textId="77777777" w:rsidR="008D7B04" w:rsidRDefault="008D7B04" w:rsidP="008D7B04">
      <w:pPr>
        <w:pStyle w:val="Ttulo2"/>
      </w:pPr>
      <w:bookmarkStart w:id="55" w:name="_Toc234229574"/>
      <w:r>
        <w:rPr>
          <w:sz w:val="25"/>
          <w:szCs w:val="25"/>
        </w:rPr>
        <w:t>IV.5.1 Contexto: monopolio geográfico con mercado empresarial atomizado</w:t>
      </w:r>
      <w:bookmarkEnd w:id="55"/>
    </w:p>
    <w:p w14:paraId="0427A01F" w14:textId="77777777" w:rsidR="008D7B04" w:rsidRDefault="008D7B04" w:rsidP="008D7B04">
      <w:pPr>
        <w:spacing w:after="160" w:line="348" w:lineRule="auto"/>
        <w:ind w:firstLine="720"/>
        <w:jc w:val="both"/>
      </w:pPr>
      <w:r>
        <w:rPr>
          <w:color w:val="000000"/>
        </w:rPr>
        <w:t>El grafito mexicano presenta una combinación inusual: concentración geográfica absoluta y atomización empresarial. Sonora ha producido 100% del grafito natural de México de forma sostenida desde al menos la década de 2010 —los yacimientos de tipo cristalino de Oaxaca (región de los Valles Centrales), que históricamente produjeron grafito de mayor valor, permanecen inactivos—, pero esa concentración geográfica no se traduce en monopolio empresarial. La extracción y comercialización del grafito amorfo sonorense involucra a múltiples pequeños productores y comercializadoras en la región de Tónichi, San José de Moradillas, San Bernardo y el área de Topiyeca, dentro de la Cuenca Carbonífera de Sonora, sin que ninguno concentre una participación dominante documentada en fuentes públicas. México ocupaba en 2020 el undécimo lugar mundial en producción de grafito y el noveno en reservas (3.1 millones de toneladas) (Secretaría de Economía, 2021b).</w:t>
      </w:r>
    </w:p>
    <w:p w14:paraId="7F36718A" w14:textId="77777777" w:rsidR="008D7B04" w:rsidRDefault="008D7B04" w:rsidP="008D7B04">
      <w:pPr>
        <w:pStyle w:val="Ttulo2"/>
      </w:pPr>
      <w:bookmarkStart w:id="56" w:name="_Toc234229575"/>
      <w:r>
        <w:rPr>
          <w:sz w:val="25"/>
          <w:szCs w:val="25"/>
        </w:rPr>
        <w:t>IV.5.2 Ausencia de integración vertical dominante</w:t>
      </w:r>
      <w:bookmarkEnd w:id="56"/>
    </w:p>
    <w:p w14:paraId="66AEC8BF" w14:textId="77777777" w:rsidR="008D7B04" w:rsidRDefault="008D7B04" w:rsidP="008D7B04">
      <w:pPr>
        <w:spacing w:after="160" w:line="348" w:lineRule="auto"/>
        <w:ind w:firstLine="720"/>
        <w:jc w:val="both"/>
      </w:pPr>
      <w:r>
        <w:rPr>
          <w:color w:val="000000"/>
        </w:rPr>
        <w:t>El procesamiento del grafito sonorense consiste en secado, molienda y clasificación por contenido de carbono, tamaño y contenido de azufre, realizado en pequeñas plantas cercanas a las minas. El producto se empaca en bolsas o a granel para su envío a consumidores finales, mayoritariamente en Estados Unidos. Esta atomización explica por qué la estadística oficial reporta el grafito casi siempre a nivel agregado estatal sin desagregación por empresa, a diferencia del tratamiento que reciben los metales en los informes de CAMIMEX. No existe ninguna empresa que controle simultáneamente la extracción y el procesamiento a escala industrial (Secretaría de Economía, 2021b).</w:t>
      </w:r>
    </w:p>
    <w:p w14:paraId="5A582CEA" w14:textId="77777777" w:rsidR="008D7B04" w:rsidRDefault="008D7B04" w:rsidP="008D7B04">
      <w:pPr>
        <w:pStyle w:val="Ttulo2"/>
      </w:pPr>
      <w:bookmarkStart w:id="57" w:name="_Toc234229576"/>
      <w:r>
        <w:rPr>
          <w:sz w:val="25"/>
          <w:szCs w:val="25"/>
        </w:rPr>
        <w:t>IV.5.3 Un mercado pequeño, volátil y casi totalmente exportado a un solo mercado</w:t>
      </w:r>
      <w:bookmarkEnd w:id="57"/>
    </w:p>
    <w:p w14:paraId="03BFEB92" w14:textId="77777777" w:rsidR="008D7B04" w:rsidRDefault="008D7B04" w:rsidP="008D7B04">
      <w:pPr>
        <w:spacing w:after="160" w:line="348" w:lineRule="auto"/>
        <w:ind w:firstLine="720"/>
        <w:jc w:val="both"/>
      </w:pPr>
      <w:r>
        <w:rPr>
          <w:color w:val="000000"/>
        </w:rPr>
        <w:t xml:space="preserve">El grafito es, en términos absolutos, el mercado de menor escala productiva del corpus: 1,461 toneladas en 2020 (valor de apenas 9.5 millones de pesos) y 706 toneladas en 2024, con una caída de 34.4% a 45.6% según la medición (Aliphat Rodríguez et al., 2025). Entre 94.8% y 98% de las exportaciones mexicanas de grafito natural tienen como </w:t>
      </w:r>
      <w:r>
        <w:rPr>
          <w:color w:val="000000"/>
        </w:rPr>
        <w:lastRenderedPageBreak/>
        <w:t>destino Estados Unidos, que lo emplea en productos refractarios, fundición de acero y, de forma creciente desde 2020, en la manufactura de ánodos para baterías de vehículos eléctricos —el grafito natural es el material estándar del ánodo en las baterías de ion-litio dominantes en el mercado—. Esta última aplicación ha comenzado a atraer atención de analistas e inversionistas hacia los yacimientos sonorenses, aunque sin que ello se haya traducido todavía en consolidación empresarial documentada (Secretaría de Economía, 2021b; La Jornada, 2026).</w:t>
      </w:r>
    </w:p>
    <w:p w14:paraId="74BCFC5A" w14:textId="77777777" w:rsidR="008D7B04" w:rsidRDefault="008D7B04" w:rsidP="008D7B04">
      <w:pPr>
        <w:pStyle w:val="Ttulo2"/>
      </w:pPr>
      <w:bookmarkStart w:id="58" w:name="_Toc234229577"/>
      <w:r>
        <w:rPr>
          <w:sz w:val="25"/>
          <w:szCs w:val="25"/>
        </w:rPr>
        <w:t>IV.5.4 Impacto de la reforma de 2023: barrera proporcionalmente mayor para productores pequeños</w:t>
      </w:r>
      <w:bookmarkEnd w:id="58"/>
    </w:p>
    <w:p w14:paraId="112A115E" w14:textId="77777777" w:rsidR="008D7B04" w:rsidRDefault="008D7B04" w:rsidP="008D7B04">
      <w:pPr>
        <w:spacing w:after="160" w:line="348" w:lineRule="auto"/>
        <w:ind w:firstLine="720"/>
        <w:jc w:val="both"/>
      </w:pPr>
      <w:r>
        <w:rPr>
          <w:color w:val="000000"/>
        </w:rPr>
        <w:t>La exclusividad del SGM sobre la exploración de nuevas zonas, derivada de la reforma de 2023, puede representar una barrera de entrada proporcionalmente mayor para los pequeños productores de grafito sonorense que para los grandes consorcios mineros, dado que los primeros tienen escaso acceso a financiamiento corporativo de gran escala y dependen de la capacidad de explorar y desarrollar nuevos yacimientos por cuenta propia. La creciente relevancia del grafito para baterías de vehículos eléctricos podría atraer inversión a mayor escala, pero la incertidumbre regulatoria vigente hacia mediados de 2026 disuade esa entrada (Minería en Línea, 2026).</w:t>
      </w:r>
    </w:p>
    <w:p w14:paraId="15E9029E" w14:textId="77777777" w:rsidR="008D7B04" w:rsidRDefault="008D7B04" w:rsidP="008D7B04">
      <w:pPr>
        <w:spacing w:before="50" w:after="180"/>
      </w:pPr>
      <w:r>
        <w:rPr>
          <w:i/>
          <w:iCs/>
          <w:color w:val="666666"/>
          <w:sz w:val="17"/>
          <w:szCs w:val="17"/>
        </w:rPr>
        <w:t>Fuentes: Secretaría de Economía, Perfil de Mercado del Grafito (2021b); Aliphat Rodríguez et al. (2025); La Jornada (2026); Minería en Línea (2026).</w:t>
      </w:r>
    </w:p>
    <w:p w14:paraId="2716151B" w14:textId="77777777" w:rsidR="008D7B04" w:rsidRDefault="008D7B04" w:rsidP="008D7B04">
      <w:pPr>
        <w:pStyle w:val="Ttulo1"/>
        <w:pageBreakBefore/>
        <w:pBdr>
          <w:bottom w:val="single" w:sz="8" w:space="4" w:color="1F3B5C"/>
        </w:pBdr>
      </w:pPr>
      <w:bookmarkStart w:id="59" w:name="_Toc234229578"/>
      <w:r>
        <w:rPr>
          <w:sz w:val="30"/>
          <w:szCs w:val="30"/>
        </w:rPr>
        <w:lastRenderedPageBreak/>
        <w:t>IV.6 Manganeso</w:t>
      </w:r>
      <w:bookmarkEnd w:id="59"/>
    </w:p>
    <w:p w14:paraId="15347F02" w14:textId="77777777" w:rsidR="008D7B04" w:rsidRDefault="008D7B04" w:rsidP="008D7B04">
      <w:pPr>
        <w:pStyle w:val="Ttulo2"/>
      </w:pPr>
      <w:bookmarkStart w:id="60" w:name="_Toc234229579"/>
      <w:r>
        <w:rPr>
          <w:sz w:val="25"/>
          <w:szCs w:val="25"/>
        </w:rPr>
        <w:t>IV.6.1 Contexto: monopolio geológico en el único yacimiento de escala industrial de Centro y Norteamérica</w:t>
      </w:r>
      <w:bookmarkEnd w:id="60"/>
    </w:p>
    <w:p w14:paraId="19F92D2C" w14:textId="77777777" w:rsidR="008D7B04" w:rsidRDefault="008D7B04" w:rsidP="008D7B04">
      <w:pPr>
        <w:spacing w:after="160" w:line="348" w:lineRule="auto"/>
        <w:ind w:firstLine="720"/>
        <w:jc w:val="both"/>
      </w:pPr>
      <w:r>
        <w:rPr>
          <w:color w:val="000000"/>
        </w:rPr>
        <w:t>El manganeso mexicano es el caso de concentración más extremo del corpus, y el único cuya concentración es primariamente de origen geológico y no empresarial. El Distrito Manganesífero de Molango (Hidalgo), con 1,250 km² de extensión, es el único yacimiento de manganeso a escala industrial de todo Centro y Norteamérica. Esa dotación geológica confiere a su operador una posición de monopolio estructural que no resulta de una estrategia anticompetitiva sino de la ausencia de yacimientos alternativos explotables en la región. México ocupa el undécimo lugar mundial en producción de manganeso, con una participación de apenas 1.1% de la producción mundial; es el mineral del corpus en el que México tiene menos peso global pero mayor dominancia interna (Servicio Geológico Mexicano, 2024).</w:t>
      </w:r>
    </w:p>
    <w:p w14:paraId="0746A25E" w14:textId="77777777" w:rsidR="008D7B04" w:rsidRDefault="008D7B04" w:rsidP="008D7B04">
      <w:pPr>
        <w:pStyle w:val="Ttulo2"/>
      </w:pPr>
      <w:bookmarkStart w:id="61" w:name="_Toc234229580"/>
      <w:r>
        <w:rPr>
          <w:sz w:val="25"/>
          <w:szCs w:val="25"/>
        </w:rPr>
        <w:t>IV.6.2 Compañía Minera Autlán: privatización de 1993 y consolidación del monopolio</w:t>
      </w:r>
      <w:bookmarkEnd w:id="61"/>
    </w:p>
    <w:p w14:paraId="3BCF9829" w14:textId="77777777" w:rsidR="008D7B04" w:rsidRDefault="008D7B04" w:rsidP="008D7B04">
      <w:pPr>
        <w:spacing w:after="160" w:line="348" w:lineRule="auto"/>
        <w:ind w:firstLine="720"/>
        <w:jc w:val="both"/>
      </w:pPr>
      <w:r>
        <w:rPr>
          <w:color w:val="000000"/>
        </w:rPr>
        <w:t>Compañía Minera Autlán fue fundada en 1953 como la primera compañía minera administrada por mexicanos, inicialmente en el municipio de Autlán, Jalisco. En 1960 trasladó sus operaciones al Distrito de Molango, donde descubrió y desarrolló el yacimiento que sostiene su producción hasta hoy. El Panorama Minero del Instituto Geológico y Minero de España confirma que Autlán fue privatizada en 1993 y adquirida en 82.7% por el Grupo Ferrominero (hoy Autlán Holding), consolidándose desde entonces como el único productor mexicano de manganeso, con una producción de 141,398 toneladas de concentrados reportada para 1995. Desde entonces y hasta la fecha de cierre de esta investigación, ninguna otra empresa ha iniciado producción comercial de manganeso en México (Instituto Geológico y Minero de España, 1996).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7B04" w14:paraId="1D547EB4" w14:textId="77777777" w:rsidTr="003F7386">
        <w:tc>
          <w:tcPr>
            <w:tcW w:w="9360" w:type="dxa"/>
            <w:tcBorders>
              <w:top w:val="single" w:sz="4" w:space="0" w:color="1F3B5C"/>
              <w:left w:val="single" w:sz="20" w:space="0" w:color="1F3B5C"/>
              <w:bottom w:val="single" w:sz="4" w:space="0" w:color="1F3B5C"/>
              <w:right w:val="single" w:sz="4" w:space="0" w:color="1F3B5C"/>
            </w:tcBorders>
            <w:shd w:val="clear" w:color="auto" w:fill="EEF4FB"/>
            <w:tcMar>
              <w:top w:w="150" w:type="dxa"/>
              <w:left w:w="220" w:type="dxa"/>
              <w:bottom w:w="150" w:type="dxa"/>
              <w:right w:w="220" w:type="dxa"/>
            </w:tcMar>
          </w:tcPr>
          <w:p w14:paraId="260D3696" w14:textId="77777777" w:rsidR="008D7B04" w:rsidRDefault="008D7B04" w:rsidP="003F7386">
            <w:pPr>
              <w:spacing w:after="70"/>
            </w:pPr>
            <w:r>
              <w:rPr>
                <w:b/>
                <w:bCs/>
                <w:color w:val="1F3B5C"/>
                <w:sz w:val="21"/>
                <w:szCs w:val="21"/>
              </w:rPr>
              <w:t>Dato confirmado por fuentes oficiales</w:t>
            </w:r>
          </w:p>
          <w:p w14:paraId="63F3DC3A" w14:textId="77777777" w:rsidR="008D7B04" w:rsidRDefault="008D7B04" w:rsidP="003F7386">
            <w:pPr>
              <w:spacing w:line="264" w:lineRule="auto"/>
            </w:pPr>
            <w:r>
              <w:rPr>
                <w:sz w:val="20"/>
                <w:szCs w:val="20"/>
              </w:rPr>
              <w:t>El Servicio Geológico Mexicano y la Secretaría de Economía documentan en sus perfiles de mercado más recientes que 'el único productor mexicano de manganeso es la Cía Minera Autlán', situación que se mantiene sin cambios desde la privatización de 1993 hasta la actualidad (2024-2025) (Servicio Geológico Mexicano, 2024).</w:t>
            </w:r>
          </w:p>
        </w:tc>
      </w:tr>
    </w:tbl>
    <w:p w14:paraId="4D8D8CDE" w14:textId="77777777" w:rsidR="008D7B04" w:rsidRDefault="008D7B04" w:rsidP="008D7B04">
      <w:pPr>
        <w:spacing w:before="120"/>
      </w:pPr>
    </w:p>
    <w:p w14:paraId="4A61F372" w14:textId="77777777" w:rsidR="008D7B04" w:rsidRDefault="008D7B04" w:rsidP="008D7B04">
      <w:pPr>
        <w:pStyle w:val="Ttulo2"/>
      </w:pPr>
      <w:bookmarkStart w:id="62" w:name="_Toc234229581"/>
      <w:r>
        <w:rPr>
          <w:sz w:val="25"/>
          <w:szCs w:val="25"/>
        </w:rPr>
        <w:lastRenderedPageBreak/>
        <w:t>IV.6.3 Integración vertical completa: de la extracción a las ferroaleaciones</w:t>
      </w:r>
      <w:bookmarkEnd w:id="62"/>
    </w:p>
    <w:p w14:paraId="2AC52B3E" w14:textId="77777777" w:rsidR="008D7B04" w:rsidRDefault="008D7B04" w:rsidP="008D7B04">
      <w:pPr>
        <w:spacing w:after="160" w:line="348" w:lineRule="auto"/>
        <w:ind w:firstLine="720"/>
        <w:jc w:val="both"/>
      </w:pPr>
      <w:r>
        <w:rPr>
          <w:color w:val="000000"/>
        </w:rPr>
        <w:t>A diferencia de la mayoría de los minerales del corpus, el manganeso mexicano no tiene separación entre extracción y procesamiento: Autlán controla el 100% de la cadena dentro de México. En la década de 2000 la empresa se integró verticalmente hacia la fabricación de ferroaleaciones de manganeso —plantas en Teziutlán (Puebla), Tamós (Tamaulipas) y Gómez Palacio (Durango)— y desarrolló un proceso de nodulización patentado para concentrar el mineral de Molango, siendo el único productor mundial de nódulos de manganeso bajo ese proceso. Autlán se describe públicamente como el más grande productor de manganeso en Centro y Norteamérica y el único productor de nódulos de manganeso en el mundo (Autlán, s.f.).</w:t>
      </w:r>
    </w:p>
    <w:p w14:paraId="6918A04B" w14:textId="77777777" w:rsidR="008D7B04" w:rsidRDefault="008D7B04" w:rsidP="008D7B04">
      <w:pPr>
        <w:pStyle w:val="Ttulo2"/>
      </w:pPr>
      <w:bookmarkStart w:id="63" w:name="_Toc234229582"/>
      <w:r>
        <w:rPr>
          <w:sz w:val="25"/>
          <w:szCs w:val="25"/>
        </w:rPr>
        <w:t>IV.6.4 Destino de la producción: mercado interno siderúrgico y riesgo de demanda por cierre de AHMSA</w:t>
      </w:r>
      <w:bookmarkEnd w:id="63"/>
    </w:p>
    <w:p w14:paraId="70CA54FB" w14:textId="77777777" w:rsidR="008D7B04" w:rsidRDefault="008D7B04" w:rsidP="008D7B04">
      <w:pPr>
        <w:spacing w:after="160" w:line="348" w:lineRule="auto"/>
        <w:ind w:firstLine="720"/>
        <w:jc w:val="both"/>
      </w:pPr>
      <w:r>
        <w:rPr>
          <w:color w:val="000000"/>
        </w:rPr>
        <w:t>A diferencia de la fluorita o la barita, el manganeso tiene un destino mayoritariamente doméstico: su principal consumidor histórico es la industria siderúrgica nacional, en particular Altos Hornos de México (AHMSA), dado que el manganeso es insumo indispensable para la fabricación de acero (en una proporción histórica de alrededor de 12.5 kg de manganeso por tonelada de acero, según cifras del IGME). El cierre de operaciones de AHMSA a finales de 2022 —documentado por CAMIMEX, que señala que Coahuila no reportó producción de pellets de hierro en 2023 por este motivo— representa un riesgo de demanda directa para el mercado interno del manganeso de Autlán. La porción exportable de la producción se dirige a Estados Unidos, Asia, Sudamérica y Europa en forma de óxido manganoso para fertilizantes y micronutrientes animales, y de bióxido de manganeso natural grado batería (Aliphat Rodríguez et al., 2025; Autlán, s.f.).</w:t>
      </w:r>
    </w:p>
    <w:p w14:paraId="1D2B0511" w14:textId="77777777" w:rsidR="008D7B04" w:rsidRDefault="008D7B04" w:rsidP="008D7B04">
      <w:pPr>
        <w:pStyle w:val="Ttulo2"/>
      </w:pPr>
      <w:bookmarkStart w:id="64" w:name="_Toc234229583"/>
      <w:r>
        <w:rPr>
          <w:sz w:val="25"/>
          <w:szCs w:val="25"/>
        </w:rPr>
        <w:t>IV.6.5 Impacto de la reforma de 2023: bajo riesgo en la oferta, mayor riesgo en la demanda</w:t>
      </w:r>
      <w:bookmarkEnd w:id="64"/>
    </w:p>
    <w:p w14:paraId="166E159A" w14:textId="77777777" w:rsidR="008D7B04" w:rsidRDefault="008D7B04" w:rsidP="008D7B04">
      <w:pPr>
        <w:spacing w:after="160" w:line="348" w:lineRule="auto"/>
        <w:ind w:firstLine="720"/>
        <w:jc w:val="both"/>
      </w:pPr>
      <w:r>
        <w:rPr>
          <w:color w:val="000000"/>
        </w:rPr>
        <w:t xml:space="preserve">Por tratarse de una operación consolidada desde hace más de seis décadas con reservas probadas de largo plazo en el mismo distrito, el efecto de la reforma de 2023 sobre Autlán ha sido menor que sobre operadores con proyectos de expansión activa. Autlán no figura entre las empresas que han enfrentado litigios o congelamiento de proyectos relevantes derivados de la reforma. El principal riesgo para este mineral no </w:t>
      </w:r>
      <w:r>
        <w:rPr>
          <w:color w:val="000000"/>
        </w:rPr>
        <w:lastRenderedPageBreak/>
        <w:t>proviene del lado de la oferta minera sino del lado de la demanda: la salud financiera de la industria siderúrgica nacional y la eventual reconversión tecnológica de la industria automotriz hacia vehículos eléctricos —que requieren manganeso para sus baterías de nueva generación— son las variables que más importan para el futuro del único productor mexicano del mineral (Cámara Minera de México, 2024).</w:t>
      </w:r>
    </w:p>
    <w:p w14:paraId="183F5FCF" w14:textId="77777777" w:rsidR="008D7B04" w:rsidRDefault="008D7B04" w:rsidP="008D7B04">
      <w:pPr>
        <w:spacing w:before="50" w:after="180"/>
      </w:pPr>
      <w:r>
        <w:rPr>
          <w:i/>
          <w:iCs/>
          <w:color w:val="666666"/>
          <w:sz w:val="17"/>
          <w:szCs w:val="17"/>
        </w:rPr>
        <w:t>Fuentes: Instituto Geológico y Minero de España (1996); Autlán (s.f.); Servicio Geológico Mexicano (2024); Aliphat Rodríguez et al. (2025); Cámara Minera de México (2024).</w:t>
      </w:r>
    </w:p>
    <w:p w14:paraId="524B37C7" w14:textId="77777777" w:rsidR="008D7B04" w:rsidRDefault="008D7B04" w:rsidP="008D7B04">
      <w:pPr>
        <w:pStyle w:val="Ttulo1"/>
        <w:pageBreakBefore/>
        <w:pBdr>
          <w:bottom w:val="single" w:sz="8" w:space="4" w:color="1F3B5C"/>
        </w:pBdr>
      </w:pPr>
      <w:bookmarkStart w:id="65" w:name="_Toc234229584"/>
      <w:r>
        <w:rPr>
          <w:sz w:val="30"/>
          <w:szCs w:val="30"/>
        </w:rPr>
        <w:lastRenderedPageBreak/>
        <w:t>IV.7 Oro</w:t>
      </w:r>
      <w:bookmarkEnd w:id="65"/>
    </w:p>
    <w:p w14:paraId="2AA7B43F" w14:textId="77777777" w:rsidR="008D7B04" w:rsidRDefault="008D7B04" w:rsidP="008D7B04">
      <w:pPr>
        <w:pStyle w:val="Ttulo2"/>
      </w:pPr>
      <w:bookmarkStart w:id="66" w:name="_Toc234229585"/>
      <w:r>
        <w:rPr>
          <w:sz w:val="25"/>
          <w:szCs w:val="25"/>
        </w:rPr>
        <w:t>IV.7.1 Contexto: el mineral con mayor presencia de capital extranjero y el más reciente declarado crítico</w:t>
      </w:r>
      <w:bookmarkEnd w:id="66"/>
    </w:p>
    <w:p w14:paraId="7EBA9E63" w14:textId="77777777" w:rsidR="008D7B04" w:rsidRDefault="008D7B04" w:rsidP="008D7B04">
      <w:pPr>
        <w:spacing w:after="160" w:line="348" w:lineRule="auto"/>
        <w:ind w:firstLine="720"/>
        <w:jc w:val="both"/>
      </w:pPr>
      <w:r>
        <w:rPr>
          <w:color w:val="000000"/>
        </w:rPr>
        <w:t>El oro es el mineral del corpus con la mayor diversificación de operadores y la mayor presencia de empresas de capital extranjero, producto directo de la apertura de 1992-1996. Para 2019, la Secretaría de Economía identificaba 711 de 1,177 proyectos mineros activos como orientados a metales preciosos, con Canadá aportando 153 de las 238 empresas de capital extranjero registradas. En 2023, México se posicionó como el séptimo mayor productor mundial de oro, con 4.23 millones de onzas (más de 131 toneladas), con Zacatecas aportando 28.8% de la producción nacional y Sonora 25.7% (Servicio Geológico Mexicano, 2024). Una orden ejecutiva presidencial de Estados Unidos del 20 de marzo de 2025 declaró al oro mineral crítico para efectos de seguridad nacional —junto al cobre y el uranio—, un giro histórico respecto de su tratamiento tradicional como reserva de valor (The White House, 2025).</w:t>
      </w:r>
    </w:p>
    <w:p w14:paraId="585B436F" w14:textId="77777777" w:rsidR="008D7B04" w:rsidRDefault="008D7B04" w:rsidP="008D7B04">
      <w:pPr>
        <w:pStyle w:val="Ttulo2"/>
      </w:pPr>
      <w:bookmarkStart w:id="67" w:name="_Toc234229586"/>
      <w:r>
        <w:rPr>
          <w:sz w:val="25"/>
          <w:szCs w:val="25"/>
        </w:rPr>
        <w:t>IV.7.2 Estructura de extracción: oligopolio moderado con cinco grandes operadores</w:t>
      </w:r>
      <w:bookmarkEnd w:id="67"/>
    </w:p>
    <w:p w14:paraId="4036E2C0" w14:textId="77777777" w:rsidR="008D7B04" w:rsidRDefault="008D7B04" w:rsidP="008D7B04">
      <w:pPr>
        <w:spacing w:after="160" w:line="348" w:lineRule="auto"/>
        <w:ind w:firstLine="720"/>
        <w:jc w:val="both"/>
      </w:pPr>
      <w:r>
        <w:rPr>
          <w:color w:val="000000"/>
        </w:rPr>
        <w:t>Con cifras de 2022, las cinco mayores empresas productoras de oro —Fresnillo plc, Newmont, Torex Gold, First Majestic Silver y Agnico Eagle— participaron conjuntamente con 42.4% de la producción total del segmento de gran minería (Expansión, 2025). Con datos de 2023 desagregados por mina, el orden fue el siguiente: Torex Gold lideró con su complejo El Limón-Guajes (Guerrero), con 453,800 onzas; seguido de Fresnillo plc con La Herradura (Sonora), 355,500 onzas; Alamos Gold con Mulatos (Sonora), 212,800 onzas (+58.2% respecto del año anterior); Equinox Gold con Los Filos (Guerrero), 159,100 onzas; y Newmont con Peñasquito (Zacatecas), 143,000 onzas —una caída de 74.7% por una huelga laboral de cuatro meses— (Servicio Geológico Mexicano,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1900"/>
        <w:gridCol w:w="2360"/>
      </w:tblGrid>
      <w:tr w:rsidR="008D7B04" w14:paraId="16D2A76E" w14:textId="77777777" w:rsidTr="003F7386">
        <w:trPr>
          <w:tblHeader/>
        </w:trPr>
        <w:tc>
          <w:tcPr>
            <w:tcW w:w="31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4A5A908" w14:textId="77777777" w:rsidR="008D7B04" w:rsidRDefault="008D7B04" w:rsidP="003F7386">
            <w:r>
              <w:rPr>
                <w:b/>
                <w:bCs/>
                <w:color w:val="FFFFFF"/>
                <w:sz w:val="18"/>
                <w:szCs w:val="18"/>
              </w:rPr>
              <w:t>Empresa (mina)</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252641C" w14:textId="77777777" w:rsidR="008D7B04" w:rsidRDefault="008D7B04" w:rsidP="003F7386">
            <w:r>
              <w:rPr>
                <w:b/>
                <w:bCs/>
                <w:color w:val="FFFFFF"/>
                <w:sz w:val="18"/>
                <w:szCs w:val="18"/>
              </w:rPr>
              <w:t>País de origen</w:t>
            </w:r>
          </w:p>
        </w:tc>
        <w:tc>
          <w:tcPr>
            <w:tcW w:w="19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DD75599" w14:textId="77777777" w:rsidR="008D7B04" w:rsidRDefault="008D7B04" w:rsidP="003F7386">
            <w:r>
              <w:rPr>
                <w:b/>
                <w:bCs/>
                <w:color w:val="FFFFFF"/>
                <w:sz w:val="18"/>
                <w:szCs w:val="18"/>
              </w:rPr>
              <w:t>Producción 2023 (oz)</w:t>
            </w:r>
          </w:p>
        </w:tc>
        <w:tc>
          <w:tcPr>
            <w:tcW w:w="23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8FB96BC" w14:textId="77777777" w:rsidR="008D7B04" w:rsidRDefault="008D7B04" w:rsidP="003F7386">
            <w:r>
              <w:rPr>
                <w:b/>
                <w:bCs/>
                <w:color w:val="FFFFFF"/>
                <w:sz w:val="18"/>
                <w:szCs w:val="18"/>
              </w:rPr>
              <w:t>Participación relativa en el top-5</w:t>
            </w:r>
          </w:p>
        </w:tc>
      </w:tr>
      <w:tr w:rsidR="008D7B04" w14:paraId="7E391656"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A6DE77A" w14:textId="77777777" w:rsidR="008D7B04" w:rsidRDefault="008D7B04" w:rsidP="003F7386">
            <w:pPr>
              <w:spacing w:line="248" w:lineRule="auto"/>
            </w:pPr>
            <w:r>
              <w:rPr>
                <w:sz w:val="18"/>
                <w:szCs w:val="18"/>
              </w:rPr>
              <w:t>Torex Gold (El Limón-Guajes,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555F5DB"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DC5B7C9" w14:textId="77777777" w:rsidR="008D7B04" w:rsidRDefault="008D7B04" w:rsidP="003F7386">
            <w:pPr>
              <w:spacing w:line="248" w:lineRule="auto"/>
            </w:pPr>
            <w:r>
              <w:rPr>
                <w:sz w:val="18"/>
                <w:szCs w:val="18"/>
              </w:rPr>
              <w:t>453,800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5288313" w14:textId="77777777" w:rsidR="008D7B04" w:rsidRDefault="008D7B04" w:rsidP="003F7386">
            <w:pPr>
              <w:spacing w:line="248" w:lineRule="auto"/>
            </w:pPr>
            <w:r>
              <w:rPr>
                <w:sz w:val="18"/>
                <w:szCs w:val="18"/>
              </w:rPr>
              <w:t>≈35%</w:t>
            </w:r>
          </w:p>
        </w:tc>
      </w:tr>
      <w:tr w:rsidR="008D7B04" w14:paraId="13F2C1D9"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F1AE869" w14:textId="77777777" w:rsidR="008D7B04" w:rsidRDefault="008D7B04" w:rsidP="003F7386">
            <w:pPr>
              <w:spacing w:line="248" w:lineRule="auto"/>
            </w:pPr>
            <w:r>
              <w:rPr>
                <w:sz w:val="18"/>
                <w:szCs w:val="18"/>
              </w:rPr>
              <w:t>Fresnillo plc (La Herradura, Sonora)</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652F80E" w14:textId="77777777" w:rsidR="008D7B04" w:rsidRDefault="008D7B04" w:rsidP="003F7386">
            <w:pPr>
              <w:spacing w:line="248" w:lineRule="auto"/>
            </w:pPr>
            <w:r>
              <w:rPr>
                <w:sz w:val="18"/>
                <w:szCs w:val="18"/>
              </w:rPr>
              <w:t>México / Reino Unido</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8033149" w14:textId="77777777" w:rsidR="008D7B04" w:rsidRDefault="008D7B04" w:rsidP="003F7386">
            <w:pPr>
              <w:spacing w:line="248" w:lineRule="auto"/>
            </w:pPr>
            <w:r>
              <w:rPr>
                <w:sz w:val="18"/>
                <w:szCs w:val="18"/>
              </w:rPr>
              <w:t>355,500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D86B5A1" w14:textId="77777777" w:rsidR="008D7B04" w:rsidRDefault="008D7B04" w:rsidP="003F7386">
            <w:pPr>
              <w:spacing w:line="248" w:lineRule="auto"/>
            </w:pPr>
            <w:r>
              <w:rPr>
                <w:sz w:val="18"/>
                <w:szCs w:val="18"/>
              </w:rPr>
              <w:t>≈27%</w:t>
            </w:r>
          </w:p>
        </w:tc>
      </w:tr>
      <w:tr w:rsidR="008D7B04" w14:paraId="587DCEA1"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3036BEF" w14:textId="77777777" w:rsidR="008D7B04" w:rsidRDefault="008D7B04" w:rsidP="003F7386">
            <w:pPr>
              <w:spacing w:line="248" w:lineRule="auto"/>
            </w:pPr>
            <w:r>
              <w:rPr>
                <w:sz w:val="18"/>
                <w:szCs w:val="18"/>
              </w:rPr>
              <w:lastRenderedPageBreak/>
              <w:t>Alamos Gold (Mulatos, Sonora)</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550A251"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16FC5E1" w14:textId="77777777" w:rsidR="008D7B04" w:rsidRDefault="008D7B04" w:rsidP="003F7386">
            <w:pPr>
              <w:spacing w:line="248" w:lineRule="auto"/>
            </w:pPr>
            <w:r>
              <w:rPr>
                <w:sz w:val="18"/>
                <w:szCs w:val="18"/>
              </w:rPr>
              <w:t>212,800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8073B61" w14:textId="77777777" w:rsidR="008D7B04" w:rsidRDefault="008D7B04" w:rsidP="003F7386">
            <w:pPr>
              <w:spacing w:line="248" w:lineRule="auto"/>
            </w:pPr>
            <w:r>
              <w:rPr>
                <w:sz w:val="18"/>
                <w:szCs w:val="18"/>
              </w:rPr>
              <w:t>≈16%</w:t>
            </w:r>
          </w:p>
        </w:tc>
      </w:tr>
      <w:tr w:rsidR="008D7B04" w14:paraId="799C85B6"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D6CE0E2" w14:textId="77777777" w:rsidR="008D7B04" w:rsidRDefault="008D7B04" w:rsidP="003F7386">
            <w:pPr>
              <w:spacing w:line="248" w:lineRule="auto"/>
            </w:pPr>
            <w:r>
              <w:rPr>
                <w:sz w:val="18"/>
                <w:szCs w:val="18"/>
              </w:rPr>
              <w:t>Equinox Gold (Los Filos,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4FC3B9C"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B878CBD" w14:textId="77777777" w:rsidR="008D7B04" w:rsidRDefault="008D7B04" w:rsidP="003F7386">
            <w:pPr>
              <w:spacing w:line="248" w:lineRule="auto"/>
            </w:pPr>
            <w:r>
              <w:rPr>
                <w:sz w:val="18"/>
                <w:szCs w:val="18"/>
              </w:rPr>
              <w:t>159,100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A2F09EB" w14:textId="77777777" w:rsidR="008D7B04" w:rsidRDefault="008D7B04" w:rsidP="003F7386">
            <w:pPr>
              <w:spacing w:line="248" w:lineRule="auto"/>
            </w:pPr>
            <w:r>
              <w:rPr>
                <w:sz w:val="18"/>
                <w:szCs w:val="18"/>
              </w:rPr>
              <w:t>≈12%</w:t>
            </w:r>
          </w:p>
        </w:tc>
      </w:tr>
      <w:tr w:rsidR="008D7B04" w14:paraId="684A4740"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4C29560" w14:textId="77777777" w:rsidR="008D7B04" w:rsidRDefault="008D7B04" w:rsidP="003F7386">
            <w:pPr>
              <w:spacing w:line="248" w:lineRule="auto"/>
            </w:pPr>
            <w:r>
              <w:rPr>
                <w:sz w:val="18"/>
                <w:szCs w:val="18"/>
              </w:rPr>
              <w:t>Newmont (Peñasquito, Zacatecas)</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7E939E6" w14:textId="77777777" w:rsidR="008D7B04" w:rsidRDefault="008D7B04" w:rsidP="003F7386">
            <w:pPr>
              <w:spacing w:line="248" w:lineRule="auto"/>
            </w:pPr>
            <w:r>
              <w:rPr>
                <w:sz w:val="18"/>
                <w:szCs w:val="18"/>
              </w:rPr>
              <w:t>Estados Unidos</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95F04F9" w14:textId="77777777" w:rsidR="008D7B04" w:rsidRDefault="008D7B04" w:rsidP="003F7386">
            <w:pPr>
              <w:spacing w:line="248" w:lineRule="auto"/>
            </w:pPr>
            <w:r>
              <w:rPr>
                <w:sz w:val="18"/>
                <w:szCs w:val="18"/>
              </w:rPr>
              <w:t>143,000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D4E84D3" w14:textId="77777777" w:rsidR="008D7B04" w:rsidRDefault="008D7B04" w:rsidP="003F7386">
            <w:pPr>
              <w:spacing w:line="248" w:lineRule="auto"/>
            </w:pPr>
            <w:r>
              <w:rPr>
                <w:sz w:val="18"/>
                <w:szCs w:val="18"/>
              </w:rPr>
              <w:t>≈11%</w:t>
            </w:r>
          </w:p>
        </w:tc>
      </w:tr>
    </w:tbl>
    <w:p w14:paraId="049C4FB9" w14:textId="77777777" w:rsidR="008D7B04" w:rsidRDefault="008D7B04" w:rsidP="008D7B04">
      <w:pPr>
        <w:spacing w:before="50" w:after="180"/>
      </w:pPr>
      <w:r>
        <w:rPr>
          <w:i/>
          <w:iCs/>
          <w:color w:val="666666"/>
          <w:sz w:val="17"/>
          <w:szCs w:val="17"/>
        </w:rPr>
        <w:t>Fuentes: Servicio Geológico Mexicano (2024); Expansión (2025).</w:t>
      </w:r>
    </w:p>
    <w:p w14:paraId="7BAB2E24" w14:textId="77777777" w:rsidR="008D7B04" w:rsidRDefault="008D7B04" w:rsidP="008D7B04">
      <w:pPr>
        <w:pStyle w:val="Ttulo2"/>
      </w:pPr>
      <w:bookmarkStart w:id="68" w:name="_Toc234229587"/>
      <w:r>
        <w:rPr>
          <w:sz w:val="25"/>
          <w:szCs w:val="25"/>
        </w:rPr>
        <w:t>IV.7.3 La adquisición de Goldcorp por Newmont (2019) y el papel de Peñasquito</w:t>
      </w:r>
      <w:bookmarkEnd w:id="68"/>
    </w:p>
    <w:p w14:paraId="71161549" w14:textId="77777777" w:rsidR="008D7B04" w:rsidRDefault="008D7B04" w:rsidP="008D7B04">
      <w:pPr>
        <w:spacing w:after="160" w:line="348" w:lineRule="auto"/>
        <w:ind w:firstLine="720"/>
        <w:jc w:val="both"/>
      </w:pPr>
      <w:r>
        <w:rPr>
          <w:color w:val="000000"/>
        </w:rPr>
        <w:t>La adquisición de Goldcorp por Newmont en 2019 fue el movimiento corporativo más relevante del oro mexicano en el periodo reciente: trasladó al mayor productor de oro del mundo el control de Peñasquito (Zacatecas), desarrollado originalmente por Goldcorp tras comprar Glamis Gold en 2006 e iniciado en producción comercial en 2010. La concentración de la producción de oro en manos de grupos mexicanos (Fresnillo plc / Peñoles) se estimaba en 31% en 2018, según literatura académica, frente a un complemento mayoritario de capital extranjero (Newmont, Torex Gold, Agnico Eagle, Alamos Gold). A nivel corporativo agregado, Grupo México, Peñoles (Met-Mex) y Fresnillo plc representan en conjunto 82% del valor de mercado del sector minero listado en bolsa (De la Garza Pedraza et al., 2021; Cámara Minera de México, 2024).</w:t>
      </w:r>
    </w:p>
    <w:p w14:paraId="773B753F" w14:textId="77777777" w:rsidR="008D7B04" w:rsidRDefault="008D7B04" w:rsidP="008D7B04">
      <w:pPr>
        <w:pStyle w:val="Ttulo2"/>
      </w:pPr>
      <w:bookmarkStart w:id="69" w:name="_Toc234229588"/>
      <w:r>
        <w:rPr>
          <w:sz w:val="25"/>
          <w:szCs w:val="25"/>
        </w:rPr>
        <w:t>IV.7.4 Refinación: Peñoles como líder latinoamericano en oro afinado</w:t>
      </w:r>
      <w:bookmarkEnd w:id="69"/>
    </w:p>
    <w:p w14:paraId="3F0DE919" w14:textId="77777777" w:rsidR="008D7B04" w:rsidRDefault="008D7B04" w:rsidP="008D7B04">
      <w:pPr>
        <w:spacing w:after="160" w:line="348" w:lineRule="auto"/>
        <w:ind w:firstLine="720"/>
        <w:jc w:val="both"/>
      </w:pPr>
      <w:r>
        <w:rPr>
          <w:color w:val="000000"/>
        </w:rPr>
        <w:t>La refinación de oro en México está más concentrada que su extracción. Industrias Peñoles opera Met-Mex Peñoles en Torreón, Coahuila, y se presenta como líder latinoamericano en producción de oro afinado. Buena parte del oro extraído por otras compañías —incluidas empresas junior sin capacidad de refinación propia— se procesa como doré (aleación semirefinada de oro y plata) para exportación o se vende a refinadores especializados. En consecuencia, la concentración en la etapa de refinación de alta pureza es considerablemente mayor que en la de extracción (Industrias Peñoles, s.f.).</w:t>
      </w:r>
    </w:p>
    <w:p w14:paraId="13B43DA0" w14:textId="77777777" w:rsidR="008D7B04" w:rsidRDefault="008D7B04" w:rsidP="008D7B04">
      <w:pPr>
        <w:pStyle w:val="Ttulo2"/>
      </w:pPr>
      <w:bookmarkStart w:id="70" w:name="_Toc234229589"/>
      <w:r>
        <w:rPr>
          <w:sz w:val="25"/>
          <w:szCs w:val="25"/>
        </w:rPr>
        <w:t>IV.7.5 Destino de la producción: exportación mayoritaria y efecto precio en 2024-2025</w:t>
      </w:r>
      <w:bookmarkEnd w:id="70"/>
    </w:p>
    <w:p w14:paraId="04ACD8ED" w14:textId="77777777" w:rsidR="008D7B04" w:rsidRDefault="008D7B04" w:rsidP="008D7B04">
      <w:pPr>
        <w:spacing w:after="160" w:line="348" w:lineRule="auto"/>
        <w:ind w:firstLine="720"/>
        <w:jc w:val="both"/>
      </w:pPr>
      <w:r>
        <w:rPr>
          <w:color w:val="000000"/>
        </w:rPr>
        <w:t xml:space="preserve">El oro mexicano se exporta mayoritariamente en forma de doré o metal refinado hacia Estados Unidos, Canadá y Asia. En 2024, el oro generó 96,050 millones de pesos </w:t>
      </w:r>
      <w:r>
        <w:rPr>
          <w:color w:val="000000"/>
        </w:rPr>
        <w:lastRenderedPageBreak/>
        <w:t>de valor de producción, con un volumen de 68 toneladas —caída de 2.9% en volumen compensada por un alza de precio de 23.9%—, y aportó 30.7% del valor minero-metalúrgico total del país, consolidándose como el mineral de mayor valor económico de la canasta minera mexicana. En 2025, el precio del oro subió 65%, su mayor avance anual desde 1979, lo que elevó el valor de la producción de forma adicional (Aliphat Rodríguez et al., 2025).</w:t>
      </w:r>
    </w:p>
    <w:p w14:paraId="760ABF9B" w14:textId="77777777" w:rsidR="008D7B04" w:rsidRDefault="008D7B04" w:rsidP="008D7B04">
      <w:pPr>
        <w:pStyle w:val="Ttulo2"/>
      </w:pPr>
      <w:bookmarkStart w:id="71" w:name="_Toc234229590"/>
      <w:r>
        <w:rPr>
          <w:sz w:val="25"/>
          <w:szCs w:val="25"/>
        </w:rPr>
        <w:t>IV.7.6 Impacto de la reforma de 2023: freno documentado a la exploración</w:t>
      </w:r>
      <w:bookmarkEnd w:id="71"/>
    </w:p>
    <w:p w14:paraId="15659067" w14:textId="77777777" w:rsidR="008D7B04" w:rsidRDefault="008D7B04" w:rsidP="008D7B04">
      <w:pPr>
        <w:spacing w:after="160" w:line="348" w:lineRule="auto"/>
        <w:ind w:firstLine="720"/>
        <w:jc w:val="both"/>
      </w:pPr>
      <w:r>
        <w:rPr>
          <w:color w:val="000000"/>
        </w:rPr>
        <w:t>El oro, junto con la plata, concentra la mayor parte de los proyectos de exploración afectados por la reforma de 2023. La Cámara Minera de México registró que en 2025 había apenas cinco proyectos de oro y plata iniciando operaciones, frente a un ritmo históricamente mayor. Sonora y Zacatecas —los dos estados líderes en oro— concentran el impacto del congelamiento de nuevas concesiones dado que ambos dependen de un flujo constante de nuevos proyectos de exploración para sostener el ritmo de producción cuando las minas existentes maduran o experimentan caídas de ley mineral (Cámara Minera de México, 2024; Minería en Línea, 2026).</w:t>
      </w:r>
    </w:p>
    <w:p w14:paraId="746172E4" w14:textId="77777777" w:rsidR="008D7B04" w:rsidRDefault="008D7B04" w:rsidP="008D7B04">
      <w:pPr>
        <w:spacing w:before="50" w:after="180"/>
      </w:pPr>
      <w:r>
        <w:rPr>
          <w:i/>
          <w:iCs/>
          <w:color w:val="666666"/>
          <w:sz w:val="17"/>
          <w:szCs w:val="17"/>
        </w:rPr>
        <w:t>Fuentes: Servicio Geológico Mexicano (2024); Expansión (2025); De la Garza Pedraza et al. (2021); Industrias Peñoles (s.f.); The White House (2025); Aliphat Rodríguez et al. (2025); Cámara Minera de México (2024); Minería en Línea (2026).</w:t>
      </w:r>
    </w:p>
    <w:p w14:paraId="59818CDD" w14:textId="77777777" w:rsidR="008D7B04" w:rsidRDefault="008D7B04" w:rsidP="008D7B04">
      <w:pPr>
        <w:pStyle w:val="Ttulo1"/>
        <w:pageBreakBefore/>
        <w:pBdr>
          <w:bottom w:val="single" w:sz="8" w:space="4" w:color="1F3B5C"/>
        </w:pBdr>
      </w:pPr>
      <w:bookmarkStart w:id="72" w:name="_Toc234229591"/>
      <w:r>
        <w:rPr>
          <w:sz w:val="30"/>
          <w:szCs w:val="30"/>
        </w:rPr>
        <w:lastRenderedPageBreak/>
        <w:t>IV.8 Plata</w:t>
      </w:r>
      <w:bookmarkEnd w:id="72"/>
    </w:p>
    <w:p w14:paraId="5A05D3D3" w14:textId="77777777" w:rsidR="008D7B04" w:rsidRDefault="008D7B04" w:rsidP="008D7B04">
      <w:pPr>
        <w:pStyle w:val="Ttulo2"/>
      </w:pPr>
      <w:bookmarkStart w:id="73" w:name="_Toc234229592"/>
      <w:r>
        <w:rPr>
          <w:sz w:val="25"/>
          <w:szCs w:val="25"/>
        </w:rPr>
        <w:t>IV.8.1 Contexto: dieciséis años consecutivos como primer productor mundial</w:t>
      </w:r>
      <w:bookmarkEnd w:id="73"/>
    </w:p>
    <w:p w14:paraId="2C9C21D1" w14:textId="77777777" w:rsidR="008D7B04" w:rsidRDefault="008D7B04" w:rsidP="008D7B04">
      <w:pPr>
        <w:spacing w:after="160" w:line="348" w:lineRule="auto"/>
        <w:ind w:firstLine="720"/>
        <w:jc w:val="both"/>
      </w:pPr>
      <w:r>
        <w:rPr>
          <w:color w:val="000000"/>
        </w:rPr>
        <w:t>México ha sido el primer productor mundial de plata durante dieciséis años consecutivos hasta 2024, con una participación de 24.69% de la producción global en 2025 (Micheli Thirion y Cortés Morales, 2026; U.S. Geological Survey, 2025a). La producción se concentra geográficamente en Zacatecas (entre 33% y 39% según el año), Durango y Chihuahua. La producción nacional fue de 115.5 millones de onzas en 2023 —8.8% por debajo de 2022— y repuntó 13.5% en 2024 hasta 4,078 toneladas (Aliphat Rodríguez et al., 2025).</w:t>
      </w:r>
    </w:p>
    <w:p w14:paraId="7CCA126F" w14:textId="77777777" w:rsidR="008D7B04" w:rsidRDefault="008D7B04" w:rsidP="008D7B04">
      <w:pPr>
        <w:pStyle w:val="Ttulo2"/>
      </w:pPr>
      <w:bookmarkStart w:id="74" w:name="_Toc234229593"/>
      <w:r>
        <w:rPr>
          <w:sz w:val="25"/>
          <w:szCs w:val="25"/>
        </w:rPr>
        <w:t>IV.8.2 Una distinción indispensable: extracción y refinación son eslabones distintos con estructuras distintas</w:t>
      </w:r>
      <w:bookmarkEnd w:id="74"/>
    </w:p>
    <w:p w14:paraId="6F321F69" w14:textId="77777777" w:rsidR="008D7B04" w:rsidRDefault="008D7B04" w:rsidP="008D7B04">
      <w:pPr>
        <w:spacing w:after="160" w:line="348" w:lineRule="auto"/>
        <w:ind w:firstLine="720"/>
        <w:jc w:val="both"/>
      </w:pPr>
      <w:r>
        <w:rPr>
          <w:color w:val="000000"/>
        </w:rPr>
        <w:t>Para analizar la concentración empresarial de la plata es indispensable distinguir con precisión dos cifras que pueden prestarse a confusión si se presentan juntas sin contexto. La participación de mercado de Fresnillo plc (aproximadamente 30%) corresponde a la extracción: cuánta plata en bruto sale de minas de su propiedad frente al total nacional extraído por todas las empresas. La participación de Industrias Peñoles (89%) corresponde a la refinación: qué proporción de toda la plata mexicana —la de Fresnillo, la de Newmont, la de Grupo México y la de cualquier otro productor— se convierte en metal afinado dentro de México y en la planta de qué empresa. Son dos medidas de dos eslabones distintos. No son contradictorias sino complementarias: en gran medida, la plata que Fresnillo extrae termina siendo refinada por Peñoles, dado que ambas compañías, aunque jurídicamente separadas desde 2008, comparten el mismo accionista de control (Grupo BAL, familia Baillères) (Industrias Peñoles, s.f.; Cámara Minera de México, 2025b).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660"/>
      </w:tblGrid>
      <w:tr w:rsidR="008D7B04" w14:paraId="25EF4F9A" w14:textId="77777777" w:rsidTr="003F7386">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0EBFF58" w14:textId="77777777" w:rsidR="008D7B04" w:rsidRDefault="008D7B04" w:rsidP="003F7386">
            <w:r>
              <w:rPr>
                <w:b/>
                <w:bCs/>
                <w:color w:val="FFFFFF"/>
                <w:sz w:val="18"/>
                <w:szCs w:val="18"/>
              </w:rPr>
              <w:t>Eslabón de la cadena</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8AFCB15" w14:textId="77777777" w:rsidR="008D7B04" w:rsidRDefault="008D7B04" w:rsidP="003F7386">
            <w:r>
              <w:rPr>
                <w:b/>
                <w:bCs/>
                <w:color w:val="FFFFFF"/>
                <w:sz w:val="18"/>
                <w:szCs w:val="18"/>
              </w:rPr>
              <w:t>Empresa líder</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B0E9EB2" w14:textId="77777777" w:rsidR="008D7B04" w:rsidRDefault="008D7B04" w:rsidP="003F7386">
            <w:r>
              <w:rPr>
                <w:b/>
                <w:bCs/>
                <w:color w:val="FFFFFF"/>
                <w:sz w:val="18"/>
                <w:szCs w:val="18"/>
              </w:rPr>
              <w:t>Participación de mercado</w:t>
            </w:r>
          </w:p>
        </w:tc>
        <w:tc>
          <w:tcPr>
            <w:tcW w:w="26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AEB0A19" w14:textId="77777777" w:rsidR="008D7B04" w:rsidRDefault="008D7B04" w:rsidP="003F7386">
            <w:r>
              <w:rPr>
                <w:b/>
                <w:bCs/>
                <w:color w:val="FFFFFF"/>
                <w:sz w:val="18"/>
                <w:szCs w:val="18"/>
              </w:rPr>
              <w:t>Qué mide exactamente</w:t>
            </w:r>
          </w:p>
        </w:tc>
      </w:tr>
      <w:tr w:rsidR="008D7B04" w14:paraId="3863CB09"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8CD9DC9" w14:textId="77777777" w:rsidR="008D7B04" w:rsidRDefault="008D7B04" w:rsidP="003F7386">
            <w:pPr>
              <w:spacing w:line="248" w:lineRule="auto"/>
            </w:pPr>
            <w:r>
              <w:rPr>
                <w:sz w:val="18"/>
                <w:szCs w:val="18"/>
              </w:rPr>
              <w:t>Extracción (mineral en bruto)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32B15DE" w14:textId="77777777" w:rsidR="008D7B04" w:rsidRDefault="008D7B04" w:rsidP="003F7386">
            <w:pPr>
              <w:spacing w:line="248" w:lineRule="auto"/>
            </w:pPr>
            <w:r>
              <w:rPr>
                <w:sz w:val="18"/>
                <w:szCs w:val="18"/>
              </w:rPr>
              <w:t>Fresnillo plc</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6F2A411" w14:textId="77777777" w:rsidR="008D7B04" w:rsidRDefault="008D7B04" w:rsidP="003F7386">
            <w:pPr>
              <w:spacing w:line="248" w:lineRule="auto"/>
            </w:pPr>
            <w:r>
              <w:rPr>
                <w:sz w:val="18"/>
                <w:szCs w:val="18"/>
              </w:rPr>
              <w:t>≈29-30% (2020)</w:t>
            </w:r>
          </w:p>
        </w:tc>
        <w:tc>
          <w:tcPr>
            <w:tcW w:w="26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58CDF6A" w14:textId="77777777" w:rsidR="008D7B04" w:rsidRDefault="008D7B04" w:rsidP="003F7386">
            <w:pPr>
              <w:spacing w:line="248" w:lineRule="auto"/>
            </w:pPr>
            <w:r>
              <w:rPr>
                <w:sz w:val="18"/>
                <w:szCs w:val="18"/>
              </w:rPr>
              <w:t>Onzas extraídas de minas de Fresnillo frente al total nacional</w:t>
            </w:r>
          </w:p>
        </w:tc>
      </w:tr>
      <w:tr w:rsidR="008D7B04" w14:paraId="1EABF30C"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770F6E7" w14:textId="77777777" w:rsidR="008D7B04" w:rsidRDefault="008D7B04" w:rsidP="003F7386">
            <w:pPr>
              <w:spacing w:line="248" w:lineRule="auto"/>
            </w:pPr>
            <w:r>
              <w:rPr>
                <w:sz w:val="18"/>
                <w:szCs w:val="18"/>
              </w:rPr>
              <w:t>Refinación (metal afinado)</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3BCE590" w14:textId="77777777" w:rsidR="008D7B04" w:rsidRDefault="008D7B04" w:rsidP="003F7386">
            <w:pPr>
              <w:spacing w:line="248" w:lineRule="auto"/>
            </w:pPr>
            <w:r>
              <w:rPr>
                <w:sz w:val="18"/>
                <w:szCs w:val="18"/>
              </w:rPr>
              <w:t>Industrias Peñoles</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30BFC9DD" w14:textId="77777777" w:rsidR="008D7B04" w:rsidRDefault="008D7B04" w:rsidP="003F7386">
            <w:pPr>
              <w:spacing w:line="248" w:lineRule="auto"/>
            </w:pPr>
            <w:r>
              <w:rPr>
                <w:sz w:val="18"/>
                <w:szCs w:val="18"/>
              </w:rPr>
              <w:t>≈89%</w:t>
            </w:r>
          </w:p>
        </w:tc>
        <w:tc>
          <w:tcPr>
            <w:tcW w:w="26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8AFE333" w14:textId="77777777" w:rsidR="008D7B04" w:rsidRDefault="008D7B04" w:rsidP="003F7386">
            <w:pPr>
              <w:spacing w:line="248" w:lineRule="auto"/>
            </w:pPr>
            <w:r>
              <w:rPr>
                <w:sz w:val="18"/>
                <w:szCs w:val="18"/>
              </w:rPr>
              <w:t xml:space="preserve">Onzas de plata afinada (de cualquier productor) </w:t>
            </w:r>
            <w:r>
              <w:rPr>
                <w:sz w:val="18"/>
                <w:szCs w:val="18"/>
              </w:rPr>
              <w:lastRenderedPageBreak/>
              <w:t>procesadas en Met-Mex Peñoles, Torreón</w:t>
            </w:r>
          </w:p>
        </w:tc>
      </w:tr>
    </w:tbl>
    <w:p w14:paraId="4597CCD4" w14:textId="77777777" w:rsidR="008D7B04" w:rsidRDefault="008D7B04" w:rsidP="008D7B04">
      <w:pPr>
        <w:pStyle w:val="Ttulo2"/>
      </w:pPr>
      <w:bookmarkStart w:id="75" w:name="_Toc234229594"/>
      <w:r>
        <w:rPr>
          <w:sz w:val="25"/>
          <w:szCs w:val="25"/>
        </w:rPr>
        <w:lastRenderedPageBreak/>
        <w:t>IV.8.3 La escisión de Fresnillo plc de Peñoles (2008): hito corporativo del mercado de plata</w:t>
      </w:r>
      <w:bookmarkEnd w:id="75"/>
    </w:p>
    <w:p w14:paraId="6B99C711" w14:textId="77777777" w:rsidR="008D7B04" w:rsidRDefault="008D7B04" w:rsidP="008D7B04">
      <w:pPr>
        <w:spacing w:after="160" w:line="348" w:lineRule="auto"/>
        <w:ind w:firstLine="720"/>
        <w:jc w:val="both"/>
      </w:pPr>
      <w:r>
        <w:rPr>
          <w:color w:val="000000"/>
        </w:rPr>
        <w:t>Hasta 2008, las operaciones de plata y oro de Industrias Peñoles estaban integradas dentro del mismo corporativo que sus metales base. Ese año, Peñoles separó las operaciones de metales preciosos en una nueva entidad, Fresnillo plc, que debutó en la Bolsa de Londres convirtiéndose en la primera empresa mexicana en cotizar ahí y en integrar el índice FTSE100. Peñoles conservó 77.1% de Fresnillo plc en el momento de la salida a bolsa, porcentaje que se sitúa en 74.99% en los años más recientes. Aunque jurídicamente separadas, ambas compañías permanecen bajo el control del mismo grupo familiar, de modo que la escisión representó una reorganización financiera y bursátil más que una modificación de fondo de la estructura de poder de mercado (Industrias Peñoles, s.f.; Cámara Minera de México, 2025b).</w:t>
      </w:r>
    </w:p>
    <w:p w14:paraId="0576C027" w14:textId="77777777" w:rsidR="008D7B04" w:rsidRDefault="008D7B04" w:rsidP="008D7B04">
      <w:pPr>
        <w:pStyle w:val="Ttulo2"/>
      </w:pPr>
      <w:bookmarkStart w:id="76" w:name="_Toc234229595"/>
      <w:r>
        <w:rPr>
          <w:sz w:val="25"/>
          <w:szCs w:val="25"/>
        </w:rPr>
        <w:t>IV.8.4 Las cinco grandes empresas del oligopolio de extracción (2019-2024)</w:t>
      </w:r>
      <w:bookmarkEnd w:id="76"/>
    </w:p>
    <w:p w14:paraId="37B65E14" w14:textId="77777777" w:rsidR="008D7B04" w:rsidRDefault="008D7B04" w:rsidP="008D7B04">
      <w:pPr>
        <w:spacing w:after="160" w:line="348" w:lineRule="auto"/>
        <w:ind w:firstLine="720"/>
        <w:jc w:val="both"/>
      </w:pPr>
      <w:r>
        <w:rPr>
          <w:color w:val="000000"/>
        </w:rPr>
        <w:t>Hacia 2020, la Cámara Minera de México identificaba cinco grandes productores como el núcleo de la oferta nacional de plata en extracción. Fresnillo plc lideraba con 29.4% de la producción nacional; seguido de Newmont, que opera Peñasquito (27.8 millones de onzas en 2020, la mayor mina individual del país en plata); Grupo México; Industrias Peñoles (directamente, vía minas polimetálicas de zinc-plomo-cobre que arrastran contenido argentífero); y First Majestic Silver (empresa canadiense especializada en plata). El total nacional en 2020 fue de 180.2 millones de onzas (Cámara Minera de México, 2025b).</w:t>
      </w:r>
    </w:p>
    <w:p w14:paraId="6A43EACC" w14:textId="77777777" w:rsidR="008D7B04" w:rsidRDefault="008D7B04" w:rsidP="008D7B04">
      <w:pPr>
        <w:pStyle w:val="Ttulo2"/>
      </w:pPr>
      <w:bookmarkStart w:id="77" w:name="_Toc234229596"/>
      <w:r>
        <w:rPr>
          <w:sz w:val="25"/>
          <w:szCs w:val="25"/>
        </w:rPr>
        <w:t>IV.8.5 Destino de la producción: el patrón paradójico de la plata mexicana</w:t>
      </w:r>
      <w:bookmarkEnd w:id="77"/>
    </w:p>
    <w:p w14:paraId="4A938387" w14:textId="77777777" w:rsidR="008D7B04" w:rsidRDefault="008D7B04" w:rsidP="008D7B04">
      <w:pPr>
        <w:spacing w:after="160" w:line="348" w:lineRule="auto"/>
        <w:ind w:firstLine="720"/>
        <w:jc w:val="both"/>
      </w:pPr>
      <w:r>
        <w:rPr>
          <w:color w:val="000000"/>
        </w:rPr>
        <w:t xml:space="preserve">El comercio exterior de la plata mexicana revela un patrón llamativo que ilustra la distinción entre los dos eslabones de la cadena. La plata sin refinar (concentrado argentífero) se exporta principalmente a China (87 millones de dólares en 2024), seguida de Canadá (28.2 millones) y Alemania (10.3 millones), para fundición en plantas </w:t>
      </w:r>
      <w:r>
        <w:rPr>
          <w:color w:val="000000"/>
        </w:rPr>
        <w:lastRenderedPageBreak/>
        <w:t>especializadas. En cambio, la plata ya refinada —en bruto, semilabrada o en polvo— se exporta abrumadoramente a Estados Unidos (2,587 millones de dólares en 2024), con Japón como segundo destino (374 millones) y Brasil como tercero (33 millones), con Coahuila —sede de Met-Mex Peñoles en Torreón— como la entidad federativa exportadora dominante (2,103 millones de dólares). En el contexto global, México fue en 2022 el principal exportador mundial de plata en bruto, semilabrada o en polvo, con 2,584 millones de dólares (Secretaría de Economía / DataMéxico, 2025b).</w:t>
      </w:r>
    </w:p>
    <w:p w14:paraId="1829AFB5" w14:textId="77777777" w:rsidR="008D7B04" w:rsidRDefault="008D7B04" w:rsidP="008D7B04">
      <w:pPr>
        <w:pStyle w:val="Ttulo2"/>
      </w:pPr>
      <w:bookmarkStart w:id="78" w:name="_Toc234229597"/>
      <w:r>
        <w:rPr>
          <w:sz w:val="25"/>
          <w:szCs w:val="25"/>
        </w:rPr>
        <w:t>IV.8.6 Impacto de la reforma de 2023: protección de corto plazo, exposición en el largo</w:t>
      </w:r>
      <w:bookmarkEnd w:id="78"/>
    </w:p>
    <w:p w14:paraId="1246682E" w14:textId="77777777" w:rsidR="008D7B04" w:rsidRDefault="008D7B04" w:rsidP="008D7B04">
      <w:pPr>
        <w:spacing w:after="160" w:line="348" w:lineRule="auto"/>
        <w:ind w:firstLine="720"/>
        <w:jc w:val="both"/>
      </w:pPr>
      <w:r>
        <w:rPr>
          <w:color w:val="000000"/>
        </w:rPr>
        <w:t>Las concesiones más productivas de Peñoles y Fresnillo plc tienen vigencias de largo plazo anteriores a la reforma: las principales de Peñoles vencen hasta 2065, y la mina Saucito —entre las dos mayores productoras individuales de plata del mundo— tiene como fecha límite el 26 de agosto de 2052. Esto sitúa a ambas empresas en posición similar a la de Grupo México en cobre: protegidas en el corto y mediano plazo, pero expuestas en el largo plazo a la incertidumbre sobre el nuevo régimen de licitaciones para cualquier expansión. El congelamiento de nuevas concesiones afecta especialmente a Zacatecas, el estado líder en plata: el conjunto de proyectos de exploración que alimentaría la producción de la próxima década permanece paralizado (Minería en Línea, 2026; Secretaría de Economía, 2024a).</w:t>
      </w:r>
    </w:p>
    <w:p w14:paraId="321773BE" w14:textId="77777777" w:rsidR="008D7B04" w:rsidRDefault="008D7B04" w:rsidP="008D7B04">
      <w:pPr>
        <w:spacing w:before="50" w:after="180"/>
      </w:pPr>
      <w:r>
        <w:rPr>
          <w:i/>
          <w:iCs/>
          <w:color w:val="666666"/>
          <w:sz w:val="17"/>
          <w:szCs w:val="17"/>
        </w:rPr>
        <w:t>Fuentes: Cámara Minera de México (2025b); Industrias Peñoles (s.f.); Micheli Thirion y Cortés Morales (2026); U.S. Geological Survey (2025a); Secretaría de Economía / DataMéxico (2025b); Aliphat Rodríguez et al. (2025); Minería en Línea (2026).</w:t>
      </w:r>
    </w:p>
    <w:p w14:paraId="48C0215B" w14:textId="77777777" w:rsidR="008D7B04" w:rsidRDefault="008D7B04" w:rsidP="008D7B04">
      <w:pPr>
        <w:pStyle w:val="Ttulo1"/>
        <w:pageBreakBefore/>
        <w:pBdr>
          <w:bottom w:val="single" w:sz="8" w:space="4" w:color="1F3B5C"/>
        </w:pBdr>
      </w:pPr>
      <w:bookmarkStart w:id="79" w:name="_Toc234229598"/>
      <w:r>
        <w:rPr>
          <w:sz w:val="30"/>
          <w:szCs w:val="30"/>
        </w:rPr>
        <w:lastRenderedPageBreak/>
        <w:t>IV.9 Plomo</w:t>
      </w:r>
      <w:bookmarkEnd w:id="79"/>
    </w:p>
    <w:p w14:paraId="0DCC7807" w14:textId="77777777" w:rsidR="008D7B04" w:rsidRDefault="008D7B04" w:rsidP="008D7B04">
      <w:pPr>
        <w:pStyle w:val="Ttulo2"/>
      </w:pPr>
      <w:bookmarkStart w:id="80" w:name="_Toc234229599"/>
      <w:r>
        <w:rPr>
          <w:sz w:val="25"/>
          <w:szCs w:val="25"/>
        </w:rPr>
        <w:t>IV.9.1 Contexto: cuarto productor mundial, con China como líder global</w:t>
      </w:r>
      <w:bookmarkEnd w:id="80"/>
    </w:p>
    <w:p w14:paraId="78256175" w14:textId="77777777" w:rsidR="008D7B04" w:rsidRDefault="008D7B04" w:rsidP="008D7B04">
      <w:pPr>
        <w:spacing w:after="160" w:line="348" w:lineRule="auto"/>
        <w:ind w:firstLine="720"/>
        <w:jc w:val="both"/>
      </w:pPr>
      <w:r>
        <w:rPr>
          <w:color w:val="000000"/>
        </w:rPr>
        <w:t>México mantiene el cuarto lugar mundial en producción de plomo —con China como líder global con 42% de la participación mundial—, extrayéndolo predominantemente como subproducto de yacimientos polimetálicos de plata-plomo-zinc. En 2024, Zacatecas concentró 65.1% de la producción nacional, seguido por Durango con 10.2% (Secretaría de Economía, 2024b; U.S. Geological Survey, 2025a).</w:t>
      </w:r>
    </w:p>
    <w:p w14:paraId="4D18B931" w14:textId="77777777" w:rsidR="008D7B04" w:rsidRDefault="008D7B04" w:rsidP="008D7B04">
      <w:pPr>
        <w:pStyle w:val="Ttulo2"/>
      </w:pPr>
      <w:bookmarkStart w:id="81" w:name="_Toc234229600"/>
      <w:r>
        <w:rPr>
          <w:sz w:val="25"/>
          <w:szCs w:val="25"/>
        </w:rPr>
        <w:t>IV.9.2 Monopolio de refinación: Industrias Peñoles refina el 100% del plomo afinado nacional</w:t>
      </w:r>
      <w:bookmarkEnd w:id="81"/>
    </w:p>
    <w:p w14:paraId="48857806" w14:textId="77777777" w:rsidR="008D7B04" w:rsidRDefault="008D7B04" w:rsidP="008D7B04">
      <w:pPr>
        <w:spacing w:after="160" w:line="348" w:lineRule="auto"/>
        <w:ind w:firstLine="720"/>
        <w:jc w:val="both"/>
      </w:pPr>
      <w:r>
        <w:rPr>
          <w:color w:val="000000"/>
        </w:rPr>
        <w:t>El plomo es el metal base del corpus con la concentración más extrema en refinación: Industrias Peñoles refina el 100% del plomo afinado producido en México, a través de su Refinería de Plomo-Plata en el complejo Met-Mex de Torreón, Coahuila, considerado el complejo metalúrgico no ferroso más grande de América Latina. Peñoles se presenta públicamente como líder latinoamericano en la producción de oro y plomo afinados. Esta posición de monopolio en refinación se ha mantenido sin cambios relevantes durante todo el periodo 1993-2025 (Industrias Peñoles, s.f.).</w:t>
      </w:r>
    </w:p>
    <w:p w14:paraId="435A553F" w14:textId="77777777" w:rsidR="008D7B04" w:rsidRDefault="008D7B04" w:rsidP="008D7B04">
      <w:pPr>
        <w:pStyle w:val="Ttulo2"/>
      </w:pPr>
      <w:bookmarkStart w:id="82" w:name="_Toc234229601"/>
      <w:r>
        <w:rPr>
          <w:sz w:val="25"/>
          <w:szCs w:val="25"/>
        </w:rPr>
        <w:t>IV.9.3 Extracción: oligopolio entre Peñoles, Grupo México y Minera Frisco</w:t>
      </w:r>
      <w:bookmarkEnd w:id="82"/>
    </w:p>
    <w:p w14:paraId="7B852E45" w14:textId="77777777" w:rsidR="008D7B04" w:rsidRDefault="008D7B04" w:rsidP="008D7B04">
      <w:pPr>
        <w:spacing w:after="160" w:line="348" w:lineRule="auto"/>
        <w:ind w:firstLine="720"/>
        <w:jc w:val="both"/>
      </w:pPr>
      <w:r>
        <w:rPr>
          <w:color w:val="000000"/>
        </w:rPr>
        <w:t>A nivel de extracción, el plomo se reparte entre Industrias Peñoles —que opera la mina Naica (Chihuahua) y la mina Francisco I. Madero (Chihuahua/Zacatecas), identificada como la mayor mina subterránea de zinc del país y también productora de plomo—, Grupo México y Minera Frisco (Grupo Carso, de Carlos Slim), que produce concentrados de plomo-plata, zinc y cobre. No se ha registrado la consolidación de un competidor especializado en plomo de escala nacional durante el periodo estudiado. La producción de plomo mostró un repunte notable en 2024, con crecimientos interanuales de hasta 89.2% en ciertos meses según el Boletín Estadístico de la Secretaría de Economía, alcanzando 12,485 toneladas en junio de ese año frente a 6,599 toneladas en el mismo mes del año anterior (Secretaría de Economía, 2024b).</w:t>
      </w:r>
    </w:p>
    <w:p w14:paraId="3F4D0BD8" w14:textId="77777777" w:rsidR="008D7B04" w:rsidRDefault="008D7B04" w:rsidP="008D7B04">
      <w:pPr>
        <w:pStyle w:val="Ttulo2"/>
      </w:pPr>
      <w:bookmarkStart w:id="83" w:name="_Toc234229602"/>
      <w:r>
        <w:rPr>
          <w:sz w:val="25"/>
          <w:szCs w:val="25"/>
        </w:rPr>
        <w:t>IV.9.4 Destino de la producción: mercado interno de baterías de plomo-ácido</w:t>
      </w:r>
      <w:bookmarkEnd w:id="83"/>
    </w:p>
    <w:p w14:paraId="09CC4433" w14:textId="77777777" w:rsidR="008D7B04" w:rsidRDefault="008D7B04" w:rsidP="008D7B04">
      <w:pPr>
        <w:spacing w:after="160" w:line="348" w:lineRule="auto"/>
        <w:ind w:firstLine="720"/>
        <w:jc w:val="both"/>
      </w:pPr>
      <w:r>
        <w:rPr>
          <w:color w:val="000000"/>
        </w:rPr>
        <w:lastRenderedPageBreak/>
        <w:t>El plomo refinado mexicano se destina principalmente a la fabricación de baterías de plomo-ácido, tanto para arranque automotriz como para baterías industriales de respaldo en telecomunicaciones y sistemas de energía, un mercado con fuerte presencia de manufactura instalada en México. A diferencia del cobre o la plata, el plomo no muestra un destino de exportación único dominante; la producción secundaria —proveniente del reciclaje de chatarra y baterías usadas— cobra peso creciente a nivel mundial e interno, lo que reduce con el tiempo la dependencia del mercado de baterías respecto de la extracción minera primaria (Aliphat Rodríguez et al., 2025).</w:t>
      </w:r>
    </w:p>
    <w:p w14:paraId="7C610D20" w14:textId="77777777" w:rsidR="008D7B04" w:rsidRDefault="008D7B04" w:rsidP="008D7B04">
      <w:pPr>
        <w:pStyle w:val="Ttulo2"/>
      </w:pPr>
      <w:bookmarkStart w:id="84" w:name="_Toc234229603"/>
      <w:r>
        <w:rPr>
          <w:sz w:val="25"/>
          <w:szCs w:val="25"/>
        </w:rPr>
        <w:t>IV.9.5 Impacto de la reforma de 2023: efecto derivado del zinc y la plata</w:t>
      </w:r>
      <w:bookmarkEnd w:id="84"/>
    </w:p>
    <w:p w14:paraId="32417219" w14:textId="77777777" w:rsidR="008D7B04" w:rsidRDefault="008D7B04" w:rsidP="008D7B04">
      <w:pPr>
        <w:spacing w:after="160" w:line="348" w:lineRule="auto"/>
        <w:ind w:firstLine="720"/>
        <w:jc w:val="both"/>
      </w:pPr>
      <w:r>
        <w:rPr>
          <w:color w:val="000000"/>
        </w:rPr>
        <w:t>El plomo, al producirse casi siempre como subproducto de minas de plata y zinc, comparte el mismo perfil de exposición a la reforma de 2023 que esos minerales: las operaciones existentes de Peñoles, Grupo México y Frisco cuentan con concesiones de largo plazo —algunas hasta la década de 2060— que los protegen en el corto plazo. El impacto de la reforma recae sobre la posibilidad de desarrollar nuevos yacimientos polimetálicos plomo-zinc-plata, función ahora reservada en exclusiva al Servicio Geológico Mexicano (Secretaría de Economía, 2024a).</w:t>
      </w:r>
    </w:p>
    <w:p w14:paraId="13C2EB19" w14:textId="77777777" w:rsidR="008D7B04" w:rsidRDefault="008D7B04" w:rsidP="008D7B04">
      <w:pPr>
        <w:spacing w:before="50" w:after="180"/>
      </w:pPr>
      <w:r>
        <w:rPr>
          <w:i/>
          <w:iCs/>
          <w:color w:val="666666"/>
          <w:sz w:val="17"/>
          <w:szCs w:val="17"/>
        </w:rPr>
        <w:t>Fuentes: Industrias Peñoles (s.f.); Secretaría de Economía (2024b); U.S. Geological Survey (2025a); Aliphat Rodríguez et al. (2025).</w:t>
      </w:r>
    </w:p>
    <w:p w14:paraId="37C1D288" w14:textId="77777777" w:rsidR="008D7B04" w:rsidRDefault="008D7B04" w:rsidP="008D7B04">
      <w:pPr>
        <w:pStyle w:val="Ttulo1"/>
        <w:pageBreakBefore/>
        <w:pBdr>
          <w:bottom w:val="single" w:sz="8" w:space="4" w:color="1F3B5C"/>
        </w:pBdr>
      </w:pPr>
      <w:bookmarkStart w:id="85" w:name="_Toc234229604"/>
      <w:r>
        <w:rPr>
          <w:sz w:val="30"/>
          <w:szCs w:val="30"/>
        </w:rPr>
        <w:lastRenderedPageBreak/>
        <w:t>IV.10 Sílice (arena sílica)</w:t>
      </w:r>
      <w:bookmarkEnd w:id="85"/>
    </w:p>
    <w:p w14:paraId="21B68AF1" w14:textId="77777777" w:rsidR="008D7B04" w:rsidRDefault="008D7B04" w:rsidP="008D7B04">
      <w:pPr>
        <w:pStyle w:val="Ttulo2"/>
      </w:pPr>
      <w:bookmarkStart w:id="86" w:name="_Toc234229605"/>
      <w:r>
        <w:rPr>
          <w:sz w:val="25"/>
          <w:szCs w:val="25"/>
        </w:rPr>
        <w:t>IV.10.1 Contexto: recurso abundante, aplicaciones industriales y emergentes</w:t>
      </w:r>
      <w:bookmarkEnd w:id="86"/>
    </w:p>
    <w:p w14:paraId="72FD09BA" w14:textId="77777777" w:rsidR="008D7B04" w:rsidRDefault="008D7B04" w:rsidP="008D7B04">
      <w:pPr>
        <w:spacing w:after="160" w:line="348" w:lineRule="auto"/>
        <w:ind w:firstLine="720"/>
        <w:jc w:val="both"/>
      </w:pPr>
      <w:r>
        <w:rPr>
          <w:color w:val="000000"/>
        </w:rPr>
        <w:t>La sílice (cuarzo / dióxido de silicio, SiO₂) en México no es un mineral de yacimientos escasos sino un recurso relativamente abundante, con depósitos documentados en Coahuila, Durango, Jalisco, San Luis Potosí y Guanajuato, entre otros estados. Sus aplicaciones van desde la industria del vidrio y la fundición hasta la filtración de agua, la fracturación hidráulica y, más recientemente, la manufactura de semiconductores, paneles solares y fibra óptica. La mina San Emilio, en Lagos de Moreno (Jalisco), se documenta como uno de los yacimientos de cuarzo de mayor calidad y reservas del país (Secretaría de Economía, 2021c).</w:t>
      </w:r>
    </w:p>
    <w:p w14:paraId="706B1E07" w14:textId="7ED308B2" w:rsidR="008D7B04" w:rsidRDefault="008D7B04" w:rsidP="008D7B04">
      <w:pPr>
        <w:pStyle w:val="Ttulo2"/>
      </w:pPr>
      <w:bookmarkStart w:id="87" w:name="_Toc234229606"/>
      <w:r>
        <w:rPr>
          <w:sz w:val="25"/>
          <w:szCs w:val="25"/>
        </w:rPr>
        <w:t xml:space="preserve">IV.10.2 </w:t>
      </w:r>
      <w:bookmarkEnd w:id="87"/>
      <w:r w:rsidR="00135564" w:rsidRPr="00135564">
        <w:rPr>
          <w:sz w:val="25"/>
          <w:szCs w:val="25"/>
        </w:rPr>
        <w:t>Un mercado concentrado bajo un operador dominante no evidente</w:t>
      </w:r>
    </w:p>
    <w:p w14:paraId="586BDD51" w14:textId="37A856AF" w:rsidR="008D7B04" w:rsidRPr="005113D4" w:rsidRDefault="005113D4" w:rsidP="00135564">
      <w:pPr>
        <w:spacing w:after="160" w:line="348" w:lineRule="auto"/>
        <w:jc w:val="both"/>
        <w:rPr>
          <w:color w:val="000000"/>
        </w:rPr>
      </w:pPr>
      <w:r w:rsidRPr="005113D4">
        <w:rPr>
          <w:color w:val="000000"/>
        </w:rPr>
        <w:t>Contra la percepción de que la sílice sería el mercado más atomizado del corpus —sugerida por los directorios industriales especializados (QuimiNet, Cosmos), que listan decenas de proveedores— los datos de producción por empresa de los Informes Anuales de la Cámara Minera de México revelan un mercado altamente concentrado. El mayor productor nacional de arena sílica es Grupo Materias Primas, empresa fundada en 1955 y subsidiaria de Covia Corporation (líder mundial de sílice de alta pureza, resultado de la fusión de Unimin y Fairmount Santrol, con ocho plantas en México), cuya participación en la producción nacional osciló entre 74% y 99% durante 2020–2024. La aparente contradicción con la presencia global de Covia se resuelve al advertir que la compañía opera en México bajo el nombre de su subsidiaria histórica —Grupo Materias Primas, aliada de Unimin desde 1997— y no bajo su denominación corporativa. Debe precisarse que esta concentración corresponde al submercado de la sílice industrial de alta pureza (vidrio, fundición, cerámica), que es el que capturan las estadísticas formales de INEGI y CAMIMEX; la arena silícea común destinada a la construcción sí conforma un mercado fragmentado de bancos locales, mayoritariamente informal, que no aparece en dichas estadísticas y, por tanto, queda fuera de la medición del índice de concentración utilizado en esta investigación (Cámara Minera de México, 2022–2025; INEGI; Grupo Materias Primas / Covia, 2025).</w:t>
      </w:r>
    </w:p>
    <w:p w14:paraId="3D16401F" w14:textId="77777777" w:rsidR="008D7B04" w:rsidRDefault="008D7B04" w:rsidP="008D7B04">
      <w:pPr>
        <w:pStyle w:val="Ttulo2"/>
      </w:pPr>
      <w:bookmarkStart w:id="88" w:name="_Toc234229607"/>
      <w:r>
        <w:rPr>
          <w:sz w:val="25"/>
          <w:szCs w:val="25"/>
        </w:rPr>
        <w:lastRenderedPageBreak/>
        <w:t>IV.10.3 Destino de la producción: consumo interno mayoritario</w:t>
      </w:r>
      <w:bookmarkEnd w:id="88"/>
    </w:p>
    <w:p w14:paraId="19A6BAFB" w14:textId="77777777" w:rsidR="008D7B04" w:rsidRDefault="008D7B04" w:rsidP="008D7B04">
      <w:pPr>
        <w:spacing w:after="160" w:line="348" w:lineRule="auto"/>
        <w:ind w:firstLine="720"/>
        <w:jc w:val="both"/>
      </w:pPr>
      <w:r>
        <w:rPr>
          <w:color w:val="000000"/>
        </w:rPr>
        <w:t>A diferencia de la fluorita, el grafito o la barita, el sílice mexicano se consume en proporción alta dentro del mercado interno, dado su uso intensivo en industrias instaladas en México: vidrio para envases de bebidas (uno de los sectores exportadores más dinámicos del país), fundición de piezas automotrices y construcción. Hacia 2023-2025, la demanda mexicana de sílice ha crecido ligada al auge de la manufactura nacional de vidrio para exportación, la manufactura automotriz y, en menor medida, el nearshoring de industria electrónica y de paneles solares. La porción exportable es de menor magnitud (Aliphat Rodríguez et al., 2025; Secretaría de Economía, 2021c).</w:t>
      </w:r>
    </w:p>
    <w:p w14:paraId="2C60013B" w14:textId="77777777" w:rsidR="008D7B04" w:rsidRDefault="008D7B04" w:rsidP="008D7B04">
      <w:pPr>
        <w:pStyle w:val="Ttulo2"/>
      </w:pPr>
      <w:bookmarkStart w:id="89" w:name="_Toc234229608"/>
      <w:r>
        <w:rPr>
          <w:sz w:val="25"/>
          <w:szCs w:val="25"/>
        </w:rPr>
        <w:t>IV.10.4 Impacto de la reforma de 2023: efecto diferenciado en productores pequeños</w:t>
      </w:r>
      <w:bookmarkEnd w:id="89"/>
    </w:p>
    <w:p w14:paraId="7A1C0A4C" w14:textId="0DD9243C" w:rsidR="008D7B04" w:rsidRPr="005113D4" w:rsidRDefault="008D7B04" w:rsidP="005113D4">
      <w:pPr>
        <w:spacing w:after="160" w:line="348" w:lineRule="auto"/>
        <w:ind w:firstLine="720"/>
        <w:jc w:val="both"/>
        <w:rPr>
          <w:color w:val="000000"/>
        </w:rPr>
      </w:pPr>
      <w:r>
        <w:rPr>
          <w:color w:val="000000"/>
        </w:rPr>
        <w:t xml:space="preserve">El mercado fragmentado de la sílice ilustra un efecto de la reforma de 2023 que rara vez se discute: el congelamiento del sistema de concesiones y la exclusividad del SGM sobre la exploración afectan de forma desproporcionada a productores pequeños y medianos sin departamentos legales o de relaciones gubernamentales dedicados, en comparación con los grandes grupos que cuentan con bancos de concesiones de muy largo plazo. </w:t>
      </w:r>
      <w:r w:rsidR="005113D4" w:rsidRPr="005113D4">
        <w:rPr>
          <w:color w:val="000000"/>
        </w:rPr>
        <w:t>Debe matizarse, no obstante, que la producción formal de arena sílica se encuentra ya altamente concentrada en Grupo Materias Primas / Covia (véase IV.10.2), de modo que el efecto diferencial de la reforma sobre los productores pequeños operaría, en su caso, sobre el segmento informal de arena de construcción y no sobre el mercado industrial capturado por las estadísticas oficiales (Minería en Línea, 2026).</w:t>
      </w:r>
    </w:p>
    <w:p w14:paraId="20C40BF5" w14:textId="77777777" w:rsidR="008D7B04" w:rsidRDefault="008D7B04" w:rsidP="008D7B04">
      <w:pPr>
        <w:spacing w:before="50" w:after="180"/>
      </w:pPr>
      <w:r>
        <w:rPr>
          <w:i/>
          <w:iCs/>
          <w:color w:val="666666"/>
          <w:sz w:val="17"/>
          <w:szCs w:val="17"/>
        </w:rPr>
        <w:t>Fuentes: Secretaría de Economía, Perfil de Mercado del Sílice (2021c); Aliphat Rodríguez et al. (2025); Minería en Línea (2026).</w:t>
      </w:r>
    </w:p>
    <w:p w14:paraId="1C0B83B5" w14:textId="77777777" w:rsidR="008D7B04" w:rsidRDefault="008D7B04" w:rsidP="008D7B04">
      <w:pPr>
        <w:pStyle w:val="Ttulo1"/>
        <w:pageBreakBefore/>
        <w:pBdr>
          <w:bottom w:val="single" w:sz="8" w:space="4" w:color="1F3B5C"/>
        </w:pBdr>
      </w:pPr>
      <w:bookmarkStart w:id="90" w:name="_Toc234229609"/>
      <w:r>
        <w:rPr>
          <w:sz w:val="30"/>
          <w:szCs w:val="30"/>
        </w:rPr>
        <w:lastRenderedPageBreak/>
        <w:t>IV.11 Zinc</w:t>
      </w:r>
      <w:bookmarkEnd w:id="90"/>
    </w:p>
    <w:p w14:paraId="00C87818" w14:textId="77777777" w:rsidR="008D7B04" w:rsidRDefault="008D7B04" w:rsidP="008D7B04">
      <w:pPr>
        <w:pStyle w:val="Ttulo2"/>
      </w:pPr>
      <w:bookmarkStart w:id="91" w:name="_Toc234229610"/>
      <w:r>
        <w:rPr>
          <w:sz w:val="25"/>
          <w:szCs w:val="25"/>
        </w:rPr>
        <w:t>IV.11.1 Contexto: sexto productor mundial con producción concentrada en Zacatecas</w:t>
      </w:r>
      <w:bookmarkEnd w:id="91"/>
    </w:p>
    <w:p w14:paraId="25B3F32F" w14:textId="77777777" w:rsidR="008D7B04" w:rsidRDefault="008D7B04" w:rsidP="008D7B04">
      <w:pPr>
        <w:spacing w:after="160" w:line="348" w:lineRule="auto"/>
        <w:ind w:firstLine="720"/>
        <w:jc w:val="both"/>
      </w:pPr>
      <w:r>
        <w:rPr>
          <w:color w:val="000000"/>
        </w:rPr>
        <w:t>México ocupa el sexto lugar mundial en producción de zinc, con China como líder global con aproximadamente 33% del total. La producción nacional fue de 773,189 toneladas en 2024, con Zacatecas aportando 63.2%, Durango 14.8% y Sonora 8.3%. La incorporación de Sonora al mapa zincero es relativamente reciente: la nueva unidad Buenavista Zinc de Grupo México elevó su participación de 3.4% en 2023 a 8.3% en 2024, convirtiendo la planta en el cuarto estado productor de zinc del país en un solo año. El zinc se produce casi siempre como coproducto o subproducto de yacimientos polimetálicos junto a plomo, plata y cobre (Cámara Minera de México, 2025c; U.S. Geological Survey, 2025a).</w:t>
      </w:r>
    </w:p>
    <w:p w14:paraId="038509FA" w14:textId="77777777" w:rsidR="008D7B04" w:rsidRDefault="008D7B04" w:rsidP="008D7B04">
      <w:pPr>
        <w:pStyle w:val="Ttulo2"/>
      </w:pPr>
      <w:bookmarkStart w:id="92" w:name="_Toc234229611"/>
      <w:r>
        <w:rPr>
          <w:sz w:val="25"/>
          <w:szCs w:val="25"/>
        </w:rPr>
        <w:t>IV.11.2 Extracción: liderazgo rotado de Peñoles a Newmont por la absorción de Goldcorp</w:t>
      </w:r>
      <w:bookmarkEnd w:id="92"/>
    </w:p>
    <w:p w14:paraId="21DC67C5" w14:textId="77777777" w:rsidR="008D7B04" w:rsidRDefault="008D7B04" w:rsidP="008D7B04">
      <w:pPr>
        <w:spacing w:after="160" w:line="348" w:lineRule="auto"/>
        <w:ind w:firstLine="720"/>
        <w:jc w:val="both"/>
      </w:pPr>
      <w:r>
        <w:rPr>
          <w:color w:val="000000"/>
        </w:rPr>
        <w:t>El liderazgo en la extracción de zinc ha cambiado de forma documentada en el periodo reciente. En 2017, Industrias Peñoles, Goldcorp, Grupo México y Fresnillo plc concentraban conjuntamente 77% de la producción nacional, con Peñoles al frente gracias a sus minas Velardeña y Francisco I. Madero (Chihuahua). En 2018, esa configuración se mantenía con Peñoles como líder, con Goldcorp en segundo lugar gracias a Peñasquito (con aproximadamente 21% de participación individual ese año). Con datos de 2024, el mapa cambió de forma significativa: Newmont —heredero de Goldcorp tras la adquisición de 2019— se ha convertido en el mayor productor individual de zinc del país con 33.4%, seguido de Industrias Peñoles, Grupo México, Fresnillo plc y Minera Frisco, en ese orden, según el boletín más reciente de la Cámara Minera de México. La mina Peñasquito mantiene su posición como la unidad individual de mayor aportación de zinc del país (Cámara Minera de México, 2025c; Mexico Mining Center, 2018).</w:t>
      </w: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200"/>
        <w:gridCol w:w="3000"/>
        <w:gridCol w:w="2160"/>
      </w:tblGrid>
      <w:tr w:rsidR="008D7B04" w14:paraId="6E80C1F0" w14:textId="77777777" w:rsidTr="003F7386">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F85A548" w14:textId="77777777" w:rsidR="008D7B04" w:rsidRDefault="008D7B04" w:rsidP="003F7386">
            <w:r>
              <w:rPr>
                <w:b/>
                <w:bCs/>
                <w:color w:val="FFFFFF"/>
                <w:sz w:val="18"/>
                <w:szCs w:val="18"/>
              </w:rPr>
              <w:t>Año de referencia</w:t>
            </w:r>
          </w:p>
        </w:tc>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5227988" w14:textId="77777777" w:rsidR="008D7B04" w:rsidRDefault="008D7B04" w:rsidP="003F7386">
            <w:r>
              <w:rPr>
                <w:b/>
                <w:bCs/>
                <w:color w:val="FFFFFF"/>
                <w:sz w:val="18"/>
                <w:szCs w:val="18"/>
              </w:rPr>
              <w:t>Mayor productor individual</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69D4BB4" w14:textId="77777777" w:rsidR="008D7B04" w:rsidRDefault="008D7B04" w:rsidP="003F7386">
            <w:r>
              <w:rPr>
                <w:b/>
                <w:bCs/>
                <w:color w:val="FFFFFF"/>
                <w:sz w:val="18"/>
                <w:szCs w:val="18"/>
              </w:rPr>
              <w:t>Participación</w:t>
            </w:r>
          </w:p>
        </w:tc>
        <w:tc>
          <w:tcPr>
            <w:tcW w:w="3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0B6E3320" w14:textId="77777777" w:rsidR="008D7B04" w:rsidRDefault="008D7B04" w:rsidP="003F7386">
            <w:r>
              <w:rPr>
                <w:b/>
                <w:bCs/>
                <w:color w:val="FFFFFF"/>
                <w:sz w:val="18"/>
                <w:szCs w:val="18"/>
              </w:rPr>
              <w:t>Top-4 conjunto</w:t>
            </w:r>
          </w:p>
        </w:tc>
        <w:tc>
          <w:tcPr>
            <w:tcW w:w="2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DAC1A7C" w14:textId="77777777" w:rsidR="008D7B04" w:rsidRDefault="008D7B04" w:rsidP="003F7386">
            <w:r>
              <w:rPr>
                <w:b/>
                <w:bCs/>
                <w:color w:val="FFFFFF"/>
                <w:sz w:val="18"/>
                <w:szCs w:val="18"/>
              </w:rPr>
              <w:t>Fuente</w:t>
            </w:r>
          </w:p>
        </w:tc>
      </w:tr>
      <w:tr w:rsidR="008D7B04" w14:paraId="5D3745FE"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C9D0B8C" w14:textId="77777777" w:rsidR="008D7B04" w:rsidRDefault="008D7B04" w:rsidP="003F7386">
            <w:pPr>
              <w:spacing w:line="248" w:lineRule="auto"/>
            </w:pPr>
            <w:r>
              <w:rPr>
                <w:sz w:val="18"/>
                <w:szCs w:val="18"/>
              </w:rPr>
              <w:t>2017</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FD0E157" w14:textId="77777777" w:rsidR="008D7B04" w:rsidRDefault="008D7B04" w:rsidP="003F7386">
            <w:pPr>
              <w:spacing w:line="248" w:lineRule="auto"/>
            </w:pPr>
            <w:r>
              <w:rPr>
                <w:sz w:val="18"/>
                <w:szCs w:val="18"/>
              </w:rPr>
              <w:t>Industrias Peñoles</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B617429" w14:textId="77777777" w:rsidR="008D7B04" w:rsidRDefault="008D7B04" w:rsidP="003F7386">
            <w:pPr>
              <w:spacing w:line="248" w:lineRule="auto"/>
            </w:pPr>
            <w:r>
              <w:rPr>
                <w:sz w:val="18"/>
                <w:szCs w:val="18"/>
              </w:rPr>
              <w:t>n.d.</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4B23384" w14:textId="77777777" w:rsidR="008D7B04" w:rsidRDefault="008D7B04" w:rsidP="003F7386">
            <w:pPr>
              <w:spacing w:line="248" w:lineRule="auto"/>
            </w:pPr>
            <w:r>
              <w:rPr>
                <w:sz w:val="18"/>
                <w:szCs w:val="18"/>
              </w:rPr>
              <w:t>≈77% (Peñoles, Goldcorp, Grupo México, Fresnillo plc)</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36F3B01" w14:textId="77777777" w:rsidR="008D7B04" w:rsidRDefault="008D7B04" w:rsidP="003F7386">
            <w:pPr>
              <w:spacing w:line="248" w:lineRule="auto"/>
            </w:pPr>
            <w:r>
              <w:rPr>
                <w:sz w:val="18"/>
                <w:szCs w:val="18"/>
              </w:rPr>
              <w:t>Mexico Mining Center (2018)</w:t>
            </w:r>
          </w:p>
        </w:tc>
      </w:tr>
      <w:tr w:rsidR="008D7B04" w14:paraId="18092F3F"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2C84F6B1" w14:textId="77777777" w:rsidR="008D7B04" w:rsidRDefault="008D7B04" w:rsidP="003F7386">
            <w:pPr>
              <w:spacing w:line="248" w:lineRule="auto"/>
            </w:pPr>
            <w:r>
              <w:rPr>
                <w:sz w:val="18"/>
                <w:szCs w:val="18"/>
              </w:rPr>
              <w:lastRenderedPageBreak/>
              <w:t>2018</w:t>
            </w:r>
          </w:p>
        </w:tc>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3F8C0D7" w14:textId="77777777" w:rsidR="008D7B04" w:rsidRDefault="008D7B04" w:rsidP="003F7386">
            <w:pPr>
              <w:spacing w:line="248" w:lineRule="auto"/>
            </w:pPr>
            <w:r>
              <w:rPr>
                <w:sz w:val="18"/>
                <w:szCs w:val="18"/>
              </w:rPr>
              <w:t>Industrias Peñoles (Velardeña)</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90AB817" w14:textId="77777777" w:rsidR="008D7B04" w:rsidRDefault="008D7B04" w:rsidP="003F7386">
            <w:pPr>
              <w:spacing w:line="248" w:lineRule="auto"/>
            </w:pPr>
            <w:r>
              <w:rPr>
                <w:sz w:val="18"/>
                <w:szCs w:val="18"/>
              </w:rPr>
              <w:t>n.d. (Goldcorp ≈21% vía Peñasquito)</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2B454F34" w14:textId="77777777" w:rsidR="008D7B04" w:rsidRDefault="008D7B04" w:rsidP="003F7386">
            <w:pPr>
              <w:spacing w:line="248" w:lineRule="auto"/>
            </w:pPr>
            <w:r>
              <w:rPr>
                <w:sz w:val="18"/>
                <w:szCs w:val="18"/>
              </w:rPr>
              <w:t>≈60% (Peñoles, Fresnillo plc, Grupo México, Frisco)</w:t>
            </w:r>
          </w:p>
        </w:tc>
        <w:tc>
          <w:tcPr>
            <w:tcW w:w="2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CFC59AE" w14:textId="77777777" w:rsidR="008D7B04" w:rsidRDefault="008D7B04" w:rsidP="003F7386">
            <w:pPr>
              <w:spacing w:line="248" w:lineRule="auto"/>
            </w:pPr>
            <w:r>
              <w:rPr>
                <w:sz w:val="18"/>
                <w:szCs w:val="18"/>
              </w:rPr>
              <w:t>Outletminero (2019)</w:t>
            </w:r>
          </w:p>
        </w:tc>
      </w:tr>
      <w:tr w:rsidR="008D7B04" w14:paraId="78140EA2"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3663EDB" w14:textId="77777777" w:rsidR="008D7B04" w:rsidRDefault="008D7B04" w:rsidP="003F7386">
            <w:pPr>
              <w:spacing w:line="248" w:lineRule="auto"/>
            </w:pPr>
            <w:r>
              <w:rPr>
                <w:sz w:val="18"/>
                <w:szCs w:val="18"/>
              </w:rPr>
              <w:t>2024</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4862F86" w14:textId="77777777" w:rsidR="008D7B04" w:rsidRDefault="008D7B04" w:rsidP="003F7386">
            <w:pPr>
              <w:spacing w:line="248" w:lineRule="auto"/>
            </w:pPr>
            <w:r>
              <w:rPr>
                <w:sz w:val="18"/>
                <w:szCs w:val="18"/>
              </w:rPr>
              <w:t>Newmont (Peñasquito)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ADA0AF5" w14:textId="77777777" w:rsidR="008D7B04" w:rsidRDefault="008D7B04" w:rsidP="003F7386">
            <w:pPr>
              <w:spacing w:line="248" w:lineRule="auto"/>
            </w:pPr>
            <w:r>
              <w:rPr>
                <w:sz w:val="18"/>
                <w:szCs w:val="18"/>
              </w:rPr>
              <w:t>33.4%</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9E34CC4" w14:textId="77777777" w:rsidR="008D7B04" w:rsidRDefault="008D7B04" w:rsidP="003F7386">
            <w:pPr>
              <w:spacing w:line="248" w:lineRule="auto"/>
            </w:pPr>
            <w:r>
              <w:rPr>
                <w:sz w:val="18"/>
                <w:szCs w:val="18"/>
              </w:rPr>
              <w:t>n.d. (Newmont, Peñoles, Grupo México, Fresnillo plc, Frisco)</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004ED65" w14:textId="77777777" w:rsidR="008D7B04" w:rsidRDefault="008D7B04" w:rsidP="003F7386">
            <w:pPr>
              <w:spacing w:line="248" w:lineRule="auto"/>
            </w:pPr>
            <w:r>
              <w:rPr>
                <w:sz w:val="18"/>
                <w:szCs w:val="18"/>
              </w:rPr>
              <w:t>Cámara Minera de México (2025c)</w:t>
            </w:r>
          </w:p>
        </w:tc>
      </w:tr>
    </w:tbl>
    <w:p w14:paraId="34825FFA" w14:textId="77777777" w:rsidR="008D7B04" w:rsidRDefault="008D7B04" w:rsidP="008D7B04">
      <w:pPr>
        <w:pStyle w:val="Ttulo2"/>
      </w:pPr>
      <w:bookmarkStart w:id="93" w:name="_Toc234229612"/>
      <w:r>
        <w:rPr>
          <w:sz w:val="25"/>
          <w:szCs w:val="25"/>
        </w:rPr>
        <w:t>IV.11.3 Refinación: hegemonía estable de Peñoles desde los años noventa</w:t>
      </w:r>
      <w:bookmarkEnd w:id="93"/>
    </w:p>
    <w:p w14:paraId="08A8CEDE" w14:textId="77777777" w:rsidR="008D7B04" w:rsidRDefault="008D7B04" w:rsidP="008D7B04">
      <w:pPr>
        <w:spacing w:after="160" w:line="348" w:lineRule="auto"/>
        <w:ind w:firstLine="720"/>
        <w:jc w:val="both"/>
      </w:pPr>
      <w:r>
        <w:rPr>
          <w:color w:val="000000"/>
        </w:rPr>
        <w:t>A diferencia de la extracción —donde el liderazgo rotó de Peñoles a Newmont en el periodo reciente—, la refinación de zinc ha permanecido altamente concentrada en Industrias Peñoles de forma muy estable desde los años noventa: la empresa mantiene aproximadamente 69% del zinc afinado del país a través de su Refinería Electrolítica de Zinc en Torreón, cuya capacidad instalada fue ampliada en 2019 con el objetivo de alcanzar 370,000 toneladas anuales. En la práctica opera en torno a 270,000 toneladas en 2023-2024 por la caída de precios internacionales del metal —que descendieron 25% entre 2022 y 2024—, con el mercado de Estados Unidos como destino dominante de la producción refinada y el resto hacia Europa (Milenio / Mining México, 2024; Industrias Peñoles, s.f.).</w:t>
      </w:r>
    </w:p>
    <w:p w14:paraId="4F14D458" w14:textId="77777777" w:rsidR="008D7B04" w:rsidRDefault="008D7B04" w:rsidP="008D7B04">
      <w:pPr>
        <w:pStyle w:val="Ttulo2"/>
      </w:pPr>
      <w:bookmarkStart w:id="94" w:name="_Toc234229613"/>
      <w:r>
        <w:rPr>
          <w:sz w:val="25"/>
          <w:szCs w:val="25"/>
        </w:rPr>
        <w:t>IV.11.4 Destino de la producción: zinc sin refinar hacia Asia y Europa; zinc refinado hacia Estados Unidos</w:t>
      </w:r>
      <w:bookmarkEnd w:id="94"/>
    </w:p>
    <w:p w14:paraId="6D23088F" w14:textId="77777777" w:rsidR="008D7B04" w:rsidRDefault="008D7B04" w:rsidP="008D7B04">
      <w:pPr>
        <w:spacing w:after="160" w:line="348" w:lineRule="auto"/>
        <w:ind w:firstLine="720"/>
        <w:jc w:val="both"/>
      </w:pPr>
      <w:r>
        <w:rPr>
          <w:color w:val="000000"/>
        </w:rPr>
        <w:t>El comercio exterior del zinc mexicano muestra, como en la plata, una diferencia relevante entre mineral en bruto y producto refinado. En 2024, los principales destinos de los concentrados de zinc (sin refinar) fueron Corea del Sur (382 millones de dólares), España (220 millones), Bélgica (119 millones), China (85.3 millones) y Canadá (52.9 millones), con un intercambio comercial total de 1,292 millones de dólares. La mayor parte del zinc refinado de la planta de Peñoles en Torreón se orienta hacia el mercado estadounidense, con el resto hacia Europa (Secretaría de Economía / DataMéxico, 2025c; Milenio / Mining México, 2024).</w:t>
      </w:r>
    </w:p>
    <w:p w14:paraId="740C58EC" w14:textId="77777777" w:rsidR="008D7B04" w:rsidRDefault="008D7B04" w:rsidP="008D7B04">
      <w:pPr>
        <w:pStyle w:val="Ttulo2"/>
      </w:pPr>
      <w:bookmarkStart w:id="95" w:name="_Toc234229614"/>
      <w:r>
        <w:rPr>
          <w:sz w:val="25"/>
          <w:szCs w:val="25"/>
        </w:rPr>
        <w:t>IV.11.5 Impacto de la reforma de 2023: operaciones existentes protegidas, expansión frenada</w:t>
      </w:r>
      <w:bookmarkEnd w:id="95"/>
    </w:p>
    <w:p w14:paraId="18BC430F" w14:textId="77777777" w:rsidR="008D7B04" w:rsidRDefault="008D7B04" w:rsidP="008D7B04">
      <w:pPr>
        <w:spacing w:after="160" w:line="348" w:lineRule="auto"/>
        <w:ind w:firstLine="720"/>
        <w:jc w:val="both"/>
      </w:pPr>
      <w:r>
        <w:rPr>
          <w:color w:val="000000"/>
        </w:rPr>
        <w:t xml:space="preserve">El proyecto más relevante de expansión reciente en zinc —Buenavista Zinc de Grupo México en Sonora— fue desarrollado bajo concesiones obtenidas antes de la </w:t>
      </w:r>
      <w:r>
        <w:rPr>
          <w:color w:val="000000"/>
        </w:rPr>
        <w:lastRenderedPageBreak/>
        <w:t>reforma de 2023, lo que ilustra el patrón general del sector: los proyectos ya autorizados continúan su desarrollo con relativa normalidad, mientras que los nuevos proyectos de exploración enfrentan la exclusividad del SGM y el congelamiento de nuevas concesiones documentado a nivel sectorial. La suspensión de la mina Francisco I. Madero de Peñoles en mayo de 2020 —antes de la reforma, por razones de rentabilidad y no regulatorias— ilustra además que el precio internacional del metal ha sido, en el caso del zinc, un factor de cierre de operaciones más determinante que la regulación (Industrias Peñoles, s.f.; Minería en Línea, 2026).</w:t>
      </w:r>
    </w:p>
    <w:p w14:paraId="09654A87" w14:textId="77777777" w:rsidR="008D7B04" w:rsidRDefault="008D7B04" w:rsidP="008D7B04">
      <w:pPr>
        <w:spacing w:before="50" w:after="180"/>
      </w:pPr>
      <w:r>
        <w:rPr>
          <w:i/>
          <w:iCs/>
          <w:color w:val="666666"/>
          <w:sz w:val="17"/>
          <w:szCs w:val="17"/>
        </w:rPr>
        <w:t>Fuentes: Cámara Minera de México (2025c); Mexico Mining Center (2018); Outletminero (2019); Milenio / Mining México (2024); Secretaría de Economía / DataMéxico (2025c); Industrias Peñoles (s.f.); U.S. Geological Survey (2025a); Minería en Línea (2026).</w:t>
      </w:r>
    </w:p>
    <w:p w14:paraId="0DE8D9BD" w14:textId="77777777" w:rsidR="008D7B04" w:rsidRDefault="008D7B04" w:rsidP="008D7B04">
      <w:pPr>
        <w:pStyle w:val="Ttulo1"/>
        <w:pageBreakBefore/>
        <w:pBdr>
          <w:bottom w:val="single" w:sz="8" w:space="4" w:color="1F3B5C"/>
        </w:pBdr>
      </w:pPr>
      <w:bookmarkStart w:id="96" w:name="_Toc234229615"/>
      <w:r>
        <w:rPr>
          <w:sz w:val="30"/>
          <w:szCs w:val="30"/>
        </w:rPr>
        <w:lastRenderedPageBreak/>
        <w:t>IV.12 Síntesis comparativa de la estructura empresarial</w:t>
      </w:r>
      <w:bookmarkEnd w:id="96"/>
    </w:p>
    <w:p w14:paraId="38F5E015" w14:textId="77777777" w:rsidR="008D7B04" w:rsidRDefault="008D7B04" w:rsidP="008D7B04">
      <w:pPr>
        <w:spacing w:after="160" w:line="348" w:lineRule="auto"/>
        <w:jc w:val="both"/>
      </w:pPr>
      <w:r>
        <w:rPr>
          <w:color w:val="000000"/>
        </w:rPr>
        <w:t>Los diez análisis individuales de las secciones IV.2 a IV.11 permiten construir una síntesis comparativa que es el insumo directo del modelo de panel del Capítulo VI: el HHI por mineral que se usará como variable independiente principal. La tabla siguiente ordena los diez minerales de mayor a menor concentración de mercado, combinando la evidencia de concentración empresarial en extracción y refinación con el hito corporativo más relevante del periodo 1993-2025.</w:t>
      </w:r>
    </w:p>
    <w:tbl>
      <w:tblPr>
        <w:tblW w:w="11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1940"/>
        <w:gridCol w:w="2966"/>
        <w:gridCol w:w="2573"/>
        <w:gridCol w:w="2699"/>
      </w:tblGrid>
      <w:tr w:rsidR="008D7B04" w14:paraId="766A68DB" w14:textId="77777777" w:rsidTr="00B94290">
        <w:trPr>
          <w:tblHeader/>
          <w:jc w:val="center"/>
        </w:trPr>
        <w:tc>
          <w:tcPr>
            <w:tcW w:w="1182"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4BA256DA" w14:textId="77777777" w:rsidR="008D7B04" w:rsidRDefault="008D7B04" w:rsidP="003F7386">
            <w:r>
              <w:rPr>
                <w:b/>
                <w:bCs/>
                <w:color w:val="FFFFFF"/>
                <w:sz w:val="18"/>
                <w:szCs w:val="18"/>
              </w:rPr>
              <w:t>Mineral</w:t>
            </w:r>
          </w:p>
        </w:tc>
        <w:tc>
          <w:tcPr>
            <w:tcW w:w="194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DEABF24" w14:textId="77777777" w:rsidR="008D7B04" w:rsidRDefault="008D7B04" w:rsidP="003F7386">
            <w:r>
              <w:rPr>
                <w:b/>
                <w:bCs/>
                <w:color w:val="FFFFFF"/>
                <w:sz w:val="18"/>
                <w:szCs w:val="18"/>
              </w:rPr>
              <w:t>Grado de concentración</w:t>
            </w:r>
          </w:p>
        </w:tc>
        <w:tc>
          <w:tcPr>
            <w:tcW w:w="2966"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1B388AB" w14:textId="77777777" w:rsidR="008D7B04" w:rsidRDefault="008D7B04" w:rsidP="003F7386">
            <w:r>
              <w:rPr>
                <w:b/>
                <w:bCs/>
                <w:color w:val="FFFFFF"/>
                <w:sz w:val="18"/>
                <w:szCs w:val="18"/>
              </w:rPr>
              <w:t>Actor(es) dominante(s) y % de mercado</w:t>
            </w:r>
          </w:p>
        </w:tc>
        <w:tc>
          <w:tcPr>
            <w:tcW w:w="2573"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F8ED19F" w14:textId="77777777" w:rsidR="008D7B04" w:rsidRDefault="008D7B04" w:rsidP="003F7386">
            <w:r>
              <w:rPr>
                <w:b/>
                <w:bCs/>
                <w:color w:val="FFFFFF"/>
                <w:sz w:val="18"/>
                <w:szCs w:val="18"/>
              </w:rPr>
              <w:t>Destino mayoritario de la producción</w:t>
            </w:r>
          </w:p>
        </w:tc>
        <w:tc>
          <w:tcPr>
            <w:tcW w:w="2699"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50CC83C" w14:textId="77777777" w:rsidR="008D7B04" w:rsidRDefault="008D7B04" w:rsidP="003F7386">
            <w:r>
              <w:rPr>
                <w:b/>
                <w:bCs/>
                <w:color w:val="FFFFFF"/>
                <w:sz w:val="18"/>
                <w:szCs w:val="18"/>
              </w:rPr>
              <w:t>Hito 1993-2025</w:t>
            </w:r>
          </w:p>
        </w:tc>
      </w:tr>
      <w:tr w:rsidR="008D7B04" w14:paraId="5F86BF26"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B458933" w14:textId="77777777" w:rsidR="008D7B04" w:rsidRDefault="008D7B04" w:rsidP="003F7386">
            <w:pPr>
              <w:spacing w:line="248" w:lineRule="auto"/>
            </w:pPr>
            <w:r>
              <w:rPr>
                <w:sz w:val="18"/>
                <w:szCs w:val="18"/>
              </w:rPr>
              <w:t>Manganeso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5AD5C3E" w14:textId="77777777" w:rsidR="008D7B04" w:rsidRDefault="008D7B04" w:rsidP="003F7386">
            <w:pPr>
              <w:spacing w:line="248" w:lineRule="auto"/>
            </w:pPr>
            <w:r>
              <w:rPr>
                <w:sz w:val="18"/>
                <w:szCs w:val="18"/>
              </w:rPr>
              <w:t>Monopolio absoluto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6B893F5" w14:textId="77777777" w:rsidR="008D7B04" w:rsidRDefault="008D7B04" w:rsidP="003F7386">
            <w:pPr>
              <w:spacing w:line="248" w:lineRule="auto"/>
            </w:pPr>
            <w:r>
              <w:rPr>
                <w:sz w:val="18"/>
                <w:szCs w:val="18"/>
              </w:rPr>
              <w:t>Cía. Minera Autlán: 100% extracción y transformación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2110B40" w14:textId="77777777" w:rsidR="008D7B04" w:rsidRDefault="008D7B04" w:rsidP="003F7386">
            <w:pPr>
              <w:spacing w:line="248" w:lineRule="auto"/>
            </w:pPr>
            <w:r>
              <w:rPr>
                <w:sz w:val="18"/>
                <w:szCs w:val="18"/>
              </w:rPr>
              <w:t>Interno (siderurgia)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2E969A5" w14:textId="77777777" w:rsidR="008D7B04" w:rsidRDefault="008D7B04" w:rsidP="003F7386">
            <w:pPr>
              <w:spacing w:line="248" w:lineRule="auto"/>
            </w:pPr>
            <w:r>
              <w:rPr>
                <w:sz w:val="18"/>
                <w:szCs w:val="18"/>
              </w:rPr>
              <w:t>Privatización 1993; sin entrada de competidores en 30 años</w:t>
            </w:r>
          </w:p>
        </w:tc>
      </w:tr>
      <w:tr w:rsidR="008D7B04" w14:paraId="33E960E8"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F5FF756" w14:textId="77777777" w:rsidR="008D7B04" w:rsidRDefault="008D7B04" w:rsidP="003F7386">
            <w:pPr>
              <w:spacing w:line="248" w:lineRule="auto"/>
            </w:pPr>
            <w:r>
              <w:rPr>
                <w:sz w:val="18"/>
                <w:szCs w:val="18"/>
              </w:rPr>
              <w:t>Fluorita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FA0729D" w14:textId="77777777" w:rsidR="008D7B04" w:rsidRDefault="008D7B04" w:rsidP="003F7386">
            <w:pPr>
              <w:spacing w:line="248" w:lineRule="auto"/>
            </w:pPr>
            <w:r>
              <w:rPr>
                <w:sz w:val="18"/>
                <w:szCs w:val="18"/>
              </w:rPr>
              <w:t>Monopolio casi absoluto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959B8BE" w14:textId="77777777" w:rsidR="008D7B04" w:rsidRDefault="008D7B04" w:rsidP="003F7386">
            <w:pPr>
              <w:spacing w:line="248" w:lineRule="auto"/>
            </w:pPr>
            <w:r>
              <w:rPr>
                <w:sz w:val="18"/>
                <w:szCs w:val="18"/>
              </w:rPr>
              <w:t>Orbia/Koura: 91-98% (vía Las Cuevas, SLP)</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2112458" w14:textId="77777777" w:rsidR="008D7B04" w:rsidRDefault="008D7B04" w:rsidP="003F7386">
            <w:pPr>
              <w:spacing w:line="248" w:lineRule="auto"/>
            </w:pPr>
            <w:r>
              <w:rPr>
                <w:sz w:val="18"/>
                <w:szCs w:val="18"/>
              </w:rPr>
              <w:t>Exportación (EE.UU. 70%; UE 27%)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6AC1D36" w14:textId="77777777" w:rsidR="008D7B04" w:rsidRDefault="008D7B04" w:rsidP="003F7386">
            <w:pPr>
              <w:spacing w:line="248" w:lineRule="auto"/>
            </w:pPr>
            <w:r>
              <w:rPr>
                <w:sz w:val="18"/>
                <w:szCs w:val="18"/>
              </w:rPr>
              <w:t>Cambio de marca Mexichem→Orbia/Koura (2019-20)</w:t>
            </w:r>
          </w:p>
        </w:tc>
      </w:tr>
      <w:tr w:rsidR="008D7B04" w14:paraId="59441900"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B377847" w14:textId="77777777" w:rsidR="008D7B04" w:rsidRDefault="008D7B04" w:rsidP="003F7386">
            <w:pPr>
              <w:spacing w:line="248" w:lineRule="auto"/>
            </w:pPr>
            <w:r>
              <w:rPr>
                <w:sz w:val="18"/>
                <w:szCs w:val="18"/>
              </w:rPr>
              <w:t>Cobre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A0E0706" w14:textId="77777777" w:rsidR="008D7B04" w:rsidRDefault="008D7B04" w:rsidP="003F7386">
            <w:pPr>
              <w:spacing w:line="248" w:lineRule="auto"/>
            </w:pPr>
            <w:r>
              <w:rPr>
                <w:sz w:val="18"/>
                <w:szCs w:val="18"/>
              </w:rPr>
              <w:t>Cuasi-monopolio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73032BE" w14:textId="77777777" w:rsidR="008D7B04" w:rsidRDefault="008D7B04" w:rsidP="003F7386">
            <w:pPr>
              <w:spacing w:line="248" w:lineRule="auto"/>
            </w:pPr>
            <w:r>
              <w:rPr>
                <w:sz w:val="18"/>
                <w:szCs w:val="18"/>
              </w:rPr>
              <w:t>Grupo México: 78% extracción (2024); 100% refinación (de facto)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F177A64" w14:textId="77777777" w:rsidR="008D7B04" w:rsidRDefault="008D7B04" w:rsidP="003F7386">
            <w:pPr>
              <w:spacing w:line="248" w:lineRule="auto"/>
            </w:pPr>
            <w:r>
              <w:rPr>
                <w:sz w:val="18"/>
                <w:szCs w:val="18"/>
              </w:rPr>
              <w:t>Exportación (China 37%)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2BF2039" w14:textId="77777777" w:rsidR="008D7B04" w:rsidRDefault="008D7B04" w:rsidP="003F7386">
            <w:pPr>
              <w:spacing w:line="248" w:lineRule="auto"/>
            </w:pPr>
            <w:r>
              <w:rPr>
                <w:sz w:val="18"/>
                <w:szCs w:val="18"/>
              </w:rPr>
              <w:t>Compra de ASARCO y SPCC (2004)</w:t>
            </w:r>
          </w:p>
        </w:tc>
      </w:tr>
      <w:tr w:rsidR="008D7B04" w14:paraId="55062415"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47FFD3A" w14:textId="77777777" w:rsidR="008D7B04" w:rsidRDefault="008D7B04" w:rsidP="003F7386">
            <w:pPr>
              <w:spacing w:line="248" w:lineRule="auto"/>
            </w:pPr>
            <w:r>
              <w:rPr>
                <w:sz w:val="18"/>
                <w:szCs w:val="18"/>
              </w:rPr>
              <w:t>Plomo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D2266F2" w14:textId="77777777" w:rsidR="008D7B04" w:rsidRDefault="008D7B04" w:rsidP="003F7386">
            <w:pPr>
              <w:spacing w:line="248" w:lineRule="auto"/>
            </w:pPr>
            <w:r>
              <w:rPr>
                <w:sz w:val="18"/>
                <w:szCs w:val="18"/>
              </w:rPr>
              <w:t>Monopolio refinación / oligopolio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BD439B1" w14:textId="77777777" w:rsidR="008D7B04" w:rsidRDefault="008D7B04" w:rsidP="003F7386">
            <w:pPr>
              <w:spacing w:line="248" w:lineRule="auto"/>
            </w:pPr>
            <w:r>
              <w:rPr>
                <w:sz w:val="18"/>
                <w:szCs w:val="18"/>
              </w:rPr>
              <w:t>Peñoles: 100% refinación; Peñoles, Grupo México, Frisco en extracción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7B604BA" w14:textId="77777777" w:rsidR="008D7B04" w:rsidRDefault="008D7B04" w:rsidP="003F7386">
            <w:pPr>
              <w:spacing w:line="248" w:lineRule="auto"/>
            </w:pPr>
            <w:r>
              <w:rPr>
                <w:sz w:val="18"/>
                <w:szCs w:val="18"/>
              </w:rPr>
              <w:t>Interno (baterías de plomo-ácido)</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CE05412" w14:textId="77777777" w:rsidR="008D7B04" w:rsidRDefault="008D7B04" w:rsidP="003F7386">
            <w:pPr>
              <w:spacing w:line="248" w:lineRule="auto"/>
            </w:pPr>
            <w:r>
              <w:rPr>
                <w:sz w:val="18"/>
                <w:szCs w:val="18"/>
              </w:rPr>
              <w:t>Sin cambios estructurales relevantes 1993-2025</w:t>
            </w:r>
          </w:p>
        </w:tc>
      </w:tr>
      <w:tr w:rsidR="008D7B04" w14:paraId="15B6443C"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7A328E5" w14:textId="77777777" w:rsidR="008D7B04" w:rsidRDefault="008D7B04" w:rsidP="003F7386">
            <w:pPr>
              <w:spacing w:line="248" w:lineRule="auto"/>
            </w:pPr>
            <w:r>
              <w:rPr>
                <w:sz w:val="18"/>
                <w:szCs w:val="18"/>
              </w:rPr>
              <w:t>Zinc</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964CF46" w14:textId="77777777" w:rsidR="008D7B04" w:rsidRDefault="008D7B04" w:rsidP="003F7386">
            <w:pPr>
              <w:spacing w:line="248" w:lineRule="auto"/>
            </w:pPr>
            <w:r>
              <w:rPr>
                <w:sz w:val="18"/>
                <w:szCs w:val="18"/>
              </w:rPr>
              <w:t>Oligopolio concentrado, liderazgo rotado en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B70BAD3" w14:textId="77777777" w:rsidR="008D7B04" w:rsidRDefault="008D7B04" w:rsidP="003F7386">
            <w:pPr>
              <w:spacing w:line="248" w:lineRule="auto"/>
            </w:pPr>
            <w:r>
              <w:rPr>
                <w:sz w:val="18"/>
                <w:szCs w:val="18"/>
              </w:rPr>
              <w:t>Newmont 33.4% extracción (2024); Peñoles ≈69%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EBBF703" w14:textId="77777777" w:rsidR="008D7B04" w:rsidRDefault="008D7B04" w:rsidP="003F7386">
            <w:pPr>
              <w:spacing w:line="248" w:lineRule="auto"/>
            </w:pPr>
            <w:r>
              <w:rPr>
                <w:sz w:val="18"/>
                <w:szCs w:val="18"/>
              </w:rPr>
              <w:t>Exportación concentrado: Corea, España, Bélgica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BFFF712" w14:textId="77777777" w:rsidR="008D7B04" w:rsidRDefault="008D7B04" w:rsidP="003F7386">
            <w:pPr>
              <w:spacing w:line="248" w:lineRule="auto"/>
            </w:pPr>
            <w:r>
              <w:rPr>
                <w:sz w:val="18"/>
                <w:szCs w:val="18"/>
              </w:rPr>
              <w:t>Newmont absorbe Goldcorp/Peñasquito (2019)</w:t>
            </w:r>
          </w:p>
        </w:tc>
      </w:tr>
      <w:tr w:rsidR="008D7B04" w14:paraId="149C55B3"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C646B58" w14:textId="77777777" w:rsidR="008D7B04" w:rsidRDefault="008D7B04" w:rsidP="003F7386">
            <w:pPr>
              <w:spacing w:line="248" w:lineRule="auto"/>
            </w:pPr>
            <w:r>
              <w:rPr>
                <w:sz w:val="18"/>
                <w:szCs w:val="18"/>
              </w:rPr>
              <w:t>Barita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376D5A1" w14:textId="77777777" w:rsidR="008D7B04" w:rsidRDefault="008D7B04" w:rsidP="003F7386">
            <w:pPr>
              <w:spacing w:line="248" w:lineRule="auto"/>
            </w:pPr>
            <w:r>
              <w:rPr>
                <w:sz w:val="18"/>
                <w:szCs w:val="18"/>
              </w:rPr>
              <w:t>Oligopolio (4 empresas)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0EE3FFC" w14:textId="77777777" w:rsidR="008D7B04" w:rsidRDefault="008D7B04" w:rsidP="003F7386">
            <w:pPr>
              <w:spacing w:line="248" w:lineRule="auto"/>
            </w:pPr>
            <w:r>
              <w:rPr>
                <w:sz w:val="18"/>
                <w:szCs w:val="18"/>
              </w:rPr>
              <w:t>4 productoras; Nuevo León 89% (2019)</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F194664" w14:textId="77777777" w:rsidR="008D7B04" w:rsidRDefault="008D7B04" w:rsidP="003F7386">
            <w:pPr>
              <w:spacing w:line="248" w:lineRule="auto"/>
            </w:pPr>
            <w:r>
              <w:rPr>
                <w:sz w:val="18"/>
                <w:szCs w:val="18"/>
              </w:rPr>
              <w:t>Interno (PEMEX y operadores privados, 95%)</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7AE4BBD" w14:textId="77777777" w:rsidR="008D7B04" w:rsidRDefault="008D7B04" w:rsidP="003F7386">
            <w:pPr>
              <w:spacing w:line="248" w:lineRule="auto"/>
            </w:pPr>
            <w:r>
              <w:rPr>
                <w:sz w:val="18"/>
                <w:szCs w:val="18"/>
              </w:rPr>
              <w:t>Alta variabilidad geográfica; sin fusiones documentadas</w:t>
            </w:r>
          </w:p>
        </w:tc>
      </w:tr>
      <w:tr w:rsidR="00B94290" w14:paraId="0FD28199"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4BDD0D3" w14:textId="50922296" w:rsidR="00B94290" w:rsidRDefault="00B94290" w:rsidP="00B94290">
            <w:pPr>
              <w:spacing w:line="248" w:lineRule="auto"/>
              <w:rPr>
                <w:sz w:val="18"/>
                <w:szCs w:val="18"/>
              </w:rPr>
            </w:pPr>
            <w:r>
              <w:rPr>
                <w:sz w:val="18"/>
                <w:szCs w:val="18"/>
              </w:rPr>
              <w:t>Sílice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100FEF9" w14:textId="1145C2DD" w:rsidR="00B94290" w:rsidRDefault="00B94290" w:rsidP="00B94290">
            <w:pPr>
              <w:spacing w:line="248" w:lineRule="auto"/>
              <w:rPr>
                <w:sz w:val="18"/>
                <w:szCs w:val="18"/>
              </w:rPr>
            </w:pPr>
            <w:r>
              <w:rPr>
                <w:sz w:val="18"/>
                <w:szCs w:val="18"/>
              </w:rPr>
              <w:t>Oligopolio concentrado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E428BDE" w14:textId="3C51611E" w:rsidR="00B94290" w:rsidRDefault="00B94290" w:rsidP="00B94290">
            <w:pPr>
              <w:spacing w:line="248" w:lineRule="auto"/>
              <w:rPr>
                <w:sz w:val="18"/>
                <w:szCs w:val="18"/>
              </w:rPr>
            </w:pPr>
            <w:r>
              <w:rPr>
                <w:sz w:val="18"/>
                <w:szCs w:val="18"/>
              </w:rPr>
              <w:t xml:space="preserve">Concentrado; </w:t>
            </w:r>
            <w:r w:rsidRPr="00B94290">
              <w:rPr>
                <w:sz w:val="18"/>
                <w:szCs w:val="18"/>
              </w:rPr>
              <w:t>Covia/Grupo Materias Primas ≈ 74–99% (arena sílica formal)</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9FCB5C3" w14:textId="190784A8" w:rsidR="00B94290" w:rsidRDefault="00B94290" w:rsidP="00B94290">
            <w:pPr>
              <w:spacing w:line="248" w:lineRule="auto"/>
              <w:rPr>
                <w:sz w:val="18"/>
                <w:szCs w:val="18"/>
              </w:rPr>
            </w:pPr>
            <w:r>
              <w:rPr>
                <w:sz w:val="18"/>
                <w:szCs w:val="18"/>
              </w:rPr>
              <w:t>Interno (vidrio, construcción, automotriz)</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ED5EC2F" w14:textId="5078E2D1" w:rsidR="00B94290" w:rsidRDefault="00B94290" w:rsidP="00B94290">
            <w:pPr>
              <w:spacing w:line="248" w:lineRule="auto"/>
              <w:rPr>
                <w:sz w:val="18"/>
                <w:szCs w:val="18"/>
              </w:rPr>
            </w:pPr>
            <w:r>
              <w:rPr>
                <w:sz w:val="18"/>
                <w:szCs w:val="18"/>
              </w:rPr>
              <w:t>Sin consolidación empresarial documentada</w:t>
            </w:r>
          </w:p>
        </w:tc>
      </w:tr>
      <w:tr w:rsidR="008D7B04" w14:paraId="375B1ACD"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C9064CE" w14:textId="77777777" w:rsidR="008D7B04" w:rsidRDefault="008D7B04" w:rsidP="003F7386">
            <w:pPr>
              <w:spacing w:line="248" w:lineRule="auto"/>
            </w:pPr>
            <w:r>
              <w:rPr>
                <w:sz w:val="18"/>
                <w:szCs w:val="18"/>
              </w:rPr>
              <w:t>Plata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A781631" w14:textId="77777777" w:rsidR="008D7B04" w:rsidRDefault="008D7B04" w:rsidP="003F7386">
            <w:pPr>
              <w:spacing w:line="248" w:lineRule="auto"/>
            </w:pPr>
            <w:r>
              <w:rPr>
                <w:sz w:val="18"/>
                <w:szCs w:val="18"/>
              </w:rPr>
              <w:t>Oligopolio moderado (5 grandes), dos cifras distintas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BF82A18" w14:textId="77777777" w:rsidR="008D7B04" w:rsidRDefault="008D7B04" w:rsidP="003F7386">
            <w:pPr>
              <w:spacing w:line="248" w:lineRule="auto"/>
            </w:pPr>
            <w:r>
              <w:rPr>
                <w:sz w:val="18"/>
                <w:szCs w:val="18"/>
              </w:rPr>
              <w:t>Fresnillo plc ≈30% extracción; Peñoles ≈89%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A73C1D3" w14:textId="77777777" w:rsidR="008D7B04" w:rsidRDefault="008D7B04" w:rsidP="003F7386">
            <w:pPr>
              <w:spacing w:line="248" w:lineRule="auto"/>
            </w:pPr>
            <w:r>
              <w:rPr>
                <w:sz w:val="18"/>
                <w:szCs w:val="18"/>
              </w:rPr>
              <w:t>Refinada: EE.UU. (2,587 MDD 2024); concentrado: China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5DF6CBC" w14:textId="77777777" w:rsidR="008D7B04" w:rsidRDefault="008D7B04" w:rsidP="003F7386">
            <w:pPr>
              <w:spacing w:line="248" w:lineRule="auto"/>
            </w:pPr>
            <w:r>
              <w:rPr>
                <w:sz w:val="18"/>
                <w:szCs w:val="18"/>
              </w:rPr>
              <w:t>Escisión de Fresnillo plc de Peñoles (2008)</w:t>
            </w:r>
          </w:p>
        </w:tc>
      </w:tr>
      <w:tr w:rsidR="008D7B04" w14:paraId="1019DC94"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D1FEE49" w14:textId="77777777" w:rsidR="008D7B04" w:rsidRDefault="008D7B04" w:rsidP="003F7386">
            <w:pPr>
              <w:spacing w:line="248" w:lineRule="auto"/>
            </w:pPr>
            <w:r>
              <w:rPr>
                <w:sz w:val="18"/>
                <w:szCs w:val="18"/>
              </w:rPr>
              <w:t>Oro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D0528C2" w14:textId="77777777" w:rsidR="008D7B04" w:rsidRDefault="008D7B04" w:rsidP="003F7386">
            <w:pPr>
              <w:spacing w:line="248" w:lineRule="auto"/>
            </w:pPr>
            <w:r>
              <w:rPr>
                <w:sz w:val="18"/>
                <w:szCs w:val="18"/>
              </w:rPr>
              <w:t>Oligopolio moderado-bajo (5 grandes)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9F963D6" w14:textId="77777777" w:rsidR="008D7B04" w:rsidRDefault="008D7B04" w:rsidP="003F7386">
            <w:pPr>
              <w:spacing w:line="248" w:lineRule="auto"/>
            </w:pPr>
            <w:r>
              <w:rPr>
                <w:sz w:val="18"/>
                <w:szCs w:val="18"/>
              </w:rPr>
              <w:t>Torex, Fresnillo, Alamos, Equinox, Newmont: 42-45% conjunto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F77B58D" w14:textId="77777777" w:rsidR="008D7B04" w:rsidRDefault="008D7B04" w:rsidP="003F7386">
            <w:pPr>
              <w:spacing w:line="248" w:lineRule="auto"/>
            </w:pPr>
            <w:r>
              <w:rPr>
                <w:sz w:val="18"/>
                <w:szCs w:val="18"/>
              </w:rPr>
              <w:t>Exportación (doré/refinado a EE.UU., Canadá, Asia)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E7CAD86" w14:textId="77777777" w:rsidR="008D7B04" w:rsidRDefault="008D7B04" w:rsidP="003F7386">
            <w:pPr>
              <w:spacing w:line="248" w:lineRule="auto"/>
            </w:pPr>
            <w:r>
              <w:rPr>
                <w:sz w:val="18"/>
                <w:szCs w:val="18"/>
              </w:rPr>
              <w:t>Newmont adquiere Goldcorp (2019); oro declarado crítico en EE.UU. (2025)</w:t>
            </w:r>
          </w:p>
        </w:tc>
      </w:tr>
      <w:tr w:rsidR="008D7B04" w14:paraId="71C5F7EE"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B2FC6A6" w14:textId="77777777" w:rsidR="008D7B04" w:rsidRDefault="008D7B04" w:rsidP="003F7386">
            <w:pPr>
              <w:spacing w:line="248" w:lineRule="auto"/>
            </w:pPr>
            <w:r>
              <w:rPr>
                <w:sz w:val="18"/>
                <w:szCs w:val="18"/>
              </w:rPr>
              <w:t>Grafito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2E4A094" w14:textId="77777777" w:rsidR="008D7B04" w:rsidRDefault="008D7B04" w:rsidP="003F7386">
            <w:pPr>
              <w:spacing w:line="248" w:lineRule="auto"/>
            </w:pPr>
            <w:r>
              <w:rPr>
                <w:sz w:val="18"/>
                <w:szCs w:val="18"/>
              </w:rPr>
              <w:t>Monopolio geográfico / mercado atomizado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7F1122E" w14:textId="77777777" w:rsidR="008D7B04" w:rsidRDefault="008D7B04" w:rsidP="003F7386">
            <w:pPr>
              <w:spacing w:line="248" w:lineRule="auto"/>
            </w:pPr>
            <w:r>
              <w:rPr>
                <w:sz w:val="18"/>
                <w:szCs w:val="18"/>
              </w:rPr>
              <w:t>100% Sonora; sin productor dominante</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6531BF9" w14:textId="77777777" w:rsidR="008D7B04" w:rsidRDefault="008D7B04" w:rsidP="003F7386">
            <w:pPr>
              <w:spacing w:line="248" w:lineRule="auto"/>
            </w:pPr>
            <w:r>
              <w:rPr>
                <w:sz w:val="18"/>
                <w:szCs w:val="18"/>
              </w:rPr>
              <w:t>Exportación (EE.UU. 94.8-98%)</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D64DEDA" w14:textId="77777777" w:rsidR="008D7B04" w:rsidRDefault="008D7B04" w:rsidP="003F7386">
            <w:pPr>
              <w:spacing w:line="248" w:lineRule="auto"/>
            </w:pPr>
            <w:r>
              <w:rPr>
                <w:sz w:val="18"/>
                <w:szCs w:val="18"/>
              </w:rPr>
              <w:t>Sin consolidación empresarial documentada</w:t>
            </w:r>
          </w:p>
        </w:tc>
      </w:tr>
    </w:tbl>
    <w:p w14:paraId="4915D8E2" w14:textId="77777777" w:rsidR="008D7B04" w:rsidRDefault="008D7B04" w:rsidP="008D7B04">
      <w:pPr>
        <w:spacing w:before="50" w:after="180"/>
      </w:pPr>
      <w:r>
        <w:rPr>
          <w:i/>
          <w:iCs/>
          <w:color w:val="666666"/>
          <w:sz w:val="17"/>
          <w:szCs w:val="17"/>
        </w:rPr>
        <w:t>Fuentes: Elaboración propia con base en las fuentes citadas en las secciones IV.2 a IV.11.</w:t>
      </w:r>
    </w:p>
    <w:p w14:paraId="662E39E7" w14:textId="77777777" w:rsidR="008D7B04" w:rsidRDefault="008D7B04" w:rsidP="008D7B04">
      <w:pPr>
        <w:pStyle w:val="Ttulo2"/>
      </w:pPr>
      <w:bookmarkStart w:id="97" w:name="_Toc234229616"/>
      <w:r>
        <w:rPr>
          <w:sz w:val="25"/>
          <w:szCs w:val="25"/>
        </w:rPr>
        <w:lastRenderedPageBreak/>
        <w:t>IV.12.1 Tres patrones de concentración con implicaciones distintas para el modelo de panel</w:t>
      </w:r>
      <w:bookmarkEnd w:id="97"/>
    </w:p>
    <w:p w14:paraId="16705106" w14:textId="77777777" w:rsidR="008D7B04" w:rsidRDefault="008D7B04" w:rsidP="008D7B04">
      <w:pPr>
        <w:spacing w:after="160" w:line="348" w:lineRule="auto"/>
        <w:ind w:firstLine="720"/>
        <w:jc w:val="both"/>
      </w:pPr>
      <w:r>
        <w:rPr>
          <w:color w:val="000000"/>
        </w:rPr>
        <w:t>La síntesis anterior permite identificar tres patrones cualitativamente distintos que tendrán implicaciones directas para la interpretación del modelo de panel del Capítulo VI.</w:t>
      </w:r>
    </w:p>
    <w:p w14:paraId="6DE1218D" w14:textId="77777777" w:rsidR="008D7B04" w:rsidRDefault="008D7B04" w:rsidP="008D7B04">
      <w:pPr>
        <w:spacing w:after="160" w:line="348" w:lineRule="auto"/>
        <w:ind w:firstLine="720"/>
        <w:jc w:val="both"/>
      </w:pPr>
      <w:r>
        <w:rPr>
          <w:color w:val="000000"/>
        </w:rPr>
        <w:t>El primer patrón es el monopolio por geología única. Manganeso y fluorita deben su concentración a la existencia de un yacimiento de escala industrial sin competidor doméstico comparable: Molango en Hidalgo y Las Cuevas en San Luis Potosí, respectivamente. En estos casos, el HHI extremadamente alto (manganeso = 10,000; fluorita ≈ 9,000-9,500) no resulta de una estrategia de exclusión sino de la dotación geológica del territorio y de la tecnología específica desarrollada para aprovecharla (proceso de nodulización de Autlán). El coeficiente de Ghosh de estos dos minerales debería ser bajo porque su producción se exporta en su mayoría como mineral primario o producto de primera transformación, no porque el oligopolio desincentive activamente la integración.</w:t>
      </w:r>
    </w:p>
    <w:p w14:paraId="70D11E46" w14:textId="77777777" w:rsidR="008D7B04" w:rsidRDefault="008D7B04" w:rsidP="008D7B04">
      <w:pPr>
        <w:spacing w:after="160" w:line="348" w:lineRule="auto"/>
        <w:ind w:firstLine="720"/>
        <w:jc w:val="both"/>
      </w:pPr>
      <w:r>
        <w:rPr>
          <w:color w:val="000000"/>
        </w:rPr>
        <w:t>El segundo patrón es la concentración por integración vertical post-privatización. Cobre, zinc y plomo deben su concentración al proceso de privatización 1988-1993, que entregó el control de las reservas federales y de la capacidad de fundición y refinación a Grupo México y Peñoles. Ambos grupos han profundizado esa posición durante tres décadas mediante la integración vertical del proceso completo (mina-fundición-refinería en el caso de Grupo México en cobre; dominio de la refinación en el caso de Peñoles en plata, plomo y zinc). En estos casos, el mecanismo por el que el HHI alto podría explicar un coeficiente de Ghosh bajo es el de los precios de transferencia internos: los grupos integrados tienen incentivos para exportar el concentrado hacia sus propias refinerías en el extranjero, en lugar de venderlo a procesadores nacionales que generen encadenamientos adicionales dentro de México.</w:t>
      </w:r>
    </w:p>
    <w:p w14:paraId="475799B6" w14:textId="1F448AB3" w:rsidR="005113D4" w:rsidRPr="005113D4" w:rsidRDefault="005113D4" w:rsidP="005113D4">
      <w:pPr>
        <w:spacing w:after="160" w:line="348" w:lineRule="auto"/>
        <w:ind w:firstLine="720"/>
        <w:jc w:val="both"/>
        <w:rPr>
          <w:color w:val="000000"/>
        </w:rPr>
      </w:pPr>
      <w:r w:rsidRPr="005113D4">
        <w:rPr>
          <w:color w:val="000000"/>
        </w:rPr>
        <w:t xml:space="preserve">El tercer patrón es el de los minerales de baja concentración. El grafito es su exponente puro: mercado geográficamente monopólico (Sonora) pero empresarialmente atomizado, sin productor dominante documentado en fuente alguna. En este caso el HHI bajo debería asociarse —si la hipótesis H1 es correcta— con el coeficiente de Ghosh más alto del corpus, y funciona como caso de contraste metodológico por excelencia. La barita constituye un caso intermedio y dinámico: aunque el número de operadores se ha mantenido reducido, su empresa líder (Baramin) redujo su participación de alrededor de </w:t>
      </w:r>
      <w:r w:rsidRPr="005113D4">
        <w:rPr>
          <w:color w:val="000000"/>
        </w:rPr>
        <w:lastRenderedPageBreak/>
        <w:t>82% en 2021 a 24.6% en 2024 por el agotamiento de su principal mina, de modo que su HHI es marcadamente decreciente antes que estable. La sílice, en contraste con lo que sugería su reputación de commodity fragmentado, pertenece —por la producción formal— al grupo de mercados concentrados (véase IV.10.2).</w:t>
      </w:r>
    </w:p>
    <w:p w14:paraId="21834D9B" w14:textId="06B0B33D" w:rsidR="008D7B04" w:rsidRDefault="008D7B04" w:rsidP="008D7B04">
      <w:pPr>
        <w:spacing w:after="160" w:line="348" w:lineRule="auto"/>
        <w:ind w:firstLine="720"/>
        <w:jc w:val="both"/>
      </w:pPr>
    </w:p>
    <w:p w14:paraId="0F9D964E" w14:textId="77777777" w:rsidR="00DB2F71" w:rsidRDefault="00000000">
      <w:pPr>
        <w:pStyle w:val="Ttulo1"/>
        <w:pageBreakBefore/>
        <w:pBdr>
          <w:bottom w:val="single" w:sz="8" w:space="4" w:color="1F3B5C"/>
        </w:pBdr>
      </w:pPr>
      <w:bookmarkStart w:id="98" w:name="_Toc234229617"/>
      <w:r>
        <w:lastRenderedPageBreak/>
        <w:t>Referencias bibliográficas</w:t>
      </w:r>
      <w:bookmarkEnd w:id="98"/>
    </w:p>
    <w:p w14:paraId="2B9BDF1E" w14:textId="77777777" w:rsidR="00DB2F71" w:rsidRDefault="00000000">
      <w:pPr>
        <w:spacing w:after="160" w:line="264" w:lineRule="auto"/>
        <w:ind w:left="432" w:hanging="432"/>
      </w:pPr>
      <w:r>
        <w:rPr>
          <w:sz w:val="20"/>
          <w:szCs w:val="20"/>
        </w:rPr>
        <w:t>Aliphat Rodríguez, R., García González, Ó. A., y Veintimilla Brando, V. (2025). Relevancia del sector minero mexicano en el desarrollo económico nacional. CIDE / Cámara Minera de México. https://camimex.org.mx/application/files/4817/5831/4901/Estudio_CIDE.pdf</w:t>
      </w:r>
    </w:p>
    <w:p w14:paraId="15CB3EE5" w14:textId="77777777" w:rsidR="00DB2F71" w:rsidRDefault="00000000">
      <w:pPr>
        <w:spacing w:after="160" w:line="264" w:lineRule="auto"/>
        <w:ind w:left="432" w:hanging="432"/>
      </w:pPr>
      <w:r>
        <w:rPr>
          <w:sz w:val="20"/>
          <w:szCs w:val="20"/>
        </w:rPr>
        <w:t>Auty, R. M. (1993). Sustaining development in mineral economies: The resource curse thesis. Routledge.</w:t>
      </w:r>
    </w:p>
    <w:p w14:paraId="31388520" w14:textId="77777777" w:rsidR="00DB2F71" w:rsidRDefault="00000000">
      <w:pPr>
        <w:spacing w:after="160" w:line="264" w:lineRule="auto"/>
        <w:ind w:left="432" w:hanging="432"/>
      </w:pPr>
      <w:r>
        <w:rPr>
          <w:sz w:val="20"/>
          <w:szCs w:val="20"/>
        </w:rPr>
        <w:t>Bain, J. S. (1956). Barriers to new competition. Harvard University Press.</w:t>
      </w:r>
    </w:p>
    <w:p w14:paraId="6057DD5D" w14:textId="77777777" w:rsidR="00DB2F71" w:rsidRDefault="00000000">
      <w:pPr>
        <w:spacing w:after="160" w:line="264" w:lineRule="auto"/>
        <w:ind w:left="432" w:hanging="432"/>
      </w:pPr>
      <w:r>
        <w:rPr>
          <w:sz w:val="20"/>
          <w:szCs w:val="20"/>
        </w:rPr>
        <w:t>Cámara Minera de México. (2024). Compendio Estadístico de la Industria Minero-Metalúrgica 2024. https://camimex.org.mx/compendio/index.php</w:t>
      </w:r>
    </w:p>
    <w:p w14:paraId="25D4103A" w14:textId="77777777" w:rsidR="00DB2F71" w:rsidRDefault="00000000">
      <w:pPr>
        <w:spacing w:after="160" w:line="264" w:lineRule="auto"/>
        <w:ind w:left="432" w:hanging="432"/>
      </w:pPr>
      <w:r>
        <w:rPr>
          <w:sz w:val="20"/>
          <w:szCs w:val="20"/>
        </w:rPr>
        <w:t>Cámara Minera de México. (2025a). Producción de grafito en México [boletín]. https://camimex.org.mx/index.php/boletin/boletines</w:t>
      </w:r>
    </w:p>
    <w:p w14:paraId="537F59EF" w14:textId="77777777" w:rsidR="00DB2F71" w:rsidRDefault="00000000">
      <w:pPr>
        <w:spacing w:after="160" w:line="264" w:lineRule="auto"/>
        <w:ind w:left="432" w:hanging="432"/>
      </w:pPr>
      <w:r>
        <w:rPr>
          <w:sz w:val="20"/>
          <w:szCs w:val="20"/>
        </w:rPr>
        <w:t>Cámara Minera de México. (2025b). Las 10 principales minas de plata de México en 2020 [boletín]. https://camimex.org.mx/index.php/boletin/boletines/articulo/15377</w:t>
      </w:r>
    </w:p>
    <w:p w14:paraId="57AA0FFF" w14:textId="77777777" w:rsidR="00DB2F71" w:rsidRDefault="00000000">
      <w:pPr>
        <w:spacing w:after="160" w:line="264" w:lineRule="auto"/>
        <w:ind w:left="432" w:hanging="432"/>
      </w:pPr>
      <w:r>
        <w:rPr>
          <w:sz w:val="20"/>
          <w:szCs w:val="20"/>
        </w:rPr>
        <w:t>Cámara Minera de México. (2025c). Sonora ya figura en producción de zinc [boletín]. https://camimex.org.mx/index.php/boletin/boletines/articulo/23391</w:t>
      </w:r>
    </w:p>
    <w:p w14:paraId="3234923D" w14:textId="77777777" w:rsidR="00DB2F71" w:rsidRDefault="00000000">
      <w:pPr>
        <w:spacing w:after="160" w:line="264" w:lineRule="auto"/>
        <w:ind w:left="432" w:hanging="432"/>
      </w:pPr>
      <w:r>
        <w:rPr>
          <w:sz w:val="20"/>
          <w:szCs w:val="20"/>
        </w:rPr>
        <w:t>De la Garza Pedraza, E. M., et al. (2021). La política de concesiones a los grupos mineros de México. Problemas del Desarrollo. https://www.scielo.org.mx/scielo.php?script=sci_arttext&amp;pid=S0301-70362021000300035</w:t>
      </w:r>
    </w:p>
    <w:p w14:paraId="25DAF784" w14:textId="77777777" w:rsidR="00DB2F71" w:rsidRDefault="00000000">
      <w:pPr>
        <w:spacing w:after="160" w:line="264" w:lineRule="auto"/>
        <w:ind w:left="432" w:hanging="432"/>
      </w:pPr>
      <w:r>
        <w:rPr>
          <w:sz w:val="20"/>
          <w:szCs w:val="20"/>
        </w:rPr>
        <w:t>Delgado Wise, R., y Del Pozo, R. (2001). Los procesos de privatización en México. Plaza y Valdés.</w:t>
      </w:r>
    </w:p>
    <w:p w14:paraId="5C56561F" w14:textId="77777777" w:rsidR="00DB2F71" w:rsidRDefault="00000000">
      <w:pPr>
        <w:spacing w:after="160" w:line="264" w:lineRule="auto"/>
        <w:ind w:left="432" w:hanging="432"/>
      </w:pPr>
      <w:r>
        <w:rPr>
          <w:sz w:val="20"/>
          <w:szCs w:val="20"/>
        </w:rPr>
        <w:t>European Commission. (2023). Study on the review of the list of critical raw materials. Publications Office of the European Union. https://doi.org/10.2873/876847</w:t>
      </w:r>
    </w:p>
    <w:p w14:paraId="7732D4ED" w14:textId="77777777" w:rsidR="00DB2F71" w:rsidRDefault="00000000">
      <w:pPr>
        <w:spacing w:after="160" w:line="264" w:lineRule="auto"/>
        <w:ind w:left="432" w:hanging="432"/>
      </w:pPr>
      <w:r>
        <w:rPr>
          <w:sz w:val="20"/>
          <w:szCs w:val="20"/>
        </w:rPr>
        <w:t>Expansión. (2025, 15 de julio). Estas son las 5 mineras que más extraen oro en México: 4 son extranjeras. https://expansion.mx/empresas/2025/07/15/mineras-que-mas-extraen-oro-en-mexico</w:t>
      </w:r>
    </w:p>
    <w:p w14:paraId="741F76FD" w14:textId="77777777" w:rsidR="00DB2F71" w:rsidRDefault="00000000">
      <w:pPr>
        <w:spacing w:after="160" w:line="264" w:lineRule="auto"/>
        <w:ind w:left="432" w:hanging="432"/>
      </w:pPr>
      <w:r>
        <w:rPr>
          <w:sz w:val="20"/>
          <w:szCs w:val="20"/>
        </w:rPr>
        <w:t>Expert Market Research. (2024). Mercado del Cobre en México. https://www.expertmarketresearch.com/es/reports/mexico-copper-market</w:t>
      </w:r>
    </w:p>
    <w:p w14:paraId="7624C184" w14:textId="77777777" w:rsidR="00DB2F71" w:rsidRDefault="00000000">
      <w:pPr>
        <w:spacing w:after="160" w:line="264" w:lineRule="auto"/>
        <w:ind w:left="432" w:hanging="432"/>
      </w:pPr>
      <w:r>
        <w:rPr>
          <w:sz w:val="20"/>
          <w:szCs w:val="20"/>
        </w:rPr>
        <w:t>Furtado, C. (1966). Subdesarrollo y estancamiento en América Latina. EUDEBA.</w:t>
      </w:r>
    </w:p>
    <w:p w14:paraId="7B20DDA9" w14:textId="77777777" w:rsidR="00DB2F71" w:rsidRDefault="00000000">
      <w:pPr>
        <w:spacing w:after="160" w:line="264" w:lineRule="auto"/>
        <w:ind w:left="432" w:hanging="432"/>
      </w:pPr>
      <w:r>
        <w:rPr>
          <w:sz w:val="20"/>
          <w:szCs w:val="20"/>
        </w:rPr>
        <w:t>Ghosh, A. (1958). Input-output approach in an allocation system. Economica, 25(97), 58-64.</w:t>
      </w:r>
    </w:p>
    <w:p w14:paraId="36E48E36" w14:textId="77777777" w:rsidR="00DB2F71" w:rsidRDefault="00000000">
      <w:pPr>
        <w:spacing w:after="160" w:line="264" w:lineRule="auto"/>
        <w:ind w:left="432" w:hanging="432"/>
      </w:pPr>
      <w:r>
        <w:rPr>
          <w:sz w:val="20"/>
          <w:szCs w:val="20"/>
        </w:rPr>
        <w:t>Hendriwardani, M., y Ramdoo, I. (2022). Minerales críticos: datos básicos. Foro Intergubernamental sobre Minería, Minerales, Metales y Desarrollo Sostenible (IGF). https://www.igfmining.org/wp-content/uploads/2022/11/critical-minerals-primer-es-WEB.pdf</w:t>
      </w:r>
    </w:p>
    <w:p w14:paraId="79308428" w14:textId="77777777" w:rsidR="00DB2F71" w:rsidRDefault="00000000">
      <w:pPr>
        <w:spacing w:after="160" w:line="264" w:lineRule="auto"/>
        <w:ind w:left="432" w:hanging="432"/>
      </w:pPr>
      <w:r>
        <w:rPr>
          <w:sz w:val="20"/>
          <w:szCs w:val="20"/>
        </w:rPr>
        <w:t>Hirschman, A. O. (1958). The strategy of economic development. Yale University Press.</w:t>
      </w:r>
    </w:p>
    <w:p w14:paraId="554AEADD" w14:textId="77777777" w:rsidR="00DB2F71" w:rsidRDefault="00000000">
      <w:pPr>
        <w:spacing w:after="160" w:line="264" w:lineRule="auto"/>
        <w:ind w:left="432" w:hanging="432"/>
      </w:pPr>
      <w:r>
        <w:rPr>
          <w:sz w:val="20"/>
          <w:szCs w:val="20"/>
        </w:rPr>
        <w:t>Instituto Geológico y Minero de España. (1996). Panorama Minero 1994-95: Manganeso. https://web.igme.es/PanoramaMinero/Historico/1994_95/MANGANES.pdf</w:t>
      </w:r>
    </w:p>
    <w:p w14:paraId="362115B3" w14:textId="77777777" w:rsidR="00DB2F71" w:rsidRDefault="00000000">
      <w:pPr>
        <w:spacing w:after="160" w:line="264" w:lineRule="auto"/>
        <w:ind w:left="432" w:hanging="432"/>
      </w:pPr>
      <w:r>
        <w:rPr>
          <w:sz w:val="20"/>
          <w:szCs w:val="20"/>
        </w:rPr>
        <w:lastRenderedPageBreak/>
        <w:t>Instituto Mexicano para la Competitividad. (2026). Los minerales críticos en la revisión del T-MEC. https://imco.org.mx/los-minerales-criticos-en-la-revision-del-t-mec/</w:t>
      </w:r>
    </w:p>
    <w:p w14:paraId="2E4A3FB5" w14:textId="77777777" w:rsidR="00DB2F71" w:rsidRDefault="00000000">
      <w:pPr>
        <w:spacing w:after="160" w:line="264" w:lineRule="auto"/>
        <w:ind w:left="432" w:hanging="432"/>
      </w:pPr>
      <w:r>
        <w:rPr>
          <w:sz w:val="20"/>
          <w:szCs w:val="20"/>
        </w:rPr>
        <w:t>Klein, B., Crawford, R. G., y Alchian, A. A. (1978). Vertical integration, appropriable rents, and the competitive contracting process. Journal of Law and Economics, 21(2), 297-326.</w:t>
      </w:r>
    </w:p>
    <w:p w14:paraId="717AC7C3" w14:textId="77777777" w:rsidR="00DB2F71" w:rsidRDefault="00000000">
      <w:pPr>
        <w:spacing w:after="160" w:line="264" w:lineRule="auto"/>
        <w:ind w:left="432" w:hanging="432"/>
      </w:pPr>
      <w:r>
        <w:rPr>
          <w:sz w:val="20"/>
          <w:szCs w:val="20"/>
        </w:rPr>
        <w:t>La Jornada. (2026, 16 de febrero). México es clave en 10 minerales críticos para EU. https://www.jornada.com.mx/noticia/2026/02/16/economia/mexico-es-clave-en-10-minerales-criticos-para-eu</w:t>
      </w:r>
    </w:p>
    <w:p w14:paraId="0E4E68D9" w14:textId="77777777" w:rsidR="00DB2F71" w:rsidRDefault="00000000">
      <w:pPr>
        <w:spacing w:after="160" w:line="264" w:lineRule="auto"/>
        <w:ind w:left="432" w:hanging="432"/>
      </w:pPr>
      <w:r>
        <w:rPr>
          <w:sz w:val="20"/>
          <w:szCs w:val="20"/>
        </w:rPr>
        <w:t>Lederman, D., y Maloney, W. F. (Eds.) (2007). Natural resources: Neither curse nor destiny. The World Bank / Stanford University Press.</w:t>
      </w:r>
    </w:p>
    <w:p w14:paraId="7118FA9C" w14:textId="77777777" w:rsidR="00DB2F71" w:rsidRDefault="00000000">
      <w:pPr>
        <w:spacing w:after="160" w:line="264" w:lineRule="auto"/>
        <w:ind w:left="432" w:hanging="432"/>
      </w:pPr>
      <w:r>
        <w:rPr>
          <w:sz w:val="20"/>
          <w:szCs w:val="20"/>
        </w:rPr>
        <w:t>Leontief, W. (1941). The structure of the American economy, 1919-1929. Harvard University Press.</w:t>
      </w:r>
    </w:p>
    <w:p w14:paraId="66533233" w14:textId="77777777" w:rsidR="00DB2F71" w:rsidRDefault="00000000">
      <w:pPr>
        <w:spacing w:after="160" w:line="264" w:lineRule="auto"/>
        <w:ind w:left="432" w:hanging="432"/>
      </w:pPr>
      <w:r>
        <w:rPr>
          <w:sz w:val="20"/>
          <w:szCs w:val="20"/>
        </w:rPr>
        <w:t>Mason, E. S. (1939). Price and production policies of large-scale enterprise. American Economic Review, 29(1), 61-74.</w:t>
      </w:r>
    </w:p>
    <w:p w14:paraId="20B9AE5D" w14:textId="77777777" w:rsidR="00DB2F71" w:rsidRDefault="00000000">
      <w:pPr>
        <w:spacing w:after="160" w:line="264" w:lineRule="auto"/>
        <w:ind w:left="432" w:hanging="432"/>
      </w:pPr>
      <w:r>
        <w:rPr>
          <w:sz w:val="20"/>
          <w:szCs w:val="20"/>
        </w:rPr>
        <w:t>Micheli Thirion, J., y Cortés Morales, J. (2026). Minerales críticos en México: un panorama general. Perspectivas Energéticas, 22, 2-9. Programa de Energía, El Colegio de México. https://programaenergia.colmex.mx/wp-content/uploads/2026/03/Perspectivas-Energeticas-22_2.pdf</w:t>
      </w:r>
    </w:p>
    <w:p w14:paraId="0E62E57A" w14:textId="77777777" w:rsidR="00DB2F71" w:rsidRDefault="00000000">
      <w:pPr>
        <w:spacing w:after="160" w:line="264" w:lineRule="auto"/>
        <w:ind w:left="432" w:hanging="432"/>
      </w:pPr>
      <w:r>
        <w:rPr>
          <w:sz w:val="20"/>
          <w:szCs w:val="20"/>
        </w:rPr>
        <w:t>Milenio / Mining México. (2024, julio). Industrias Peñoles estima producción de 270,000 toneladas de zinc en 2024. https://miningmexico.com/industrias-penoles-estima-produccion-de-270000-toneladas-de-zinc-en-2024/</w:t>
      </w:r>
    </w:p>
    <w:p w14:paraId="030A3BF0" w14:textId="77777777" w:rsidR="00DB2F71" w:rsidRDefault="00000000">
      <w:pPr>
        <w:spacing w:after="160" w:line="264" w:lineRule="auto"/>
        <w:ind w:left="432" w:hanging="432"/>
      </w:pPr>
      <w:r>
        <w:rPr>
          <w:sz w:val="20"/>
          <w:szCs w:val="20"/>
        </w:rPr>
        <w:t>Minería en Línea. (2026, 12 de mayo). México: el limbo judicial de las concesiones mineras tras la reforma de 2023. https://mineriaenlinea.com/2026/05/mexico-el-limbo-judicial-de-las-concesiones-mineras-tras-la-reforma-de-2023/</w:t>
      </w:r>
    </w:p>
    <w:p w14:paraId="3AAA05A8" w14:textId="77777777" w:rsidR="00DB2F71" w:rsidRDefault="00000000">
      <w:pPr>
        <w:spacing w:after="160" w:line="264" w:lineRule="auto"/>
        <w:ind w:left="432" w:hanging="432"/>
      </w:pPr>
      <w:r>
        <w:rPr>
          <w:sz w:val="20"/>
          <w:szCs w:val="20"/>
        </w:rPr>
        <w:t>North, D. C. (1990). Institutions, institutional change and economic performance. Cambridge University Press.</w:t>
      </w:r>
    </w:p>
    <w:p w14:paraId="27A7E2F7" w14:textId="77777777" w:rsidR="00DB2F71" w:rsidRDefault="00000000">
      <w:pPr>
        <w:spacing w:after="160" w:line="264" w:lineRule="auto"/>
        <w:ind w:left="432" w:hanging="432"/>
      </w:pPr>
      <w:r>
        <w:rPr>
          <w:sz w:val="20"/>
          <w:szCs w:val="20"/>
        </w:rPr>
        <w:t>Prebisch, R. (1950). The economic development of Latin America and its principal problems. CEPAL.</w:t>
      </w:r>
    </w:p>
    <w:p w14:paraId="6EBADB8B" w14:textId="77777777" w:rsidR="00DB2F71" w:rsidRDefault="00000000">
      <w:pPr>
        <w:spacing w:after="160" w:line="264" w:lineRule="auto"/>
        <w:ind w:left="432" w:hanging="432"/>
      </w:pPr>
      <w:r>
        <w:rPr>
          <w:sz w:val="20"/>
          <w:szCs w:val="20"/>
        </w:rPr>
        <w:t>Rasmussen, P. N. (1956). Studies in inter-sectoral relations. North-Holland Publishing.</w:t>
      </w:r>
    </w:p>
    <w:p w14:paraId="11855E15" w14:textId="77777777" w:rsidR="00DB2F71" w:rsidRDefault="00000000">
      <w:pPr>
        <w:spacing w:after="160" w:line="264" w:lineRule="auto"/>
        <w:ind w:left="432" w:hanging="432"/>
      </w:pPr>
      <w:r>
        <w:rPr>
          <w:sz w:val="20"/>
          <w:szCs w:val="20"/>
        </w:rPr>
        <w:t>Sachs, J. D., y Warner, A. M. (1995). Natural resource abundance and economic growth (NBER Working Paper No. 5398). National Bureau of Economic Research. https://doi.org/10.3386/w5398</w:t>
      </w:r>
    </w:p>
    <w:p w14:paraId="44770566" w14:textId="77777777" w:rsidR="00DB2F71" w:rsidRDefault="00000000">
      <w:pPr>
        <w:spacing w:after="160" w:line="264" w:lineRule="auto"/>
        <w:ind w:left="432" w:hanging="432"/>
      </w:pPr>
      <w:r>
        <w:rPr>
          <w:sz w:val="20"/>
          <w:szCs w:val="20"/>
        </w:rPr>
        <w:t>Sariego, J. L. (2009). El Estado y la minería mexicana: política, trabajo y sociedad durante el siglo XX. CIESAS / Fondo de Cultura Económica.</w:t>
      </w:r>
    </w:p>
    <w:p w14:paraId="2516F59E" w14:textId="77777777" w:rsidR="00DB2F71" w:rsidRDefault="00000000">
      <w:pPr>
        <w:spacing w:after="160" w:line="264" w:lineRule="auto"/>
        <w:ind w:left="432" w:hanging="432"/>
      </w:pPr>
      <w:r>
        <w:rPr>
          <w:sz w:val="20"/>
          <w:szCs w:val="20"/>
        </w:rPr>
        <w:t>Secretaría de Economía / DataMéxico. (2025a). Minerales de Cobre y sus Concentrados: Intercambio comercial. https://www.economia.gob.mx/datamexico/es/profile/product/copper-ores-and-concentrates</w:t>
      </w:r>
    </w:p>
    <w:p w14:paraId="7CD986E3" w14:textId="77777777" w:rsidR="00DB2F71" w:rsidRDefault="00000000">
      <w:pPr>
        <w:spacing w:after="160" w:line="264" w:lineRule="auto"/>
        <w:ind w:left="432" w:hanging="432"/>
      </w:pPr>
      <w:r>
        <w:rPr>
          <w:sz w:val="20"/>
          <w:szCs w:val="20"/>
        </w:rPr>
        <w:lastRenderedPageBreak/>
        <w:t>Secretaría de Economía / DataMéxico. (2025b). Plata en Bruto, Semilabrada o en Polvo: Intercambio comercial. https://www.economia.gob.mx/datamexico/es/profile/product/silver-including-silver-gold-platinum-to-gross-semi-manufactured-or-powder</w:t>
      </w:r>
    </w:p>
    <w:p w14:paraId="4018A029" w14:textId="77777777" w:rsidR="00DB2F71" w:rsidRDefault="00000000">
      <w:pPr>
        <w:spacing w:after="160" w:line="264" w:lineRule="auto"/>
        <w:ind w:left="432" w:hanging="432"/>
      </w:pPr>
      <w:r>
        <w:rPr>
          <w:sz w:val="20"/>
          <w:szCs w:val="20"/>
        </w:rPr>
        <w:t>Secretaría de Economía / DataMéxico. (2025c). Minerales de Cinc y sus Concentrados: Intercambio comercial. https://www.economia.gob.mx/datamexico/es/profile/product/zinc-ores-and-concentrates-5260800</w:t>
      </w:r>
    </w:p>
    <w:p w14:paraId="0BC51BBD" w14:textId="77777777" w:rsidR="00DB2F71" w:rsidRDefault="00000000">
      <w:pPr>
        <w:spacing w:after="160" w:line="264" w:lineRule="auto"/>
        <w:ind w:left="432" w:hanging="432"/>
      </w:pPr>
      <w:r>
        <w:rPr>
          <w:sz w:val="20"/>
          <w:szCs w:val="20"/>
        </w:rPr>
        <w:t>Secretaría de Economía. (2020a). Perfil de Mercado de la Fluorita. https://www.gob.mx/cms/uploads/attachment/file/624810/9Perfil_Fluorita_2020__T_.pdf</w:t>
      </w:r>
    </w:p>
    <w:p w14:paraId="23C5E925" w14:textId="77777777" w:rsidR="00DB2F71" w:rsidRDefault="00000000">
      <w:pPr>
        <w:spacing w:after="160" w:line="264" w:lineRule="auto"/>
        <w:ind w:left="432" w:hanging="432"/>
      </w:pPr>
      <w:r>
        <w:rPr>
          <w:sz w:val="20"/>
          <w:szCs w:val="20"/>
        </w:rPr>
        <w:t>Secretaría de Economía. (2021a). Perfil de Mercado de la Barita. https://www.gob.mx/cms/uploads/attachment/file/692301/1._Perfil_Barita_2021__T_.pdf</w:t>
      </w:r>
    </w:p>
    <w:p w14:paraId="7A8DEEDA" w14:textId="77777777" w:rsidR="00DB2F71" w:rsidRDefault="00000000">
      <w:pPr>
        <w:spacing w:after="160" w:line="264" w:lineRule="auto"/>
        <w:ind w:left="432" w:hanging="432"/>
      </w:pPr>
      <w:r>
        <w:rPr>
          <w:sz w:val="20"/>
          <w:szCs w:val="20"/>
        </w:rPr>
        <w:t>Secretaría de Economía. (2021b). Perfil de Mercado del Grafito. https://www.gob.mx/cms/uploads/attachment/file/624814/12Perfil_Grafito_2020__T_.pdf</w:t>
      </w:r>
    </w:p>
    <w:p w14:paraId="32112D2A" w14:textId="77777777" w:rsidR="00DB2F71" w:rsidRDefault="00000000">
      <w:pPr>
        <w:spacing w:after="160" w:line="264" w:lineRule="auto"/>
        <w:ind w:left="432" w:hanging="432"/>
      </w:pPr>
      <w:r>
        <w:rPr>
          <w:sz w:val="20"/>
          <w:szCs w:val="20"/>
        </w:rPr>
        <w:t>Secretaría de Economía. (2021c). Perfil de Mercado del Sílice. https://www.gob.mx/cms/uploads/attachment/file/692292/18._Perfil_S_lice_2021__T_.pdf</w:t>
      </w:r>
    </w:p>
    <w:p w14:paraId="57FE636C" w14:textId="77777777" w:rsidR="00DB2F71" w:rsidRDefault="00000000">
      <w:pPr>
        <w:spacing w:after="160" w:line="264" w:lineRule="auto"/>
        <w:ind w:left="432" w:hanging="432"/>
      </w:pPr>
      <w:r>
        <w:rPr>
          <w:sz w:val="20"/>
          <w:szCs w:val="20"/>
        </w:rPr>
        <w:t>Secretaría de Economía. (2024b). Boletín Estadístico de la Industria Minero-Metalúrgica, julio 2024. https://www.gob.mx/cms/uploads/attachment/file/947677/Bolet_n_estad_stico_-_julio_2024.pdf</w:t>
      </w:r>
    </w:p>
    <w:p w14:paraId="553904CB" w14:textId="77777777" w:rsidR="00DB2F71" w:rsidRDefault="00000000">
      <w:pPr>
        <w:spacing w:after="160" w:line="264" w:lineRule="auto"/>
        <w:ind w:left="432" w:hanging="432"/>
      </w:pPr>
      <w:r>
        <w:rPr>
          <w:sz w:val="20"/>
          <w:szCs w:val="20"/>
        </w:rPr>
        <w:t>Servicio Geológico Mexicano. (2024). Anuario Estadístico de la Minería Mexicana, edición 2024 (datos 2023). https://www.sgm.gob.mx/productos/pdf/Anuario_2023_Edicion_2024.pdf</w:t>
      </w:r>
    </w:p>
    <w:p w14:paraId="0779C26E" w14:textId="77777777" w:rsidR="00DB2F71" w:rsidRDefault="00000000">
      <w:pPr>
        <w:spacing w:after="160" w:line="264" w:lineRule="auto"/>
        <w:ind w:left="432" w:hanging="432"/>
      </w:pPr>
      <w:r>
        <w:rPr>
          <w:sz w:val="20"/>
          <w:szCs w:val="20"/>
        </w:rPr>
        <w:t>Svampa, M. (2013). Consenso de los commodities y lenguajes de valoración en América Latina. Nueva Sociedad, 244, 30-46.</w:t>
      </w:r>
    </w:p>
    <w:p w14:paraId="6524B1E7" w14:textId="77777777" w:rsidR="00DB2F71" w:rsidRDefault="00000000">
      <w:pPr>
        <w:spacing w:after="160" w:line="264" w:lineRule="auto"/>
        <w:ind w:left="432" w:hanging="432"/>
      </w:pPr>
      <w:r>
        <w:rPr>
          <w:sz w:val="20"/>
          <w:szCs w:val="20"/>
        </w:rPr>
        <w:t>The White House. (2025, 20 de marzo). Immediate measures to increase American mineral production [Executive Order]. https://www.whitehouse.gov/</w:t>
      </w:r>
    </w:p>
    <w:p w14:paraId="4BC9D0BF" w14:textId="77777777" w:rsidR="00DB2F71" w:rsidRDefault="00000000">
      <w:pPr>
        <w:spacing w:after="160" w:line="264" w:lineRule="auto"/>
        <w:ind w:left="432" w:hanging="432"/>
      </w:pPr>
      <w:r>
        <w:rPr>
          <w:sz w:val="20"/>
          <w:szCs w:val="20"/>
        </w:rPr>
        <w:t>U.S. Geological Survey. (2025a). Mineral commodity summaries 2025. U.S. Department of the Interior. https://pubs.usgs.gov/periodicals/mcs2025/mcs2025.pdf</w:t>
      </w:r>
    </w:p>
    <w:p w14:paraId="185A0376" w14:textId="77777777" w:rsidR="00DB2F71" w:rsidRDefault="00000000">
      <w:pPr>
        <w:spacing w:after="160" w:line="264" w:lineRule="auto"/>
        <w:ind w:left="432" w:hanging="432"/>
      </w:pPr>
      <w:r>
        <w:rPr>
          <w:sz w:val="20"/>
          <w:szCs w:val="20"/>
        </w:rPr>
        <w:t>U.S. Geological Survey. (2025b). Methodology and technical input for the 2025 U.S. List of Critical Minerals (Open-File Report 2025-1047). https://pubs.usgs.gov/of/2025/1047/ofr20251047.pdf</w:t>
      </w:r>
    </w:p>
    <w:p w14:paraId="504371B3" w14:textId="77777777" w:rsidR="00DB2F71" w:rsidRDefault="00000000">
      <w:pPr>
        <w:spacing w:after="160" w:line="264" w:lineRule="auto"/>
        <w:ind w:left="432" w:hanging="432"/>
      </w:pPr>
      <w:r>
        <w:rPr>
          <w:sz w:val="20"/>
          <w:szCs w:val="20"/>
        </w:rPr>
        <w:t>Venables, A. J. (2016). Using natural resources for development: Why has it proven so difficult? Journal of Economic Perspectives, 30(1), 161-184. https://doi.org/10.1257/jep.30.1.161</w:t>
      </w:r>
    </w:p>
    <w:p w14:paraId="466DC3D5" w14:textId="77777777" w:rsidR="00DB2F71" w:rsidRDefault="00000000">
      <w:pPr>
        <w:spacing w:after="160" w:line="264" w:lineRule="auto"/>
        <w:ind w:left="432" w:hanging="432"/>
        <w:rPr>
          <w:sz w:val="20"/>
          <w:szCs w:val="20"/>
        </w:rPr>
      </w:pPr>
      <w:r>
        <w:rPr>
          <w:sz w:val="20"/>
          <w:szCs w:val="20"/>
        </w:rPr>
        <w:t>Williamson, O. E. (1985). The economic institutions of capitalism. Free Press.</w:t>
      </w:r>
    </w:p>
    <w:p w14:paraId="6156604E" w14:textId="77777777" w:rsidR="008D7B04" w:rsidRDefault="008D7B04" w:rsidP="008D7B04">
      <w:pPr>
        <w:spacing w:after="150" w:line="256" w:lineRule="auto"/>
        <w:ind w:left="432" w:hanging="432"/>
      </w:pPr>
      <w:r>
        <w:rPr>
          <w:sz w:val="19"/>
          <w:szCs w:val="19"/>
        </w:rPr>
        <w:t>Aliphat Rodríguez, R., García González, Ó. A., y Veintimilla Brando, V. (2025). Relevancia del sector minero mexicano en el desarrollo económico nacional. CIDE / Cámara Minera de México. https://camimex.org.mx/application/files/4817/5831/4901/Estudio_CIDE.pdf</w:t>
      </w:r>
    </w:p>
    <w:p w14:paraId="49B98320" w14:textId="77777777" w:rsidR="008D7B04" w:rsidRDefault="008D7B04" w:rsidP="008D7B04">
      <w:pPr>
        <w:spacing w:after="150" w:line="256" w:lineRule="auto"/>
        <w:ind w:left="432" w:hanging="432"/>
      </w:pPr>
      <w:r>
        <w:rPr>
          <w:sz w:val="19"/>
          <w:szCs w:val="19"/>
        </w:rPr>
        <w:t>Autlán. (s.f.). Historia. https://www.autlan.com.mx/perfil/historia/</w:t>
      </w:r>
    </w:p>
    <w:p w14:paraId="6CE846F4" w14:textId="77777777" w:rsidR="008D7B04" w:rsidRDefault="008D7B04" w:rsidP="008D7B04">
      <w:pPr>
        <w:spacing w:after="150" w:line="256" w:lineRule="auto"/>
        <w:ind w:left="432" w:hanging="432"/>
      </w:pPr>
      <w:r>
        <w:rPr>
          <w:sz w:val="19"/>
          <w:szCs w:val="19"/>
        </w:rPr>
        <w:t>Autlán. (s.f.). Unidad Molango. https://www.autlan.com.mx/negocios/autlan-manganeso/unidad-molango/</w:t>
      </w:r>
    </w:p>
    <w:p w14:paraId="25F6E0CC" w14:textId="77777777" w:rsidR="008D7B04" w:rsidRDefault="008D7B04" w:rsidP="008D7B04">
      <w:pPr>
        <w:spacing w:after="150" w:line="256" w:lineRule="auto"/>
        <w:ind w:left="432" w:hanging="432"/>
      </w:pPr>
      <w:r>
        <w:rPr>
          <w:sz w:val="19"/>
          <w:szCs w:val="19"/>
        </w:rPr>
        <w:lastRenderedPageBreak/>
        <w:t>Cámara Minera de México. (2024). Compendio Estadístico de la Industria Minero-Metalúrgica 2024. https://camimex.org.mx/compendio/index.php</w:t>
      </w:r>
    </w:p>
    <w:p w14:paraId="0B1ACA27" w14:textId="77777777" w:rsidR="008D7B04" w:rsidRDefault="008D7B04" w:rsidP="008D7B04">
      <w:pPr>
        <w:spacing w:after="150" w:line="256" w:lineRule="auto"/>
        <w:ind w:left="432" w:hanging="432"/>
      </w:pPr>
      <w:r>
        <w:rPr>
          <w:sz w:val="19"/>
          <w:szCs w:val="19"/>
        </w:rPr>
        <w:t>Cámara Minera de México. (2025b). Las 10 principales minas de plata de México en 2020. https://camimex.org.mx/index.php/boletin/boletines/articulo/15377</w:t>
      </w:r>
    </w:p>
    <w:p w14:paraId="1DC9FE0E" w14:textId="77777777" w:rsidR="008D7B04" w:rsidRDefault="008D7B04" w:rsidP="008D7B04">
      <w:pPr>
        <w:spacing w:after="150" w:line="256" w:lineRule="auto"/>
        <w:ind w:left="432" w:hanging="432"/>
      </w:pPr>
      <w:r>
        <w:rPr>
          <w:sz w:val="19"/>
          <w:szCs w:val="19"/>
        </w:rPr>
        <w:t>Cámara Minera de México. (2025c). Sonora ya figura en producción de zinc [boletín]. https://camimex.org.mx/index.php/boletin/boletines/articulo/23391</w:t>
      </w:r>
    </w:p>
    <w:p w14:paraId="6924284A" w14:textId="77777777" w:rsidR="008D7B04" w:rsidRDefault="008D7B04" w:rsidP="008D7B04">
      <w:pPr>
        <w:spacing w:after="150" w:line="256" w:lineRule="auto"/>
        <w:ind w:left="432" w:hanging="432"/>
      </w:pPr>
      <w:r>
        <w:rPr>
          <w:sz w:val="19"/>
          <w:szCs w:val="19"/>
        </w:rPr>
        <w:t>De la Garza Pedraza, E. M., et al. (2021). La política de concesiones a los grupos mineros de México. Problemas del Desarrollo. https://www.scielo.org.mx/scielo.php?script=sci_arttext&amp;pid=S0301-70362021000300035</w:t>
      </w:r>
    </w:p>
    <w:p w14:paraId="2B2A8A7B" w14:textId="77777777" w:rsidR="008D7B04" w:rsidRDefault="008D7B04" w:rsidP="008D7B04">
      <w:pPr>
        <w:spacing w:after="150" w:line="256" w:lineRule="auto"/>
        <w:ind w:left="432" w:hanging="432"/>
      </w:pPr>
      <w:r>
        <w:rPr>
          <w:sz w:val="19"/>
          <w:szCs w:val="19"/>
        </w:rPr>
        <w:t>European Commission. (2023). Study on the review of the list of critical raw materials. Publications Office of the European Union. https://doi.org/10.2873/876847</w:t>
      </w:r>
    </w:p>
    <w:p w14:paraId="1A0F643B" w14:textId="77777777" w:rsidR="008D7B04" w:rsidRDefault="008D7B04" w:rsidP="008D7B04">
      <w:pPr>
        <w:spacing w:after="150" w:line="256" w:lineRule="auto"/>
        <w:ind w:left="432" w:hanging="432"/>
      </w:pPr>
      <w:r>
        <w:rPr>
          <w:sz w:val="19"/>
          <w:szCs w:val="19"/>
        </w:rPr>
        <w:t>Expansión. (2025, 15 de julio). Estas son las 5 mineras que más extraen oro en México: 4 son extranjeras. https://expansion.mx/empresas/2025/07/15/mineras-que-mas-extraen-oro-en-mexico</w:t>
      </w:r>
    </w:p>
    <w:p w14:paraId="5B84F337" w14:textId="77777777" w:rsidR="008D7B04" w:rsidRDefault="008D7B04" w:rsidP="008D7B04">
      <w:pPr>
        <w:spacing w:after="150" w:line="256" w:lineRule="auto"/>
        <w:ind w:left="432" w:hanging="432"/>
      </w:pPr>
      <w:r>
        <w:rPr>
          <w:sz w:val="19"/>
          <w:szCs w:val="19"/>
        </w:rPr>
        <w:t>Expert Market Research. (2024). Mercado del Cobre en México. https://www.expertmarketresearch.com/es/reports/mexico-copper-market</w:t>
      </w:r>
    </w:p>
    <w:p w14:paraId="16735F46" w14:textId="77777777" w:rsidR="008D7B04" w:rsidRDefault="008D7B04" w:rsidP="008D7B04">
      <w:pPr>
        <w:spacing w:after="150" w:line="256" w:lineRule="auto"/>
        <w:ind w:left="432" w:hanging="432"/>
      </w:pPr>
      <w:r>
        <w:rPr>
          <w:sz w:val="19"/>
          <w:szCs w:val="19"/>
        </w:rPr>
        <w:t>Industrias Peñoles. (s.f.). Nuestra Historia. https://www.penoles.com.mx/nuestro-grupo/acerca-de-penoles/nuestra-historia.html</w:t>
      </w:r>
    </w:p>
    <w:p w14:paraId="631AAF2F" w14:textId="77777777" w:rsidR="008D7B04" w:rsidRDefault="008D7B04" w:rsidP="008D7B04">
      <w:pPr>
        <w:spacing w:after="150" w:line="256" w:lineRule="auto"/>
        <w:ind w:left="432" w:hanging="432"/>
      </w:pPr>
      <w:r>
        <w:rPr>
          <w:sz w:val="19"/>
          <w:szCs w:val="19"/>
        </w:rPr>
        <w:t>Industrias Peñoles. (s.f.). Unidades Mineras. https://www.penoles.com.mx/nuestras-operaciones/unidades-mineras/</w:t>
      </w:r>
    </w:p>
    <w:p w14:paraId="11BF851B" w14:textId="77777777" w:rsidR="008D7B04" w:rsidRDefault="008D7B04" w:rsidP="008D7B04">
      <w:pPr>
        <w:spacing w:after="150" w:line="256" w:lineRule="auto"/>
        <w:ind w:left="432" w:hanging="432"/>
      </w:pPr>
      <w:r>
        <w:rPr>
          <w:sz w:val="19"/>
          <w:szCs w:val="19"/>
        </w:rPr>
        <w:t>Instituto Geológico y Minero de España. (1996). Panorama Minero 1994-95: Manganeso. https://web.igme.es/PanoramaMinero/Historico/1994_95/MANGANES.pdf</w:t>
      </w:r>
    </w:p>
    <w:p w14:paraId="7B6206EA" w14:textId="77777777" w:rsidR="008D7B04" w:rsidRDefault="008D7B04" w:rsidP="008D7B04">
      <w:pPr>
        <w:spacing w:after="150" w:line="256" w:lineRule="auto"/>
        <w:ind w:left="432" w:hanging="432"/>
      </w:pPr>
      <w:r>
        <w:rPr>
          <w:sz w:val="19"/>
          <w:szCs w:val="19"/>
        </w:rPr>
        <w:t>Instituto Mexicano para la Competitividad. (2026). Los minerales críticos en la revisión del T-MEC. https://imco.org.mx/los-minerales-criticos-en-la-revision-del-t-mec/</w:t>
      </w:r>
    </w:p>
    <w:p w14:paraId="7AB0425B" w14:textId="77777777" w:rsidR="008D7B04" w:rsidRDefault="008D7B04" w:rsidP="008D7B04">
      <w:pPr>
        <w:spacing w:after="150" w:line="256" w:lineRule="auto"/>
        <w:ind w:left="432" w:hanging="432"/>
      </w:pPr>
      <w:r>
        <w:rPr>
          <w:sz w:val="19"/>
          <w:szCs w:val="19"/>
        </w:rPr>
        <w:t>La Jornada. (2026, 16 de febrero). México es clave en 10 minerales críticos para EU. https://www.jornada.com.mx/noticia/2026/02/16/economia/mexico-es-clave-en-10-minerales-criticos-para-eu</w:t>
      </w:r>
    </w:p>
    <w:p w14:paraId="56EE86EE" w14:textId="77777777" w:rsidR="008D7B04" w:rsidRDefault="008D7B04" w:rsidP="008D7B04">
      <w:pPr>
        <w:spacing w:after="150" w:line="256" w:lineRule="auto"/>
        <w:ind w:left="432" w:hanging="432"/>
      </w:pPr>
      <w:r>
        <w:rPr>
          <w:sz w:val="19"/>
          <w:szCs w:val="19"/>
        </w:rPr>
        <w:t>Mexico Mining Center. (2018). Peñoles y Goldcorp encabezan producción de zinc en México. https://www.mexicominingcenter.com/penoles-y-goldcorp-encabezan-produccion-de-zinc-en-mexico/</w:t>
      </w:r>
    </w:p>
    <w:p w14:paraId="17BB4BA1" w14:textId="77777777" w:rsidR="008D7B04" w:rsidRDefault="008D7B04" w:rsidP="008D7B04">
      <w:pPr>
        <w:spacing w:after="150" w:line="256" w:lineRule="auto"/>
        <w:ind w:left="432" w:hanging="432"/>
      </w:pPr>
      <w:r>
        <w:rPr>
          <w:sz w:val="19"/>
          <w:szCs w:val="19"/>
        </w:rPr>
        <w:t>Micheli Thirion, J., y Cortés Morales, J. (2026). Minerales críticos en México: un panorama general. Perspectivas Energéticas, 22, 2-9. Programa de Energía, El Colegio de México. https://programaenergia.colmex.mx/wp-content/uploads/2026/03/Perspectivas-Energeticas-22_2.pdf</w:t>
      </w:r>
    </w:p>
    <w:p w14:paraId="075119F0" w14:textId="77777777" w:rsidR="008D7B04" w:rsidRDefault="008D7B04" w:rsidP="008D7B04">
      <w:pPr>
        <w:spacing w:after="150" w:line="256" w:lineRule="auto"/>
        <w:ind w:left="432" w:hanging="432"/>
      </w:pPr>
      <w:r>
        <w:rPr>
          <w:sz w:val="19"/>
          <w:szCs w:val="19"/>
        </w:rPr>
        <w:t>Milenio / Mining México. (2024, julio). Industrias Peñoles estima producción de 270,000 toneladas de zinc en 2024. https://miningmexico.com/industrias-penoles-estima-produccion-de-270000-toneladas-de-zinc-en-2024/</w:t>
      </w:r>
    </w:p>
    <w:p w14:paraId="4D5CB360" w14:textId="77777777" w:rsidR="008D7B04" w:rsidRDefault="008D7B04" w:rsidP="008D7B04">
      <w:pPr>
        <w:spacing w:after="150" w:line="256" w:lineRule="auto"/>
        <w:ind w:left="432" w:hanging="432"/>
      </w:pPr>
      <w:r>
        <w:rPr>
          <w:sz w:val="19"/>
          <w:szCs w:val="19"/>
        </w:rPr>
        <w:t>Minería en Línea. (2026, 12 de mayo). México: el limbo judicial de las concesiones mineras tras la reforma de 2023. https://mineriaenlinea.com/2026/05/mexico-el-limbo-judicial-de-las-concesiones-mineras-tras-la-reforma-de-2023/</w:t>
      </w:r>
    </w:p>
    <w:p w14:paraId="785A43A3" w14:textId="77777777" w:rsidR="008D7B04" w:rsidRDefault="008D7B04" w:rsidP="008D7B04">
      <w:pPr>
        <w:spacing w:after="150" w:line="256" w:lineRule="auto"/>
        <w:ind w:left="432" w:hanging="432"/>
      </w:pPr>
      <w:r>
        <w:rPr>
          <w:sz w:val="19"/>
          <w:szCs w:val="19"/>
        </w:rPr>
        <w:t>Outletminero. (2019). Industrias Peñoles lidera producción de zinc en México. https://outletminero.org/industrias-penoles-lidera-produccion-de-zinc-en-mexico/</w:t>
      </w:r>
    </w:p>
    <w:p w14:paraId="39E1B548" w14:textId="77777777" w:rsidR="008D7B04" w:rsidRDefault="008D7B04" w:rsidP="008D7B04">
      <w:pPr>
        <w:spacing w:after="150" w:line="256" w:lineRule="auto"/>
        <w:ind w:left="432" w:hanging="432"/>
      </w:pPr>
      <w:r>
        <w:rPr>
          <w:sz w:val="19"/>
          <w:szCs w:val="19"/>
        </w:rPr>
        <w:lastRenderedPageBreak/>
        <w:t>Secretaría de Economía / DataMéxico. (2025a). Minerales de Cobre y sus Concentrados: Intercambio comercial. https://www.economia.gob.mx/datamexico/es/profile/product/copper-ores-and-concentrates</w:t>
      </w:r>
    </w:p>
    <w:p w14:paraId="22F468BE" w14:textId="77777777" w:rsidR="008D7B04" w:rsidRDefault="008D7B04" w:rsidP="008D7B04">
      <w:pPr>
        <w:spacing w:after="150" w:line="256" w:lineRule="auto"/>
        <w:ind w:left="432" w:hanging="432"/>
      </w:pPr>
      <w:r>
        <w:rPr>
          <w:sz w:val="19"/>
          <w:szCs w:val="19"/>
        </w:rPr>
        <w:t>Secretaría de Economía / DataMéxico. (2025b). Plata en Bruto, Semilabrada o en Polvo: Intercambio comercial. https://www.economia.gob.mx/datamexico/es/profile/product/silver-including-silver-gold-platinum-to-gross-semi-manufactured-or-powder</w:t>
      </w:r>
    </w:p>
    <w:p w14:paraId="156315D8" w14:textId="77777777" w:rsidR="008D7B04" w:rsidRDefault="008D7B04" w:rsidP="008D7B04">
      <w:pPr>
        <w:spacing w:after="150" w:line="256" w:lineRule="auto"/>
        <w:ind w:left="432" w:hanging="432"/>
      </w:pPr>
      <w:r>
        <w:rPr>
          <w:sz w:val="19"/>
          <w:szCs w:val="19"/>
        </w:rPr>
        <w:t>Secretaría de Economía / DataMéxico. (2025c). Minerales de Cinc y sus Concentrados: Intercambio comercial. https://www.economia.gob.mx/datamexico/es/profile/product/zinc-ores-and-concentrates-5260800</w:t>
      </w:r>
    </w:p>
    <w:p w14:paraId="1549CAA0" w14:textId="77777777" w:rsidR="008D7B04" w:rsidRDefault="008D7B04" w:rsidP="008D7B04">
      <w:pPr>
        <w:spacing w:after="150" w:line="256" w:lineRule="auto"/>
        <w:ind w:left="432" w:hanging="432"/>
      </w:pPr>
      <w:r>
        <w:rPr>
          <w:sz w:val="19"/>
          <w:szCs w:val="19"/>
        </w:rPr>
        <w:t>Secretaría de Economía. (2014). Perfil de Mercado de la Barita. https://www.economia.gob.mx/files/comunidad_negocios/industria_comercio/informacionSectorial/minero/pm_barita_2014.pdf</w:t>
      </w:r>
    </w:p>
    <w:p w14:paraId="4AEF16B8" w14:textId="77777777" w:rsidR="008D7B04" w:rsidRDefault="008D7B04" w:rsidP="008D7B04">
      <w:pPr>
        <w:spacing w:after="150" w:line="256" w:lineRule="auto"/>
        <w:ind w:left="432" w:hanging="432"/>
      </w:pPr>
      <w:r>
        <w:rPr>
          <w:sz w:val="19"/>
          <w:szCs w:val="19"/>
        </w:rPr>
        <w:t>Secretaría de Economía. (2020a). Perfil de Mercado de la Fluorita. https://www.gob.mx/cms/uploads/attachment/file/624810/9Perfil_Fluorita_2020__T_.pdf</w:t>
      </w:r>
    </w:p>
    <w:p w14:paraId="51476C55" w14:textId="77777777" w:rsidR="008D7B04" w:rsidRDefault="008D7B04" w:rsidP="008D7B04">
      <w:pPr>
        <w:spacing w:after="150" w:line="256" w:lineRule="auto"/>
        <w:ind w:left="432" w:hanging="432"/>
      </w:pPr>
      <w:r>
        <w:rPr>
          <w:sz w:val="19"/>
          <w:szCs w:val="19"/>
        </w:rPr>
        <w:t>Secretaría de Economía. (2021a). Perfil de Mercado de la Barita. https://www.gob.mx/cms/uploads/attachment/file/692301/1._Perfil_Barita_2021__T_.pdf</w:t>
      </w:r>
    </w:p>
    <w:p w14:paraId="3C13CA67" w14:textId="77777777" w:rsidR="008D7B04" w:rsidRDefault="008D7B04" w:rsidP="008D7B04">
      <w:pPr>
        <w:spacing w:after="150" w:line="256" w:lineRule="auto"/>
        <w:ind w:left="432" w:hanging="432"/>
      </w:pPr>
      <w:r>
        <w:rPr>
          <w:sz w:val="19"/>
          <w:szCs w:val="19"/>
        </w:rPr>
        <w:t>Secretaría de Economía. (2021b). Perfil de Mercado del Grafito. https://www.gob.mx/cms/uploads/attachment/file/624814/12Perfil_Grafito_2020__T_.pdf</w:t>
      </w:r>
    </w:p>
    <w:p w14:paraId="5E489CDF" w14:textId="77777777" w:rsidR="008D7B04" w:rsidRDefault="008D7B04" w:rsidP="008D7B04">
      <w:pPr>
        <w:spacing w:after="150" w:line="256" w:lineRule="auto"/>
        <w:ind w:left="432" w:hanging="432"/>
      </w:pPr>
      <w:r>
        <w:rPr>
          <w:sz w:val="19"/>
          <w:szCs w:val="19"/>
        </w:rPr>
        <w:t>Secretaría de Economía. (2021c). Perfil de Mercado del Sílice. https://www.gob.mx/cms/uploads/attachment/file/692292/18._Perfil_S_lice_2021__T_.pdf</w:t>
      </w:r>
    </w:p>
    <w:p w14:paraId="22B6ED7B" w14:textId="77777777" w:rsidR="008D7B04" w:rsidRDefault="008D7B04" w:rsidP="008D7B04">
      <w:pPr>
        <w:spacing w:after="150" w:line="256" w:lineRule="auto"/>
        <w:ind w:left="432" w:hanging="432"/>
      </w:pPr>
      <w:r>
        <w:rPr>
          <w:sz w:val="19"/>
          <w:szCs w:val="19"/>
        </w:rPr>
        <w:t>Secretaría de Economía. (2024a). Reforma integral a la actividad minera. https://www.gob.mx/se/prensa/reforma-integral-a-la-actividad-minera</w:t>
      </w:r>
    </w:p>
    <w:p w14:paraId="5EC152AF" w14:textId="77777777" w:rsidR="008D7B04" w:rsidRDefault="008D7B04" w:rsidP="008D7B04">
      <w:pPr>
        <w:spacing w:after="150" w:line="256" w:lineRule="auto"/>
        <w:ind w:left="432" w:hanging="432"/>
      </w:pPr>
      <w:r>
        <w:rPr>
          <w:sz w:val="19"/>
          <w:szCs w:val="19"/>
        </w:rPr>
        <w:t>Secretaría de Economía. (2024b). Boletín Estadístico de la Industria Minero-Metalúrgica, julio 2024. https://www.gob.mx/cms/uploads/attachment/file/947677/Bolet_n_estad_stico_-_julio_2024.pdf</w:t>
      </w:r>
    </w:p>
    <w:p w14:paraId="398DFCF5" w14:textId="77777777" w:rsidR="008D7B04" w:rsidRDefault="008D7B04" w:rsidP="008D7B04">
      <w:pPr>
        <w:spacing w:after="150" w:line="256" w:lineRule="auto"/>
        <w:ind w:left="432" w:hanging="432"/>
      </w:pPr>
      <w:r>
        <w:rPr>
          <w:sz w:val="19"/>
          <w:szCs w:val="19"/>
        </w:rPr>
        <w:t>Servicio Geológico Mexicano. (2024). Anuario Estadístico de la Minería Mexicana, edición 2024 (datos 2023). https://www.sgm.gob.mx/productos/pdf/Anuario_2023_Edicion_2024.pdf</w:t>
      </w:r>
    </w:p>
    <w:p w14:paraId="172E26BC" w14:textId="77777777" w:rsidR="008D7B04" w:rsidRDefault="008D7B04" w:rsidP="008D7B04">
      <w:pPr>
        <w:spacing w:after="150" w:line="256" w:lineRule="auto"/>
        <w:ind w:left="432" w:hanging="432"/>
      </w:pPr>
      <w:r>
        <w:rPr>
          <w:sz w:val="19"/>
          <w:szCs w:val="19"/>
        </w:rPr>
        <w:t>The White House. (2025, 20 de marzo). Immediate measures to increase American mineral production [Executive Order]. https://www.whitehouse.gov/</w:t>
      </w:r>
    </w:p>
    <w:p w14:paraId="6090CB11" w14:textId="77777777" w:rsidR="008D7B04" w:rsidRDefault="008D7B04" w:rsidP="008D7B04">
      <w:pPr>
        <w:spacing w:after="150" w:line="256" w:lineRule="auto"/>
        <w:ind w:left="432" w:hanging="432"/>
      </w:pPr>
      <w:r>
        <w:rPr>
          <w:sz w:val="19"/>
          <w:szCs w:val="19"/>
        </w:rPr>
        <w:t>U.S. Geological Survey. (2025a). Mineral commodity summaries 2025. U.S. Department of the Interior. https://pubs.usgs.gov/periodicals/mcs2025/mcs2025.pdf</w:t>
      </w:r>
    </w:p>
    <w:p w14:paraId="37736780" w14:textId="77777777" w:rsidR="008D7B04" w:rsidRDefault="008D7B04">
      <w:pPr>
        <w:spacing w:after="160" w:line="264" w:lineRule="auto"/>
        <w:ind w:left="432" w:hanging="432"/>
      </w:pPr>
    </w:p>
    <w:sectPr w:rsidR="008D7B04">
      <w:headerReference w:type="default" r:id="rId11"/>
      <w:footerReference w:type="default" r:id="rId12"/>
      <w:pgSz w:w="12240" w:h="15840"/>
      <w:pgMar w:top="1800" w:right="1800" w:bottom="180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Jorge Cortés" w:date="2026-07-06T11:30:00Z" w:initials="JC">
    <w:p w14:paraId="02D72077" w14:textId="2CC4617D" w:rsidR="008D7B04" w:rsidRDefault="008D7B04">
      <w:pPr>
        <w:pStyle w:val="Textocomentario"/>
      </w:pPr>
      <w:r>
        <w:rPr>
          <w:rStyle w:val="Refdecomentario"/>
        </w:rPr>
        <w:annotationRef/>
      </w:r>
      <w:r>
        <w:t>Esto tengo que revisarlo en caso que el modelo no se ajuste</w:t>
      </w:r>
    </w:p>
  </w:comment>
  <w:comment w:id="18" w:author="Jorge Cortés" w:date="2026-07-06T11:32:00Z" w:initials="JC">
    <w:p w14:paraId="792D7511" w14:textId="204D4449" w:rsidR="008A078A" w:rsidRDefault="008A078A">
      <w:pPr>
        <w:pStyle w:val="Textocomentario"/>
      </w:pPr>
      <w:r>
        <w:rPr>
          <w:rStyle w:val="Refdecomentario"/>
        </w:rPr>
        <w:annotationRef/>
      </w:r>
      <w:r>
        <w:t>-analizar si mantener estos valores estimados o eliminar dicha columna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D72077" w15:done="0"/>
  <w15:commentEx w15:paraId="792D75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3C75DA" w16cex:dateUtc="2026-07-06T17:30:00Z"/>
  <w16cex:commentExtensible w16cex:durableId="4B008715" w16cex:dateUtc="2026-07-06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D72077" w16cid:durableId="383C75DA"/>
  <w16cid:commentId w16cid:paraId="792D7511" w16cid:durableId="4B0087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D8ED" w14:textId="77777777" w:rsidR="0035796E" w:rsidRDefault="0035796E">
      <w:r>
        <w:separator/>
      </w:r>
    </w:p>
  </w:endnote>
  <w:endnote w:type="continuationSeparator" w:id="0">
    <w:p w14:paraId="315A3961" w14:textId="77777777" w:rsidR="0035796E" w:rsidRDefault="00357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A950" w14:textId="77777777" w:rsidR="00DB2F7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8D7B04">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BAE9" w14:textId="77777777" w:rsidR="0035796E" w:rsidRDefault="0035796E">
      <w:r>
        <w:separator/>
      </w:r>
    </w:p>
  </w:footnote>
  <w:footnote w:type="continuationSeparator" w:id="0">
    <w:p w14:paraId="312B454F" w14:textId="77777777" w:rsidR="0035796E" w:rsidRDefault="003579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98B5" w14:textId="77777777" w:rsidR="00DB2F71" w:rsidRDefault="00000000">
    <w:pPr>
      <w:jc w:val="right"/>
    </w:pPr>
    <w:r>
      <w:rPr>
        <w:color w:val="9CA3AF"/>
        <w:sz w:val="16"/>
        <w:szCs w:val="16"/>
      </w:rPr>
      <w:t>Cortés Morales · UAM-Azcapotzalco · Maestría en Economía · EFI · Capítulos I-IV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D0601"/>
    <w:multiLevelType w:val="hybridMultilevel"/>
    <w:tmpl w:val="0EB0DE60"/>
    <w:lvl w:ilvl="0" w:tplc="AB00A918">
      <w:start w:val="1"/>
      <w:numFmt w:val="bullet"/>
      <w:lvlText w:val="•"/>
      <w:lvlJc w:val="left"/>
      <w:pPr>
        <w:spacing w:after="100"/>
        <w:ind w:left="720" w:hanging="360"/>
      </w:pPr>
    </w:lvl>
    <w:lvl w:ilvl="1" w:tplc="A7CA6608">
      <w:numFmt w:val="decimal"/>
      <w:lvlText w:val=""/>
      <w:lvlJc w:val="left"/>
    </w:lvl>
    <w:lvl w:ilvl="2" w:tplc="CDFCCBA8">
      <w:numFmt w:val="decimal"/>
      <w:lvlText w:val=""/>
      <w:lvlJc w:val="left"/>
    </w:lvl>
    <w:lvl w:ilvl="3" w:tplc="93A49400">
      <w:numFmt w:val="decimal"/>
      <w:lvlText w:val=""/>
      <w:lvlJc w:val="left"/>
    </w:lvl>
    <w:lvl w:ilvl="4" w:tplc="6E8673D4">
      <w:numFmt w:val="decimal"/>
      <w:lvlText w:val=""/>
      <w:lvlJc w:val="left"/>
    </w:lvl>
    <w:lvl w:ilvl="5" w:tplc="ECDE834A">
      <w:numFmt w:val="decimal"/>
      <w:lvlText w:val=""/>
      <w:lvlJc w:val="left"/>
    </w:lvl>
    <w:lvl w:ilvl="6" w:tplc="26B41372">
      <w:numFmt w:val="decimal"/>
      <w:lvlText w:val=""/>
      <w:lvlJc w:val="left"/>
    </w:lvl>
    <w:lvl w:ilvl="7" w:tplc="4ED24216">
      <w:numFmt w:val="decimal"/>
      <w:lvlText w:val=""/>
      <w:lvlJc w:val="left"/>
    </w:lvl>
    <w:lvl w:ilvl="8" w:tplc="C48005D8">
      <w:numFmt w:val="decimal"/>
      <w:lvlText w:val=""/>
      <w:lvlJc w:val="left"/>
    </w:lvl>
  </w:abstractNum>
  <w:abstractNum w:abstractNumId="1" w15:restartNumberingAfterBreak="0">
    <w:nsid w:val="6A743B63"/>
    <w:multiLevelType w:val="hybridMultilevel"/>
    <w:tmpl w:val="4B208CAC"/>
    <w:lvl w:ilvl="0" w:tplc="376EF63A">
      <w:start w:val="1"/>
      <w:numFmt w:val="bullet"/>
      <w:lvlText w:val="●"/>
      <w:lvlJc w:val="left"/>
      <w:pPr>
        <w:ind w:left="720" w:hanging="360"/>
      </w:pPr>
    </w:lvl>
    <w:lvl w:ilvl="1" w:tplc="AF54A4F0">
      <w:start w:val="1"/>
      <w:numFmt w:val="bullet"/>
      <w:lvlText w:val="○"/>
      <w:lvlJc w:val="left"/>
      <w:pPr>
        <w:ind w:left="1440" w:hanging="360"/>
      </w:pPr>
    </w:lvl>
    <w:lvl w:ilvl="2" w:tplc="0C6CE142">
      <w:start w:val="1"/>
      <w:numFmt w:val="bullet"/>
      <w:lvlText w:val="■"/>
      <w:lvlJc w:val="left"/>
      <w:pPr>
        <w:ind w:left="2160" w:hanging="360"/>
      </w:pPr>
    </w:lvl>
    <w:lvl w:ilvl="3" w:tplc="66BE0718">
      <w:start w:val="1"/>
      <w:numFmt w:val="bullet"/>
      <w:lvlText w:val="●"/>
      <w:lvlJc w:val="left"/>
      <w:pPr>
        <w:ind w:left="2880" w:hanging="360"/>
      </w:pPr>
    </w:lvl>
    <w:lvl w:ilvl="4" w:tplc="6CBCE852">
      <w:start w:val="1"/>
      <w:numFmt w:val="bullet"/>
      <w:lvlText w:val="○"/>
      <w:lvlJc w:val="left"/>
      <w:pPr>
        <w:ind w:left="3600" w:hanging="360"/>
      </w:pPr>
    </w:lvl>
    <w:lvl w:ilvl="5" w:tplc="36608470">
      <w:start w:val="1"/>
      <w:numFmt w:val="bullet"/>
      <w:lvlText w:val="■"/>
      <w:lvlJc w:val="left"/>
      <w:pPr>
        <w:ind w:left="4320" w:hanging="360"/>
      </w:pPr>
    </w:lvl>
    <w:lvl w:ilvl="6" w:tplc="29FC3526">
      <w:start w:val="1"/>
      <w:numFmt w:val="bullet"/>
      <w:lvlText w:val="●"/>
      <w:lvlJc w:val="left"/>
      <w:pPr>
        <w:ind w:left="5040" w:hanging="360"/>
      </w:pPr>
    </w:lvl>
    <w:lvl w:ilvl="7" w:tplc="7FFA2AC0">
      <w:start w:val="1"/>
      <w:numFmt w:val="bullet"/>
      <w:lvlText w:val="●"/>
      <w:lvlJc w:val="left"/>
      <w:pPr>
        <w:ind w:left="5760" w:hanging="360"/>
      </w:pPr>
    </w:lvl>
    <w:lvl w:ilvl="8" w:tplc="759A394C">
      <w:start w:val="1"/>
      <w:numFmt w:val="bullet"/>
      <w:lvlText w:val="●"/>
      <w:lvlJc w:val="left"/>
      <w:pPr>
        <w:ind w:left="6480" w:hanging="360"/>
      </w:pPr>
    </w:lvl>
  </w:abstractNum>
  <w:num w:numId="1" w16cid:durableId="1691879152">
    <w:abstractNumId w:val="1"/>
    <w:lvlOverride w:ilvl="0">
      <w:startOverride w:val="1"/>
    </w:lvlOverride>
  </w:num>
  <w:num w:numId="2" w16cid:durableId="48000238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Cortés">
    <w15:presenceInfo w15:providerId="Windows Live" w15:userId="33bf67409cf8b8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71"/>
    <w:rsid w:val="000F1F42"/>
    <w:rsid w:val="00135564"/>
    <w:rsid w:val="0035796E"/>
    <w:rsid w:val="00392CEE"/>
    <w:rsid w:val="003B5890"/>
    <w:rsid w:val="005113D4"/>
    <w:rsid w:val="008A078A"/>
    <w:rsid w:val="008D7B04"/>
    <w:rsid w:val="00AC5E2D"/>
    <w:rsid w:val="00B94290"/>
    <w:rsid w:val="00C010FE"/>
    <w:rsid w:val="00D90233"/>
    <w:rsid w:val="00DB2F71"/>
    <w:rsid w:val="00E55C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410C"/>
  <w15:docId w15:val="{00E5D274-E4B6-4905-A93C-E32913C7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1F3B5C"/>
      <w:sz w:val="32"/>
      <w:szCs w:val="32"/>
    </w:rPr>
  </w:style>
  <w:style w:type="paragraph" w:styleId="Ttulo2">
    <w:name w:val="heading 2"/>
    <w:uiPriority w:val="9"/>
    <w:unhideWhenUsed/>
    <w:qFormat/>
    <w:pPr>
      <w:spacing w:before="320" w:after="140"/>
      <w:outlineLvl w:val="1"/>
    </w:pPr>
    <w:rPr>
      <w:b/>
      <w:bCs/>
      <w:color w:val="2E5C8A"/>
      <w:sz w:val="26"/>
      <w:szCs w:val="26"/>
    </w:rPr>
  </w:style>
  <w:style w:type="paragraph" w:styleId="Ttulo3">
    <w:name w:val="heading 3"/>
    <w:uiPriority w:val="9"/>
    <w:unhideWhenUsed/>
    <w:qFormat/>
    <w:pPr>
      <w:spacing w:before="22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D7B04"/>
    <w:pPr>
      <w:spacing w:after="100"/>
    </w:pPr>
  </w:style>
  <w:style w:type="paragraph" w:styleId="TDC2">
    <w:name w:val="toc 2"/>
    <w:basedOn w:val="Normal"/>
    <w:next w:val="Normal"/>
    <w:autoRedefine/>
    <w:uiPriority w:val="39"/>
    <w:unhideWhenUsed/>
    <w:rsid w:val="008D7B04"/>
    <w:pPr>
      <w:spacing w:after="100"/>
      <w:ind w:left="220"/>
    </w:pPr>
  </w:style>
  <w:style w:type="paragraph" w:styleId="TDC3">
    <w:name w:val="toc 3"/>
    <w:basedOn w:val="Normal"/>
    <w:next w:val="Normal"/>
    <w:autoRedefine/>
    <w:uiPriority w:val="39"/>
    <w:unhideWhenUsed/>
    <w:rsid w:val="008D7B04"/>
    <w:pPr>
      <w:spacing w:after="100"/>
      <w:ind w:left="440"/>
    </w:pPr>
  </w:style>
  <w:style w:type="paragraph" w:styleId="TDC4">
    <w:name w:val="toc 4"/>
    <w:basedOn w:val="Normal"/>
    <w:next w:val="Normal"/>
    <w:autoRedefine/>
    <w:uiPriority w:val="39"/>
    <w:unhideWhenUsed/>
    <w:rsid w:val="008D7B0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8D7B0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8D7B0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8D7B0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8D7B0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8D7B0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8D7B04"/>
    <w:rPr>
      <w:color w:val="605E5C"/>
      <w:shd w:val="clear" w:color="auto" w:fill="E1DFDD"/>
    </w:rPr>
  </w:style>
  <w:style w:type="character" w:styleId="Refdecomentario">
    <w:name w:val="annotation reference"/>
    <w:basedOn w:val="Fuentedeprrafopredeter"/>
    <w:uiPriority w:val="99"/>
    <w:semiHidden/>
    <w:unhideWhenUsed/>
    <w:rsid w:val="008D7B04"/>
    <w:rPr>
      <w:sz w:val="16"/>
      <w:szCs w:val="16"/>
    </w:rPr>
  </w:style>
  <w:style w:type="paragraph" w:styleId="Textocomentario">
    <w:name w:val="annotation text"/>
    <w:basedOn w:val="Normal"/>
    <w:link w:val="TextocomentarioCar"/>
    <w:uiPriority w:val="99"/>
    <w:semiHidden/>
    <w:unhideWhenUsed/>
    <w:rsid w:val="008D7B04"/>
    <w:rPr>
      <w:sz w:val="20"/>
      <w:szCs w:val="20"/>
    </w:rPr>
  </w:style>
  <w:style w:type="character" w:customStyle="1" w:styleId="TextocomentarioCar">
    <w:name w:val="Texto comentario Car"/>
    <w:basedOn w:val="Fuentedeprrafopredeter"/>
    <w:link w:val="Textocomentario"/>
    <w:uiPriority w:val="99"/>
    <w:semiHidden/>
    <w:rsid w:val="008D7B04"/>
    <w:rPr>
      <w:sz w:val="20"/>
      <w:szCs w:val="20"/>
    </w:rPr>
  </w:style>
  <w:style w:type="paragraph" w:styleId="Asuntodelcomentario">
    <w:name w:val="annotation subject"/>
    <w:basedOn w:val="Textocomentario"/>
    <w:next w:val="Textocomentario"/>
    <w:link w:val="AsuntodelcomentarioCar"/>
    <w:uiPriority w:val="99"/>
    <w:semiHidden/>
    <w:unhideWhenUsed/>
    <w:rsid w:val="008D7B04"/>
    <w:rPr>
      <w:b/>
      <w:bCs/>
    </w:rPr>
  </w:style>
  <w:style w:type="character" w:customStyle="1" w:styleId="AsuntodelcomentarioCar">
    <w:name w:val="Asunto del comentario Car"/>
    <w:basedOn w:val="TextocomentarioCar"/>
    <w:link w:val="Asuntodelcomentario"/>
    <w:uiPriority w:val="99"/>
    <w:semiHidden/>
    <w:rsid w:val="008D7B04"/>
    <w:rPr>
      <w:b/>
      <w:bCs/>
      <w:sz w:val="20"/>
      <w:szCs w:val="20"/>
    </w:rPr>
  </w:style>
  <w:style w:type="paragraph" w:styleId="NormalWeb">
    <w:name w:val="Normal (Web)"/>
    <w:basedOn w:val="Normal"/>
    <w:uiPriority w:val="99"/>
    <w:semiHidden/>
    <w:unhideWhenUsed/>
    <w:rsid w:val="005113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1987</TotalTime>
  <Pages>1</Pages>
  <Words>18685</Words>
  <Characters>102768</Characters>
  <Application>Microsoft Office Word</Application>
  <DocSecurity>0</DocSecurity>
  <Lines>856</Lines>
  <Paragraphs>242</Paragraphs>
  <ScaleCrop>false</ScaleCrop>
  <Company/>
  <LinksUpToDate>false</LinksUpToDate>
  <CharactersWithSpaces>121211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5</cp:revision>
  <dcterms:created xsi:type="dcterms:W3CDTF">2026-07-02T22:23:00Z</dcterms:created>
  <dcterms:modified xsi:type="dcterms:W3CDTF">2026-07-30T04:45:00Z</dcterms:modified>
</cp:coreProperties>
</file>