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F4A7" w14:textId="77777777" w:rsidR="002425BC" w:rsidRDefault="002425BC">
      <w:pPr>
        <w:spacing w:before="1400"/>
      </w:pPr>
    </w:p>
    <w:p w14:paraId="3FF87675" w14:textId="77777777" w:rsidR="002425BC" w:rsidRDefault="00000000">
      <w:pPr>
        <w:jc w:val="center"/>
      </w:pPr>
      <w:r>
        <w:rPr>
          <w:b/>
          <w:bCs/>
          <w:color w:val="1F3B5C"/>
          <w:sz w:val="40"/>
          <w:szCs w:val="40"/>
        </w:rPr>
        <w:t>CONFORMACIÓN HISTÓRICA DE LOS MERCADOS</w:t>
      </w:r>
    </w:p>
    <w:p w14:paraId="39E5491C" w14:textId="77777777" w:rsidR="002425BC" w:rsidRDefault="00000000">
      <w:pPr>
        <w:spacing w:before="120" w:after="120"/>
        <w:jc w:val="center"/>
      </w:pPr>
      <w:r>
        <w:rPr>
          <w:b/>
          <w:bCs/>
          <w:color w:val="1F3B5C"/>
          <w:sz w:val="40"/>
          <w:szCs w:val="40"/>
        </w:rPr>
        <w:t>DE EXTRACCIÓN MINERA EN MÉXICO</w:t>
      </w:r>
    </w:p>
    <w:p w14:paraId="2C329283" w14:textId="77777777" w:rsidR="002425BC" w:rsidRDefault="00000000">
      <w:pPr>
        <w:spacing w:before="200" w:after="100"/>
        <w:jc w:val="center"/>
      </w:pPr>
      <w:r>
        <w:rPr>
          <w:i/>
          <w:iCs/>
          <w:color w:val="44546A"/>
          <w:sz w:val="25"/>
          <w:szCs w:val="25"/>
        </w:rPr>
        <w:t>Concentración empresarial, encadenamientos productivos y comercio exterior por mineral, 1993–2025</w:t>
      </w:r>
    </w:p>
    <w:p w14:paraId="2B2B6F2D" w14:textId="77777777" w:rsidR="002425BC" w:rsidRDefault="00000000">
      <w:pPr>
        <w:spacing w:before="100" w:after="100"/>
        <w:jc w:val="center"/>
      </w:pPr>
      <w:r>
        <w:rPr>
          <w:color w:val="6B7A8F"/>
          <w:sz w:val="21"/>
          <w:szCs w:val="21"/>
        </w:rPr>
        <w:t>Barita · Cobre · Fluorita · Grafito · Manganeso · Oro · Plata · Plomo · Sílice · Zinc</w:t>
      </w:r>
    </w:p>
    <w:p w14:paraId="3C54E50B" w14:textId="77777777" w:rsidR="002425BC" w:rsidRDefault="002425BC">
      <w:pPr>
        <w:spacing w:before="2200"/>
      </w:pPr>
    </w:p>
    <w:p w14:paraId="7C65BA86" w14:textId="77777777" w:rsidR="002425BC" w:rsidRDefault="00000000">
      <w:pPr>
        <w:spacing w:before="60"/>
        <w:jc w:val="center"/>
      </w:pPr>
      <w:r>
        <w:rPr>
          <w:color w:val="6B7A8F"/>
          <w:sz w:val="20"/>
          <w:szCs w:val="20"/>
        </w:rPr>
        <w:t>Junio de 2026</w:t>
      </w:r>
    </w:p>
    <w:p w14:paraId="65B1A2E9" w14:textId="77777777" w:rsidR="002425BC" w:rsidRDefault="00000000">
      <w:pPr>
        <w:pStyle w:val="Ttulo1"/>
        <w:pageBreakBefore/>
      </w:pPr>
      <w:bookmarkStart w:id="0" w:name="_Toc232941802"/>
      <w:r>
        <w:lastRenderedPageBreak/>
        <w:t>Índice</w:t>
      </w:r>
      <w:bookmarkEnd w:id="0"/>
    </w:p>
    <w:sdt>
      <w:sdtPr>
        <w:alias w:val="Índice"/>
        <w:id w:val="-1486077903"/>
      </w:sdtPr>
      <w:sdtContent>
        <w:p w14:paraId="6AC3A4C6" w14:textId="77777777" w:rsidR="00B46CCE" w:rsidRDefault="00000000">
          <w:pPr>
            <w:pStyle w:val="TDC1"/>
            <w:tabs>
              <w:tab w:val="right" w:leader="dot" w:pos="9350"/>
            </w:tabs>
            <w:rPr>
              <w:noProof/>
            </w:rPr>
          </w:pPr>
          <w:r>
            <w:fldChar w:fldCharType="begin"/>
          </w:r>
          <w:r>
            <w:instrText>TOC \h \o "1-2"</w:instrText>
          </w:r>
          <w:r>
            <w:fldChar w:fldCharType="separate"/>
          </w:r>
          <w:hyperlink w:anchor="_Toc232941802" w:history="1">
            <w:r w:rsidR="00B46CCE" w:rsidRPr="009B1F2C">
              <w:rPr>
                <w:rStyle w:val="Hipervnculo"/>
                <w:noProof/>
              </w:rPr>
              <w:t>Índice</w:t>
            </w:r>
            <w:r w:rsidR="00B46CCE">
              <w:rPr>
                <w:noProof/>
              </w:rPr>
              <w:tab/>
            </w:r>
            <w:r w:rsidR="00B46CCE">
              <w:rPr>
                <w:noProof/>
              </w:rPr>
              <w:fldChar w:fldCharType="begin"/>
            </w:r>
            <w:r w:rsidR="00B46CCE">
              <w:rPr>
                <w:noProof/>
              </w:rPr>
              <w:instrText xml:space="preserve"> PAGEREF _Toc232941802 \h </w:instrText>
            </w:r>
            <w:r w:rsidR="00B46CCE">
              <w:rPr>
                <w:noProof/>
              </w:rPr>
            </w:r>
            <w:r w:rsidR="00B46CCE">
              <w:rPr>
                <w:noProof/>
              </w:rPr>
              <w:fldChar w:fldCharType="separate"/>
            </w:r>
            <w:r w:rsidR="00B46CCE">
              <w:rPr>
                <w:noProof/>
              </w:rPr>
              <w:t>2</w:t>
            </w:r>
            <w:r w:rsidR="00B46CCE">
              <w:rPr>
                <w:noProof/>
              </w:rPr>
              <w:fldChar w:fldCharType="end"/>
            </w:r>
          </w:hyperlink>
        </w:p>
        <w:p w14:paraId="6E9541DA" w14:textId="77777777" w:rsidR="00B46CCE" w:rsidRDefault="00B46CCE">
          <w:pPr>
            <w:pStyle w:val="TDC1"/>
            <w:tabs>
              <w:tab w:val="right" w:leader="dot" w:pos="9350"/>
            </w:tabs>
            <w:rPr>
              <w:noProof/>
            </w:rPr>
          </w:pPr>
          <w:hyperlink w:anchor="_Toc232941803" w:history="1">
            <w:r w:rsidRPr="009B1F2C">
              <w:rPr>
                <w:rStyle w:val="Hipervnculo"/>
                <w:noProof/>
              </w:rPr>
              <w:t>1. Introducción y nota metodológica</w:t>
            </w:r>
            <w:r>
              <w:rPr>
                <w:noProof/>
              </w:rPr>
              <w:tab/>
            </w:r>
            <w:r>
              <w:rPr>
                <w:noProof/>
              </w:rPr>
              <w:fldChar w:fldCharType="begin"/>
            </w:r>
            <w:r>
              <w:rPr>
                <w:noProof/>
              </w:rPr>
              <w:instrText xml:space="preserve"> PAGEREF _Toc232941803 \h </w:instrText>
            </w:r>
            <w:r>
              <w:rPr>
                <w:noProof/>
              </w:rPr>
            </w:r>
            <w:r>
              <w:rPr>
                <w:noProof/>
              </w:rPr>
              <w:fldChar w:fldCharType="separate"/>
            </w:r>
            <w:r>
              <w:rPr>
                <w:noProof/>
              </w:rPr>
              <w:t>5</w:t>
            </w:r>
            <w:r>
              <w:rPr>
                <w:noProof/>
              </w:rPr>
              <w:fldChar w:fldCharType="end"/>
            </w:r>
          </w:hyperlink>
        </w:p>
        <w:p w14:paraId="6F0C470C" w14:textId="77777777" w:rsidR="00B46CCE" w:rsidRDefault="00B46CCE">
          <w:pPr>
            <w:pStyle w:val="TDC2"/>
            <w:tabs>
              <w:tab w:val="right" w:leader="dot" w:pos="9350"/>
            </w:tabs>
            <w:rPr>
              <w:noProof/>
            </w:rPr>
          </w:pPr>
          <w:hyperlink w:anchor="_Toc232941804" w:history="1">
            <w:r w:rsidRPr="009B1F2C">
              <w:rPr>
                <w:rStyle w:val="Hipervnculo"/>
                <w:noProof/>
              </w:rPr>
              <w:t>1.1 Tres secciones de contexto antes del análisis mineral por mineral</w:t>
            </w:r>
            <w:r>
              <w:rPr>
                <w:noProof/>
              </w:rPr>
              <w:tab/>
            </w:r>
            <w:r>
              <w:rPr>
                <w:noProof/>
              </w:rPr>
              <w:fldChar w:fldCharType="begin"/>
            </w:r>
            <w:r>
              <w:rPr>
                <w:noProof/>
              </w:rPr>
              <w:instrText xml:space="preserve"> PAGEREF _Toc232941804 \h </w:instrText>
            </w:r>
            <w:r>
              <w:rPr>
                <w:noProof/>
              </w:rPr>
            </w:r>
            <w:r>
              <w:rPr>
                <w:noProof/>
              </w:rPr>
              <w:fldChar w:fldCharType="separate"/>
            </w:r>
            <w:r>
              <w:rPr>
                <w:noProof/>
              </w:rPr>
              <w:t>5</w:t>
            </w:r>
            <w:r>
              <w:rPr>
                <w:noProof/>
              </w:rPr>
              <w:fldChar w:fldCharType="end"/>
            </w:r>
          </w:hyperlink>
        </w:p>
        <w:p w14:paraId="450E8521" w14:textId="77777777" w:rsidR="00B46CCE" w:rsidRDefault="00B46CCE">
          <w:pPr>
            <w:pStyle w:val="TDC2"/>
            <w:tabs>
              <w:tab w:val="right" w:leader="dot" w:pos="9350"/>
            </w:tabs>
            <w:rPr>
              <w:noProof/>
            </w:rPr>
          </w:pPr>
          <w:hyperlink w:anchor="_Toc232941805" w:history="1">
            <w:r w:rsidRPr="009B1F2C">
              <w:rPr>
                <w:rStyle w:val="Hipervnculo"/>
                <w:noProof/>
              </w:rPr>
              <w:t>1.2 Fuentes utilizadas</w:t>
            </w:r>
            <w:r>
              <w:rPr>
                <w:noProof/>
              </w:rPr>
              <w:tab/>
            </w:r>
            <w:r>
              <w:rPr>
                <w:noProof/>
              </w:rPr>
              <w:fldChar w:fldCharType="begin"/>
            </w:r>
            <w:r>
              <w:rPr>
                <w:noProof/>
              </w:rPr>
              <w:instrText xml:space="preserve"> PAGEREF _Toc232941805 \h </w:instrText>
            </w:r>
            <w:r>
              <w:rPr>
                <w:noProof/>
              </w:rPr>
            </w:r>
            <w:r>
              <w:rPr>
                <w:noProof/>
              </w:rPr>
              <w:fldChar w:fldCharType="separate"/>
            </w:r>
            <w:r>
              <w:rPr>
                <w:noProof/>
              </w:rPr>
              <w:t>5</w:t>
            </w:r>
            <w:r>
              <w:rPr>
                <w:noProof/>
              </w:rPr>
              <w:fldChar w:fldCharType="end"/>
            </w:r>
          </w:hyperlink>
        </w:p>
        <w:p w14:paraId="591620DF" w14:textId="77777777" w:rsidR="00B46CCE" w:rsidRDefault="00B46CCE">
          <w:pPr>
            <w:pStyle w:val="TDC2"/>
            <w:tabs>
              <w:tab w:val="right" w:leader="dot" w:pos="9350"/>
            </w:tabs>
            <w:rPr>
              <w:noProof/>
            </w:rPr>
          </w:pPr>
          <w:hyperlink w:anchor="_Toc232941806" w:history="1">
            <w:r w:rsidRPr="009B1F2C">
              <w:rPr>
                <w:rStyle w:val="Hipervnculo"/>
                <w:noProof/>
              </w:rPr>
              <w:t>1.3 Limitaciones de los datos</w:t>
            </w:r>
            <w:r>
              <w:rPr>
                <w:noProof/>
              </w:rPr>
              <w:tab/>
            </w:r>
            <w:r>
              <w:rPr>
                <w:noProof/>
              </w:rPr>
              <w:fldChar w:fldCharType="begin"/>
            </w:r>
            <w:r>
              <w:rPr>
                <w:noProof/>
              </w:rPr>
              <w:instrText xml:space="preserve"> PAGEREF _Toc232941806 \h </w:instrText>
            </w:r>
            <w:r>
              <w:rPr>
                <w:noProof/>
              </w:rPr>
            </w:r>
            <w:r>
              <w:rPr>
                <w:noProof/>
              </w:rPr>
              <w:fldChar w:fldCharType="separate"/>
            </w:r>
            <w:r>
              <w:rPr>
                <w:noProof/>
              </w:rPr>
              <w:t>6</w:t>
            </w:r>
            <w:r>
              <w:rPr>
                <w:noProof/>
              </w:rPr>
              <w:fldChar w:fldCharType="end"/>
            </w:r>
          </w:hyperlink>
        </w:p>
        <w:p w14:paraId="40F7FBB4" w14:textId="77777777" w:rsidR="00B46CCE" w:rsidRDefault="00B46CCE">
          <w:pPr>
            <w:pStyle w:val="TDC2"/>
            <w:tabs>
              <w:tab w:val="right" w:leader="dot" w:pos="9350"/>
            </w:tabs>
            <w:rPr>
              <w:noProof/>
            </w:rPr>
          </w:pPr>
          <w:hyperlink w:anchor="_Toc232941807" w:history="1">
            <w:r w:rsidRPr="009B1F2C">
              <w:rPr>
                <w:rStyle w:val="Hipervnculo"/>
                <w:noProof/>
              </w:rPr>
              <w:t>1.4 Cómo leer este informe</w:t>
            </w:r>
            <w:r>
              <w:rPr>
                <w:noProof/>
              </w:rPr>
              <w:tab/>
            </w:r>
            <w:r>
              <w:rPr>
                <w:noProof/>
              </w:rPr>
              <w:fldChar w:fldCharType="begin"/>
            </w:r>
            <w:r>
              <w:rPr>
                <w:noProof/>
              </w:rPr>
              <w:instrText xml:space="preserve"> PAGEREF _Toc232941807 \h </w:instrText>
            </w:r>
            <w:r>
              <w:rPr>
                <w:noProof/>
              </w:rPr>
            </w:r>
            <w:r>
              <w:rPr>
                <w:noProof/>
              </w:rPr>
              <w:fldChar w:fldCharType="separate"/>
            </w:r>
            <w:r>
              <w:rPr>
                <w:noProof/>
              </w:rPr>
              <w:t>6</w:t>
            </w:r>
            <w:r>
              <w:rPr>
                <w:noProof/>
              </w:rPr>
              <w:fldChar w:fldCharType="end"/>
            </w:r>
          </w:hyperlink>
        </w:p>
        <w:p w14:paraId="0480096D" w14:textId="77777777" w:rsidR="00B46CCE" w:rsidRDefault="00B46CCE">
          <w:pPr>
            <w:pStyle w:val="TDC1"/>
            <w:tabs>
              <w:tab w:val="right" w:leader="dot" w:pos="9350"/>
            </w:tabs>
            <w:rPr>
              <w:noProof/>
            </w:rPr>
          </w:pPr>
          <w:hyperlink w:anchor="_Toc232941808" w:history="1">
            <w:r w:rsidRPr="009B1F2C">
              <w:rPr>
                <w:rStyle w:val="Hipervnculo"/>
                <w:noProof/>
              </w:rPr>
              <w:t>2. Por qué estos diez minerales: criticidad y representatividad</w:t>
            </w:r>
            <w:r>
              <w:rPr>
                <w:noProof/>
              </w:rPr>
              <w:tab/>
            </w:r>
            <w:r>
              <w:rPr>
                <w:noProof/>
              </w:rPr>
              <w:fldChar w:fldCharType="begin"/>
            </w:r>
            <w:r>
              <w:rPr>
                <w:noProof/>
              </w:rPr>
              <w:instrText xml:space="preserve"> PAGEREF _Toc232941808 \h </w:instrText>
            </w:r>
            <w:r>
              <w:rPr>
                <w:noProof/>
              </w:rPr>
            </w:r>
            <w:r>
              <w:rPr>
                <w:noProof/>
              </w:rPr>
              <w:fldChar w:fldCharType="separate"/>
            </w:r>
            <w:r>
              <w:rPr>
                <w:noProof/>
              </w:rPr>
              <w:t>8</w:t>
            </w:r>
            <w:r>
              <w:rPr>
                <w:noProof/>
              </w:rPr>
              <w:fldChar w:fldCharType="end"/>
            </w:r>
          </w:hyperlink>
        </w:p>
        <w:p w14:paraId="3EF656B1" w14:textId="77777777" w:rsidR="00B46CCE" w:rsidRDefault="00B46CCE">
          <w:pPr>
            <w:pStyle w:val="TDC2"/>
            <w:tabs>
              <w:tab w:val="right" w:leader="dot" w:pos="9350"/>
            </w:tabs>
            <w:rPr>
              <w:noProof/>
            </w:rPr>
          </w:pPr>
          <w:hyperlink w:anchor="_Toc232941809" w:history="1">
            <w:r w:rsidRPr="009B1F2C">
              <w:rPr>
                <w:rStyle w:val="Hipervnculo"/>
                <w:noProof/>
              </w:rPr>
              <w:t>2.1 La criticidad es un concepto relativo al país, no una lista cerrada</w:t>
            </w:r>
            <w:r>
              <w:rPr>
                <w:noProof/>
              </w:rPr>
              <w:tab/>
            </w:r>
            <w:r>
              <w:rPr>
                <w:noProof/>
              </w:rPr>
              <w:fldChar w:fldCharType="begin"/>
            </w:r>
            <w:r>
              <w:rPr>
                <w:noProof/>
              </w:rPr>
              <w:instrText xml:space="preserve"> PAGEREF _Toc232941809 \h </w:instrText>
            </w:r>
            <w:r>
              <w:rPr>
                <w:noProof/>
              </w:rPr>
            </w:r>
            <w:r>
              <w:rPr>
                <w:noProof/>
              </w:rPr>
              <w:fldChar w:fldCharType="separate"/>
            </w:r>
            <w:r>
              <w:rPr>
                <w:noProof/>
              </w:rPr>
              <w:t>8</w:t>
            </w:r>
            <w:r>
              <w:rPr>
                <w:noProof/>
              </w:rPr>
              <w:fldChar w:fldCharType="end"/>
            </w:r>
          </w:hyperlink>
        </w:p>
        <w:p w14:paraId="0B6891B5" w14:textId="77777777" w:rsidR="00B46CCE" w:rsidRDefault="00B46CCE">
          <w:pPr>
            <w:pStyle w:val="TDC2"/>
            <w:tabs>
              <w:tab w:val="right" w:leader="dot" w:pos="9350"/>
            </w:tabs>
            <w:rPr>
              <w:noProof/>
            </w:rPr>
          </w:pPr>
          <w:hyperlink w:anchor="_Toc232941810" w:history="1">
            <w:r w:rsidRPr="009B1F2C">
              <w:rPr>
                <w:rStyle w:val="Hipervnculo"/>
                <w:noProof/>
              </w:rPr>
              <w:t>2.2 Los "nueve minerales consolidados" de México y el caso de la sílice</w:t>
            </w:r>
            <w:r>
              <w:rPr>
                <w:noProof/>
              </w:rPr>
              <w:tab/>
            </w:r>
            <w:r>
              <w:rPr>
                <w:noProof/>
              </w:rPr>
              <w:fldChar w:fldCharType="begin"/>
            </w:r>
            <w:r>
              <w:rPr>
                <w:noProof/>
              </w:rPr>
              <w:instrText xml:space="preserve"> PAGEREF _Toc232941810 \h </w:instrText>
            </w:r>
            <w:r>
              <w:rPr>
                <w:noProof/>
              </w:rPr>
            </w:r>
            <w:r>
              <w:rPr>
                <w:noProof/>
              </w:rPr>
              <w:fldChar w:fldCharType="separate"/>
            </w:r>
            <w:r>
              <w:rPr>
                <w:noProof/>
              </w:rPr>
              <w:t>8</w:t>
            </w:r>
            <w:r>
              <w:rPr>
                <w:noProof/>
              </w:rPr>
              <w:fldChar w:fldCharType="end"/>
            </w:r>
          </w:hyperlink>
        </w:p>
        <w:p w14:paraId="45AA7238" w14:textId="77777777" w:rsidR="00B46CCE" w:rsidRDefault="00B46CCE">
          <w:pPr>
            <w:pStyle w:val="TDC2"/>
            <w:tabs>
              <w:tab w:val="right" w:leader="dot" w:pos="9350"/>
            </w:tabs>
            <w:rPr>
              <w:noProof/>
            </w:rPr>
          </w:pPr>
          <w:hyperlink w:anchor="_Toc232941811" w:history="1">
            <w:r w:rsidRPr="009B1F2C">
              <w:rPr>
                <w:rStyle w:val="Hipervnculo"/>
                <w:noProof/>
              </w:rPr>
              <w:t>2.3 ¿Por qué no litio, cobalto o tierras raras?</w:t>
            </w:r>
            <w:r>
              <w:rPr>
                <w:noProof/>
              </w:rPr>
              <w:tab/>
            </w:r>
            <w:r>
              <w:rPr>
                <w:noProof/>
              </w:rPr>
              <w:fldChar w:fldCharType="begin"/>
            </w:r>
            <w:r>
              <w:rPr>
                <w:noProof/>
              </w:rPr>
              <w:instrText xml:space="preserve"> PAGEREF _Toc232941811 \h </w:instrText>
            </w:r>
            <w:r>
              <w:rPr>
                <w:noProof/>
              </w:rPr>
            </w:r>
            <w:r>
              <w:rPr>
                <w:noProof/>
              </w:rPr>
              <w:fldChar w:fldCharType="separate"/>
            </w:r>
            <w:r>
              <w:rPr>
                <w:noProof/>
              </w:rPr>
              <w:t>9</w:t>
            </w:r>
            <w:r>
              <w:rPr>
                <w:noProof/>
              </w:rPr>
              <w:fldChar w:fldCharType="end"/>
            </w:r>
          </w:hyperlink>
        </w:p>
        <w:p w14:paraId="36ECA14A" w14:textId="77777777" w:rsidR="00B46CCE" w:rsidRDefault="00B46CCE">
          <w:pPr>
            <w:pStyle w:val="TDC2"/>
            <w:tabs>
              <w:tab w:val="right" w:leader="dot" w:pos="9350"/>
            </w:tabs>
            <w:rPr>
              <w:noProof/>
            </w:rPr>
          </w:pPr>
          <w:hyperlink w:anchor="_Toc232941812" w:history="1">
            <w:r w:rsidRPr="009B1F2C">
              <w:rPr>
                <w:rStyle w:val="Hipervnculo"/>
                <w:noProof/>
              </w:rPr>
              <w:t>2.4 Confirmación externa: la metodología de Estados Unidos y la Unión Europea coincide con los diez minerales de este informe</w:t>
            </w:r>
            <w:r>
              <w:rPr>
                <w:noProof/>
              </w:rPr>
              <w:tab/>
            </w:r>
            <w:r>
              <w:rPr>
                <w:noProof/>
              </w:rPr>
              <w:fldChar w:fldCharType="begin"/>
            </w:r>
            <w:r>
              <w:rPr>
                <w:noProof/>
              </w:rPr>
              <w:instrText xml:space="preserve"> PAGEREF _Toc232941812 \h </w:instrText>
            </w:r>
            <w:r>
              <w:rPr>
                <w:noProof/>
              </w:rPr>
            </w:r>
            <w:r>
              <w:rPr>
                <w:noProof/>
              </w:rPr>
              <w:fldChar w:fldCharType="separate"/>
            </w:r>
            <w:r>
              <w:rPr>
                <w:noProof/>
              </w:rPr>
              <w:t>9</w:t>
            </w:r>
            <w:r>
              <w:rPr>
                <w:noProof/>
              </w:rPr>
              <w:fldChar w:fldCharType="end"/>
            </w:r>
          </w:hyperlink>
        </w:p>
        <w:p w14:paraId="2EF470A5" w14:textId="77777777" w:rsidR="00B46CCE" w:rsidRDefault="00B46CCE">
          <w:pPr>
            <w:pStyle w:val="TDC1"/>
            <w:tabs>
              <w:tab w:val="right" w:leader="dot" w:pos="9350"/>
            </w:tabs>
            <w:rPr>
              <w:noProof/>
            </w:rPr>
          </w:pPr>
          <w:hyperlink w:anchor="_Toc232941813" w:history="1">
            <w:r w:rsidRPr="009B1F2C">
              <w:rPr>
                <w:rStyle w:val="Hipervnculo"/>
                <w:noProof/>
              </w:rPr>
              <w:t>3. Una sola pala, varios minerales: cómo se extraen en la práctica</w:t>
            </w:r>
            <w:r>
              <w:rPr>
                <w:noProof/>
              </w:rPr>
              <w:tab/>
            </w:r>
            <w:r>
              <w:rPr>
                <w:noProof/>
              </w:rPr>
              <w:fldChar w:fldCharType="begin"/>
            </w:r>
            <w:r>
              <w:rPr>
                <w:noProof/>
              </w:rPr>
              <w:instrText xml:space="preserve"> PAGEREF _Toc232941813 \h </w:instrText>
            </w:r>
            <w:r>
              <w:rPr>
                <w:noProof/>
              </w:rPr>
            </w:r>
            <w:r>
              <w:rPr>
                <w:noProof/>
              </w:rPr>
              <w:fldChar w:fldCharType="separate"/>
            </w:r>
            <w:r>
              <w:rPr>
                <w:noProof/>
              </w:rPr>
              <w:t>13</w:t>
            </w:r>
            <w:r>
              <w:rPr>
                <w:noProof/>
              </w:rPr>
              <w:fldChar w:fldCharType="end"/>
            </w:r>
          </w:hyperlink>
        </w:p>
        <w:p w14:paraId="72923ED5" w14:textId="77777777" w:rsidR="00B46CCE" w:rsidRDefault="00B46CCE">
          <w:pPr>
            <w:pStyle w:val="TDC2"/>
            <w:tabs>
              <w:tab w:val="right" w:leader="dot" w:pos="9350"/>
            </w:tabs>
            <w:rPr>
              <w:noProof/>
            </w:rPr>
          </w:pPr>
          <w:hyperlink w:anchor="_Toc232941814" w:history="1">
            <w:r w:rsidRPr="009B1F2C">
              <w:rPr>
                <w:rStyle w:val="Hipervnculo"/>
                <w:noProof/>
              </w:rPr>
              <w:t>3.1 La metáfora del guiso: una misma roca, varios ingredientes</w:t>
            </w:r>
            <w:r>
              <w:rPr>
                <w:noProof/>
              </w:rPr>
              <w:tab/>
            </w:r>
            <w:r>
              <w:rPr>
                <w:noProof/>
              </w:rPr>
              <w:fldChar w:fldCharType="begin"/>
            </w:r>
            <w:r>
              <w:rPr>
                <w:noProof/>
              </w:rPr>
              <w:instrText xml:space="preserve"> PAGEREF _Toc232941814 \h </w:instrText>
            </w:r>
            <w:r>
              <w:rPr>
                <w:noProof/>
              </w:rPr>
            </w:r>
            <w:r>
              <w:rPr>
                <w:noProof/>
              </w:rPr>
              <w:fldChar w:fldCharType="separate"/>
            </w:r>
            <w:r>
              <w:rPr>
                <w:noProof/>
              </w:rPr>
              <w:t>13</w:t>
            </w:r>
            <w:r>
              <w:rPr>
                <w:noProof/>
              </w:rPr>
              <w:fldChar w:fldCharType="end"/>
            </w:r>
          </w:hyperlink>
        </w:p>
        <w:p w14:paraId="6F8169DC" w14:textId="77777777" w:rsidR="00B46CCE" w:rsidRDefault="00B46CCE">
          <w:pPr>
            <w:pStyle w:val="TDC2"/>
            <w:tabs>
              <w:tab w:val="right" w:leader="dot" w:pos="9350"/>
            </w:tabs>
            <w:rPr>
              <w:noProof/>
            </w:rPr>
          </w:pPr>
          <w:hyperlink w:anchor="_Toc232941815" w:history="1">
            <w:r w:rsidRPr="009B1F2C">
              <w:rPr>
                <w:rStyle w:val="Hipervnculo"/>
                <w:noProof/>
              </w:rPr>
              <w:t>3.2 Tres familias de coextracción reconocibles en este informe</w:t>
            </w:r>
            <w:r>
              <w:rPr>
                <w:noProof/>
              </w:rPr>
              <w:tab/>
            </w:r>
            <w:r>
              <w:rPr>
                <w:noProof/>
              </w:rPr>
              <w:fldChar w:fldCharType="begin"/>
            </w:r>
            <w:r>
              <w:rPr>
                <w:noProof/>
              </w:rPr>
              <w:instrText xml:space="preserve"> PAGEREF _Toc232941815 \h </w:instrText>
            </w:r>
            <w:r>
              <w:rPr>
                <w:noProof/>
              </w:rPr>
            </w:r>
            <w:r>
              <w:rPr>
                <w:noProof/>
              </w:rPr>
              <w:fldChar w:fldCharType="separate"/>
            </w:r>
            <w:r>
              <w:rPr>
                <w:noProof/>
              </w:rPr>
              <w:t>13</w:t>
            </w:r>
            <w:r>
              <w:rPr>
                <w:noProof/>
              </w:rPr>
              <w:fldChar w:fldCharType="end"/>
            </w:r>
          </w:hyperlink>
        </w:p>
        <w:p w14:paraId="52C7201F" w14:textId="77777777" w:rsidR="00B46CCE" w:rsidRDefault="00B46CCE">
          <w:pPr>
            <w:pStyle w:val="TDC2"/>
            <w:tabs>
              <w:tab w:val="right" w:leader="dot" w:pos="9350"/>
            </w:tabs>
            <w:rPr>
              <w:noProof/>
            </w:rPr>
          </w:pPr>
          <w:hyperlink w:anchor="_Toc232941816" w:history="1">
            <w:r w:rsidRPr="009B1F2C">
              <w:rPr>
                <w:rStyle w:val="Hipervnculo"/>
                <w:noProof/>
              </w:rPr>
              <w:t>3.3 Por qué esto importa para leer el resto del informe</w:t>
            </w:r>
            <w:r>
              <w:rPr>
                <w:noProof/>
              </w:rPr>
              <w:tab/>
            </w:r>
            <w:r>
              <w:rPr>
                <w:noProof/>
              </w:rPr>
              <w:fldChar w:fldCharType="begin"/>
            </w:r>
            <w:r>
              <w:rPr>
                <w:noProof/>
              </w:rPr>
              <w:instrText xml:space="preserve"> PAGEREF _Toc232941816 \h </w:instrText>
            </w:r>
            <w:r>
              <w:rPr>
                <w:noProof/>
              </w:rPr>
            </w:r>
            <w:r>
              <w:rPr>
                <w:noProof/>
              </w:rPr>
              <w:fldChar w:fldCharType="separate"/>
            </w:r>
            <w:r>
              <w:rPr>
                <w:noProof/>
              </w:rPr>
              <w:t>14</w:t>
            </w:r>
            <w:r>
              <w:rPr>
                <w:noProof/>
              </w:rPr>
              <w:fldChar w:fldCharType="end"/>
            </w:r>
          </w:hyperlink>
        </w:p>
        <w:p w14:paraId="3C282133" w14:textId="77777777" w:rsidR="00B46CCE" w:rsidRDefault="00B46CCE">
          <w:pPr>
            <w:pStyle w:val="TDC1"/>
            <w:tabs>
              <w:tab w:val="right" w:leader="dot" w:pos="9350"/>
            </w:tabs>
            <w:rPr>
              <w:noProof/>
            </w:rPr>
          </w:pPr>
          <w:hyperlink w:anchor="_Toc232941817" w:history="1">
            <w:r w:rsidRPr="009B1F2C">
              <w:rPr>
                <w:rStyle w:val="Hipervnculo"/>
                <w:noProof/>
              </w:rPr>
              <w:t>4. Qué impulsa la demanda mundial de minerales críticos</w:t>
            </w:r>
            <w:r>
              <w:rPr>
                <w:noProof/>
              </w:rPr>
              <w:tab/>
            </w:r>
            <w:r>
              <w:rPr>
                <w:noProof/>
              </w:rPr>
              <w:fldChar w:fldCharType="begin"/>
            </w:r>
            <w:r>
              <w:rPr>
                <w:noProof/>
              </w:rPr>
              <w:instrText xml:space="preserve"> PAGEREF _Toc232941817 \h </w:instrText>
            </w:r>
            <w:r>
              <w:rPr>
                <w:noProof/>
              </w:rPr>
            </w:r>
            <w:r>
              <w:rPr>
                <w:noProof/>
              </w:rPr>
              <w:fldChar w:fldCharType="separate"/>
            </w:r>
            <w:r>
              <w:rPr>
                <w:noProof/>
              </w:rPr>
              <w:t>15</w:t>
            </w:r>
            <w:r>
              <w:rPr>
                <w:noProof/>
              </w:rPr>
              <w:fldChar w:fldCharType="end"/>
            </w:r>
          </w:hyperlink>
        </w:p>
        <w:p w14:paraId="6A8E767E" w14:textId="77777777" w:rsidR="00B46CCE" w:rsidRDefault="00B46CCE">
          <w:pPr>
            <w:pStyle w:val="TDC2"/>
            <w:tabs>
              <w:tab w:val="right" w:leader="dot" w:pos="9350"/>
            </w:tabs>
            <w:rPr>
              <w:noProof/>
            </w:rPr>
          </w:pPr>
          <w:hyperlink w:anchor="_Toc232941818" w:history="1">
            <w:r w:rsidRPr="009B1F2C">
              <w:rPr>
                <w:rStyle w:val="Hipervnculo"/>
                <w:noProof/>
              </w:rPr>
              <w:t>4.1 Seis vías de demanda</w:t>
            </w:r>
            <w:r>
              <w:rPr>
                <w:noProof/>
              </w:rPr>
              <w:tab/>
            </w:r>
            <w:r>
              <w:rPr>
                <w:noProof/>
              </w:rPr>
              <w:fldChar w:fldCharType="begin"/>
            </w:r>
            <w:r>
              <w:rPr>
                <w:noProof/>
              </w:rPr>
              <w:instrText xml:space="preserve"> PAGEREF _Toc232941818 \h </w:instrText>
            </w:r>
            <w:r>
              <w:rPr>
                <w:noProof/>
              </w:rPr>
            </w:r>
            <w:r>
              <w:rPr>
                <w:noProof/>
              </w:rPr>
              <w:fldChar w:fldCharType="separate"/>
            </w:r>
            <w:r>
              <w:rPr>
                <w:noProof/>
              </w:rPr>
              <w:t>15</w:t>
            </w:r>
            <w:r>
              <w:rPr>
                <w:noProof/>
              </w:rPr>
              <w:fldChar w:fldCharType="end"/>
            </w:r>
          </w:hyperlink>
        </w:p>
        <w:p w14:paraId="7664BF39" w14:textId="77777777" w:rsidR="00B46CCE" w:rsidRDefault="00B46CCE">
          <w:pPr>
            <w:pStyle w:val="TDC2"/>
            <w:tabs>
              <w:tab w:val="right" w:leader="dot" w:pos="9350"/>
            </w:tabs>
            <w:rPr>
              <w:noProof/>
            </w:rPr>
          </w:pPr>
          <w:hyperlink w:anchor="_Toc232941819" w:history="1">
            <w:r w:rsidRPr="009B1F2C">
              <w:rPr>
                <w:rStyle w:val="Hipervnculo"/>
                <w:noProof/>
              </w:rPr>
              <w:t>4.2 El cobre y la plata como caso de manual: el grafico de aplicaciones del IGF</w:t>
            </w:r>
            <w:r>
              <w:rPr>
                <w:noProof/>
              </w:rPr>
              <w:tab/>
            </w:r>
            <w:r>
              <w:rPr>
                <w:noProof/>
              </w:rPr>
              <w:fldChar w:fldCharType="begin"/>
            </w:r>
            <w:r>
              <w:rPr>
                <w:noProof/>
              </w:rPr>
              <w:instrText xml:space="preserve"> PAGEREF _Toc232941819 \h </w:instrText>
            </w:r>
            <w:r>
              <w:rPr>
                <w:noProof/>
              </w:rPr>
            </w:r>
            <w:r>
              <w:rPr>
                <w:noProof/>
              </w:rPr>
              <w:fldChar w:fldCharType="separate"/>
            </w:r>
            <w:r>
              <w:rPr>
                <w:noProof/>
              </w:rPr>
              <w:t>15</w:t>
            </w:r>
            <w:r>
              <w:rPr>
                <w:noProof/>
              </w:rPr>
              <w:fldChar w:fldCharType="end"/>
            </w:r>
          </w:hyperlink>
        </w:p>
        <w:p w14:paraId="1208ECCA" w14:textId="77777777" w:rsidR="00B46CCE" w:rsidRDefault="00B46CCE">
          <w:pPr>
            <w:pStyle w:val="TDC2"/>
            <w:tabs>
              <w:tab w:val="right" w:leader="dot" w:pos="9350"/>
            </w:tabs>
            <w:rPr>
              <w:noProof/>
            </w:rPr>
          </w:pPr>
          <w:hyperlink w:anchor="_Toc232941820" w:history="1">
            <w:r w:rsidRPr="009B1F2C">
              <w:rPr>
                <w:rStyle w:val="Hipervnculo"/>
                <w:noProof/>
              </w:rPr>
              <w:t>4.3 Riesgos de suministro: la lectura del IGF aplicada a México</w:t>
            </w:r>
            <w:r>
              <w:rPr>
                <w:noProof/>
              </w:rPr>
              <w:tab/>
            </w:r>
            <w:r>
              <w:rPr>
                <w:noProof/>
              </w:rPr>
              <w:fldChar w:fldCharType="begin"/>
            </w:r>
            <w:r>
              <w:rPr>
                <w:noProof/>
              </w:rPr>
              <w:instrText xml:space="preserve"> PAGEREF _Toc232941820 \h </w:instrText>
            </w:r>
            <w:r>
              <w:rPr>
                <w:noProof/>
              </w:rPr>
            </w:r>
            <w:r>
              <w:rPr>
                <w:noProof/>
              </w:rPr>
              <w:fldChar w:fldCharType="separate"/>
            </w:r>
            <w:r>
              <w:rPr>
                <w:noProof/>
              </w:rPr>
              <w:t>16</w:t>
            </w:r>
            <w:r>
              <w:rPr>
                <w:noProof/>
              </w:rPr>
              <w:fldChar w:fldCharType="end"/>
            </w:r>
          </w:hyperlink>
        </w:p>
        <w:p w14:paraId="7B70B741" w14:textId="77777777" w:rsidR="00B46CCE" w:rsidRDefault="00B46CCE">
          <w:pPr>
            <w:pStyle w:val="TDC1"/>
            <w:tabs>
              <w:tab w:val="right" w:leader="dot" w:pos="9350"/>
            </w:tabs>
            <w:rPr>
              <w:noProof/>
            </w:rPr>
          </w:pPr>
          <w:hyperlink w:anchor="_Toc232941821" w:history="1">
            <w:r w:rsidRPr="009B1F2C">
              <w:rPr>
                <w:rStyle w:val="Hipervnculo"/>
                <w:noProof/>
              </w:rPr>
              <w:t>5. Barita</w:t>
            </w:r>
            <w:r>
              <w:rPr>
                <w:noProof/>
              </w:rPr>
              <w:tab/>
            </w:r>
            <w:r>
              <w:rPr>
                <w:noProof/>
              </w:rPr>
              <w:fldChar w:fldCharType="begin"/>
            </w:r>
            <w:r>
              <w:rPr>
                <w:noProof/>
              </w:rPr>
              <w:instrText xml:space="preserve"> PAGEREF _Toc232941821 \h </w:instrText>
            </w:r>
            <w:r>
              <w:rPr>
                <w:noProof/>
              </w:rPr>
            </w:r>
            <w:r>
              <w:rPr>
                <w:noProof/>
              </w:rPr>
              <w:fldChar w:fldCharType="separate"/>
            </w:r>
            <w:r>
              <w:rPr>
                <w:noProof/>
              </w:rPr>
              <w:t>17</w:t>
            </w:r>
            <w:r>
              <w:rPr>
                <w:noProof/>
              </w:rPr>
              <w:fldChar w:fldCharType="end"/>
            </w:r>
          </w:hyperlink>
        </w:p>
        <w:p w14:paraId="2E332975" w14:textId="77777777" w:rsidR="00B46CCE" w:rsidRDefault="00B46CCE">
          <w:pPr>
            <w:pStyle w:val="TDC2"/>
            <w:tabs>
              <w:tab w:val="right" w:leader="dot" w:pos="9350"/>
            </w:tabs>
            <w:rPr>
              <w:noProof/>
            </w:rPr>
          </w:pPr>
          <w:hyperlink w:anchor="_Toc232941822" w:history="1">
            <w:r w:rsidRPr="009B1F2C">
              <w:rPr>
                <w:rStyle w:val="Hipervnculo"/>
                <w:noProof/>
              </w:rPr>
              <w:t>5.1 Contexto: un mercado cautivo de la industria petrolera</w:t>
            </w:r>
            <w:r>
              <w:rPr>
                <w:noProof/>
              </w:rPr>
              <w:tab/>
            </w:r>
            <w:r>
              <w:rPr>
                <w:noProof/>
              </w:rPr>
              <w:fldChar w:fldCharType="begin"/>
            </w:r>
            <w:r>
              <w:rPr>
                <w:noProof/>
              </w:rPr>
              <w:instrText xml:space="preserve"> PAGEREF _Toc232941822 \h </w:instrText>
            </w:r>
            <w:r>
              <w:rPr>
                <w:noProof/>
              </w:rPr>
            </w:r>
            <w:r>
              <w:rPr>
                <w:noProof/>
              </w:rPr>
              <w:fldChar w:fldCharType="separate"/>
            </w:r>
            <w:r>
              <w:rPr>
                <w:noProof/>
              </w:rPr>
              <w:t>17</w:t>
            </w:r>
            <w:r>
              <w:rPr>
                <w:noProof/>
              </w:rPr>
              <w:fldChar w:fldCharType="end"/>
            </w:r>
          </w:hyperlink>
        </w:p>
        <w:p w14:paraId="7BCA3642" w14:textId="77777777" w:rsidR="00B46CCE" w:rsidRDefault="00B46CCE">
          <w:pPr>
            <w:pStyle w:val="TDC2"/>
            <w:tabs>
              <w:tab w:val="right" w:leader="dot" w:pos="9350"/>
            </w:tabs>
            <w:rPr>
              <w:noProof/>
            </w:rPr>
          </w:pPr>
          <w:hyperlink w:anchor="_Toc232941823" w:history="1">
            <w:r w:rsidRPr="009B1F2C">
              <w:rPr>
                <w:rStyle w:val="Hipervnculo"/>
                <w:noProof/>
              </w:rPr>
              <w:t>5.2 Extracción: oligopolio histórico de cuatro empresas</w:t>
            </w:r>
            <w:r>
              <w:rPr>
                <w:noProof/>
              </w:rPr>
              <w:tab/>
            </w:r>
            <w:r>
              <w:rPr>
                <w:noProof/>
              </w:rPr>
              <w:fldChar w:fldCharType="begin"/>
            </w:r>
            <w:r>
              <w:rPr>
                <w:noProof/>
              </w:rPr>
              <w:instrText xml:space="preserve"> PAGEREF _Toc232941823 \h </w:instrText>
            </w:r>
            <w:r>
              <w:rPr>
                <w:noProof/>
              </w:rPr>
            </w:r>
            <w:r>
              <w:rPr>
                <w:noProof/>
              </w:rPr>
              <w:fldChar w:fldCharType="separate"/>
            </w:r>
            <w:r>
              <w:rPr>
                <w:noProof/>
              </w:rPr>
              <w:t>17</w:t>
            </w:r>
            <w:r>
              <w:rPr>
                <w:noProof/>
              </w:rPr>
              <w:fldChar w:fldCharType="end"/>
            </w:r>
          </w:hyperlink>
        </w:p>
        <w:p w14:paraId="17906A21" w14:textId="77777777" w:rsidR="00B46CCE" w:rsidRDefault="00B46CCE">
          <w:pPr>
            <w:pStyle w:val="TDC2"/>
            <w:tabs>
              <w:tab w:val="right" w:leader="dot" w:pos="9350"/>
            </w:tabs>
            <w:rPr>
              <w:noProof/>
            </w:rPr>
          </w:pPr>
          <w:hyperlink w:anchor="_Toc232941824" w:history="1">
            <w:r w:rsidRPr="009B1F2C">
              <w:rPr>
                <w:rStyle w:val="Hipervnculo"/>
                <w:noProof/>
              </w:rPr>
              <w:t>5.3 Refinación y procesamiento</w:t>
            </w:r>
            <w:r>
              <w:rPr>
                <w:noProof/>
              </w:rPr>
              <w:tab/>
            </w:r>
            <w:r>
              <w:rPr>
                <w:noProof/>
              </w:rPr>
              <w:fldChar w:fldCharType="begin"/>
            </w:r>
            <w:r>
              <w:rPr>
                <w:noProof/>
              </w:rPr>
              <w:instrText xml:space="preserve"> PAGEREF _Toc232941824 \h </w:instrText>
            </w:r>
            <w:r>
              <w:rPr>
                <w:noProof/>
              </w:rPr>
            </w:r>
            <w:r>
              <w:rPr>
                <w:noProof/>
              </w:rPr>
              <w:fldChar w:fldCharType="separate"/>
            </w:r>
            <w:r>
              <w:rPr>
                <w:noProof/>
              </w:rPr>
              <w:t>17</w:t>
            </w:r>
            <w:r>
              <w:rPr>
                <w:noProof/>
              </w:rPr>
              <w:fldChar w:fldCharType="end"/>
            </w:r>
          </w:hyperlink>
        </w:p>
        <w:p w14:paraId="1A443A0D" w14:textId="77777777" w:rsidR="00B46CCE" w:rsidRDefault="00B46CCE">
          <w:pPr>
            <w:pStyle w:val="TDC2"/>
            <w:tabs>
              <w:tab w:val="right" w:leader="dot" w:pos="9350"/>
            </w:tabs>
            <w:rPr>
              <w:noProof/>
            </w:rPr>
          </w:pPr>
          <w:hyperlink w:anchor="_Toc232941825" w:history="1">
            <w:r w:rsidRPr="009B1F2C">
              <w:rPr>
                <w:rStyle w:val="Hipervnculo"/>
                <w:noProof/>
              </w:rPr>
              <w:t>5.4 Destino de la producción: mercado interno petrolero y exportación a Estados Unidos</w:t>
            </w:r>
            <w:r>
              <w:rPr>
                <w:noProof/>
              </w:rPr>
              <w:tab/>
            </w:r>
            <w:r>
              <w:rPr>
                <w:noProof/>
              </w:rPr>
              <w:fldChar w:fldCharType="begin"/>
            </w:r>
            <w:r>
              <w:rPr>
                <w:noProof/>
              </w:rPr>
              <w:instrText xml:space="preserve"> PAGEREF _Toc232941825 \h </w:instrText>
            </w:r>
            <w:r>
              <w:rPr>
                <w:noProof/>
              </w:rPr>
            </w:r>
            <w:r>
              <w:rPr>
                <w:noProof/>
              </w:rPr>
              <w:fldChar w:fldCharType="separate"/>
            </w:r>
            <w:r>
              <w:rPr>
                <w:noProof/>
              </w:rPr>
              <w:t>17</w:t>
            </w:r>
            <w:r>
              <w:rPr>
                <w:noProof/>
              </w:rPr>
              <w:fldChar w:fldCharType="end"/>
            </w:r>
          </w:hyperlink>
        </w:p>
        <w:p w14:paraId="4673B1D4" w14:textId="77777777" w:rsidR="00B46CCE" w:rsidRDefault="00B46CCE">
          <w:pPr>
            <w:pStyle w:val="TDC2"/>
            <w:tabs>
              <w:tab w:val="right" w:leader="dot" w:pos="9350"/>
            </w:tabs>
            <w:rPr>
              <w:noProof/>
            </w:rPr>
          </w:pPr>
          <w:hyperlink w:anchor="_Toc232941826" w:history="1">
            <w:r w:rsidRPr="009B1F2C">
              <w:rPr>
                <w:rStyle w:val="Hipervnculo"/>
                <w:noProof/>
              </w:rPr>
              <w:t>5.5 Volatilidad de producción ligada al ciclo petrolero (2012-2024)</w:t>
            </w:r>
            <w:r>
              <w:rPr>
                <w:noProof/>
              </w:rPr>
              <w:tab/>
            </w:r>
            <w:r>
              <w:rPr>
                <w:noProof/>
              </w:rPr>
              <w:fldChar w:fldCharType="begin"/>
            </w:r>
            <w:r>
              <w:rPr>
                <w:noProof/>
              </w:rPr>
              <w:instrText xml:space="preserve"> PAGEREF _Toc232941826 \h </w:instrText>
            </w:r>
            <w:r>
              <w:rPr>
                <w:noProof/>
              </w:rPr>
            </w:r>
            <w:r>
              <w:rPr>
                <w:noProof/>
              </w:rPr>
              <w:fldChar w:fldCharType="separate"/>
            </w:r>
            <w:r>
              <w:rPr>
                <w:noProof/>
              </w:rPr>
              <w:t>18</w:t>
            </w:r>
            <w:r>
              <w:rPr>
                <w:noProof/>
              </w:rPr>
              <w:fldChar w:fldCharType="end"/>
            </w:r>
          </w:hyperlink>
        </w:p>
        <w:p w14:paraId="5F79F931" w14:textId="77777777" w:rsidR="00B46CCE" w:rsidRDefault="00B46CCE">
          <w:pPr>
            <w:pStyle w:val="TDC2"/>
            <w:tabs>
              <w:tab w:val="right" w:leader="dot" w:pos="9350"/>
            </w:tabs>
            <w:rPr>
              <w:noProof/>
            </w:rPr>
          </w:pPr>
          <w:hyperlink w:anchor="_Toc232941827" w:history="1">
            <w:r w:rsidRPr="009B1F2C">
              <w:rPr>
                <w:rStyle w:val="Hipervnculo"/>
                <w:noProof/>
              </w:rPr>
              <w:t>5.6 Impacto de la reforma a la Ley Minera de 2023</w:t>
            </w:r>
            <w:r>
              <w:rPr>
                <w:noProof/>
              </w:rPr>
              <w:tab/>
            </w:r>
            <w:r>
              <w:rPr>
                <w:noProof/>
              </w:rPr>
              <w:fldChar w:fldCharType="begin"/>
            </w:r>
            <w:r>
              <w:rPr>
                <w:noProof/>
              </w:rPr>
              <w:instrText xml:space="preserve"> PAGEREF _Toc232941827 \h </w:instrText>
            </w:r>
            <w:r>
              <w:rPr>
                <w:noProof/>
              </w:rPr>
            </w:r>
            <w:r>
              <w:rPr>
                <w:noProof/>
              </w:rPr>
              <w:fldChar w:fldCharType="separate"/>
            </w:r>
            <w:r>
              <w:rPr>
                <w:noProof/>
              </w:rPr>
              <w:t>18</w:t>
            </w:r>
            <w:r>
              <w:rPr>
                <w:noProof/>
              </w:rPr>
              <w:fldChar w:fldCharType="end"/>
            </w:r>
          </w:hyperlink>
        </w:p>
        <w:p w14:paraId="6559AB35" w14:textId="77777777" w:rsidR="00B46CCE" w:rsidRDefault="00B46CCE">
          <w:pPr>
            <w:pStyle w:val="TDC1"/>
            <w:tabs>
              <w:tab w:val="right" w:leader="dot" w:pos="9350"/>
            </w:tabs>
            <w:rPr>
              <w:noProof/>
            </w:rPr>
          </w:pPr>
          <w:hyperlink w:anchor="_Toc232941828" w:history="1">
            <w:r w:rsidRPr="009B1F2C">
              <w:rPr>
                <w:rStyle w:val="Hipervnculo"/>
                <w:noProof/>
              </w:rPr>
              <w:t>6. Cobre</w:t>
            </w:r>
            <w:r>
              <w:rPr>
                <w:noProof/>
              </w:rPr>
              <w:tab/>
            </w:r>
            <w:r>
              <w:rPr>
                <w:noProof/>
              </w:rPr>
              <w:fldChar w:fldCharType="begin"/>
            </w:r>
            <w:r>
              <w:rPr>
                <w:noProof/>
              </w:rPr>
              <w:instrText xml:space="preserve"> PAGEREF _Toc232941828 \h </w:instrText>
            </w:r>
            <w:r>
              <w:rPr>
                <w:noProof/>
              </w:rPr>
            </w:r>
            <w:r>
              <w:rPr>
                <w:noProof/>
              </w:rPr>
              <w:fldChar w:fldCharType="separate"/>
            </w:r>
            <w:r>
              <w:rPr>
                <w:noProof/>
              </w:rPr>
              <w:t>19</w:t>
            </w:r>
            <w:r>
              <w:rPr>
                <w:noProof/>
              </w:rPr>
              <w:fldChar w:fldCharType="end"/>
            </w:r>
          </w:hyperlink>
        </w:p>
        <w:p w14:paraId="3C0A0B5D" w14:textId="77777777" w:rsidR="00B46CCE" w:rsidRDefault="00B46CCE">
          <w:pPr>
            <w:pStyle w:val="TDC2"/>
            <w:tabs>
              <w:tab w:val="right" w:leader="dot" w:pos="9350"/>
            </w:tabs>
            <w:rPr>
              <w:noProof/>
            </w:rPr>
          </w:pPr>
          <w:hyperlink w:anchor="_Toc232941829" w:history="1">
            <w:r w:rsidRPr="009B1F2C">
              <w:rPr>
                <w:rStyle w:val="Hipervnculo"/>
                <w:noProof/>
              </w:rPr>
              <w:t>6.1 Contexto: México en el mercado mundial</w:t>
            </w:r>
            <w:r>
              <w:rPr>
                <w:noProof/>
              </w:rPr>
              <w:tab/>
            </w:r>
            <w:r>
              <w:rPr>
                <w:noProof/>
              </w:rPr>
              <w:fldChar w:fldCharType="begin"/>
            </w:r>
            <w:r>
              <w:rPr>
                <w:noProof/>
              </w:rPr>
              <w:instrText xml:space="preserve"> PAGEREF _Toc232941829 \h </w:instrText>
            </w:r>
            <w:r>
              <w:rPr>
                <w:noProof/>
              </w:rPr>
            </w:r>
            <w:r>
              <w:rPr>
                <w:noProof/>
              </w:rPr>
              <w:fldChar w:fldCharType="separate"/>
            </w:r>
            <w:r>
              <w:rPr>
                <w:noProof/>
              </w:rPr>
              <w:t>19</w:t>
            </w:r>
            <w:r>
              <w:rPr>
                <w:noProof/>
              </w:rPr>
              <w:fldChar w:fldCharType="end"/>
            </w:r>
          </w:hyperlink>
        </w:p>
        <w:p w14:paraId="6862B2F8" w14:textId="77777777" w:rsidR="00B46CCE" w:rsidRDefault="00B46CCE">
          <w:pPr>
            <w:pStyle w:val="TDC2"/>
            <w:tabs>
              <w:tab w:val="right" w:leader="dot" w:pos="9350"/>
            </w:tabs>
            <w:rPr>
              <w:noProof/>
            </w:rPr>
          </w:pPr>
          <w:hyperlink w:anchor="_Toc232941830" w:history="1">
            <w:r w:rsidRPr="009B1F2C">
              <w:rPr>
                <w:rStyle w:val="Hipervnculo"/>
                <w:noProof/>
              </w:rPr>
              <w:t>6.2 De la privatización al monopolio casi absoluto de Grupo México (1990-2000)</w:t>
            </w:r>
            <w:r>
              <w:rPr>
                <w:noProof/>
              </w:rPr>
              <w:tab/>
            </w:r>
            <w:r>
              <w:rPr>
                <w:noProof/>
              </w:rPr>
              <w:fldChar w:fldCharType="begin"/>
            </w:r>
            <w:r>
              <w:rPr>
                <w:noProof/>
              </w:rPr>
              <w:instrText xml:space="preserve"> PAGEREF _Toc232941830 \h </w:instrText>
            </w:r>
            <w:r>
              <w:rPr>
                <w:noProof/>
              </w:rPr>
            </w:r>
            <w:r>
              <w:rPr>
                <w:noProof/>
              </w:rPr>
              <w:fldChar w:fldCharType="separate"/>
            </w:r>
            <w:r>
              <w:rPr>
                <w:noProof/>
              </w:rPr>
              <w:t>19</w:t>
            </w:r>
            <w:r>
              <w:rPr>
                <w:noProof/>
              </w:rPr>
              <w:fldChar w:fldCharType="end"/>
            </w:r>
          </w:hyperlink>
        </w:p>
        <w:p w14:paraId="2D78B92C" w14:textId="77777777" w:rsidR="00B46CCE" w:rsidRDefault="00B46CCE">
          <w:pPr>
            <w:pStyle w:val="TDC2"/>
            <w:tabs>
              <w:tab w:val="right" w:leader="dot" w:pos="9350"/>
            </w:tabs>
            <w:rPr>
              <w:noProof/>
            </w:rPr>
          </w:pPr>
          <w:hyperlink w:anchor="_Toc232941831" w:history="1">
            <w:r w:rsidRPr="009B1F2C">
              <w:rPr>
                <w:rStyle w:val="Hipervnculo"/>
                <w:noProof/>
              </w:rPr>
              <w:t>6.3 Internacionalización: la compra de ASARCO (2004)</w:t>
            </w:r>
            <w:r>
              <w:rPr>
                <w:noProof/>
              </w:rPr>
              <w:tab/>
            </w:r>
            <w:r>
              <w:rPr>
                <w:noProof/>
              </w:rPr>
              <w:fldChar w:fldCharType="begin"/>
            </w:r>
            <w:r>
              <w:rPr>
                <w:noProof/>
              </w:rPr>
              <w:instrText xml:space="preserve"> PAGEREF _Toc232941831 \h </w:instrText>
            </w:r>
            <w:r>
              <w:rPr>
                <w:noProof/>
              </w:rPr>
            </w:r>
            <w:r>
              <w:rPr>
                <w:noProof/>
              </w:rPr>
              <w:fldChar w:fldCharType="separate"/>
            </w:r>
            <w:r>
              <w:rPr>
                <w:noProof/>
              </w:rPr>
              <w:t>19</w:t>
            </w:r>
            <w:r>
              <w:rPr>
                <w:noProof/>
              </w:rPr>
              <w:fldChar w:fldCharType="end"/>
            </w:r>
          </w:hyperlink>
        </w:p>
        <w:p w14:paraId="0B64A81A" w14:textId="77777777" w:rsidR="00B46CCE" w:rsidRDefault="00B46CCE">
          <w:pPr>
            <w:pStyle w:val="TDC2"/>
            <w:tabs>
              <w:tab w:val="right" w:leader="dot" w:pos="9350"/>
            </w:tabs>
            <w:rPr>
              <w:noProof/>
            </w:rPr>
          </w:pPr>
          <w:hyperlink w:anchor="_Toc232941832" w:history="1">
            <w:r w:rsidRPr="009B1F2C">
              <w:rPr>
                <w:rStyle w:val="Hipervnculo"/>
                <w:noProof/>
              </w:rPr>
              <w:t>6.4 Extracción y refinación: el porcentaje exacto de Grupo México (2022-2024)</w:t>
            </w:r>
            <w:r>
              <w:rPr>
                <w:noProof/>
              </w:rPr>
              <w:tab/>
            </w:r>
            <w:r>
              <w:rPr>
                <w:noProof/>
              </w:rPr>
              <w:fldChar w:fldCharType="begin"/>
            </w:r>
            <w:r>
              <w:rPr>
                <w:noProof/>
              </w:rPr>
              <w:instrText xml:space="preserve"> PAGEREF _Toc232941832 \h </w:instrText>
            </w:r>
            <w:r>
              <w:rPr>
                <w:noProof/>
              </w:rPr>
            </w:r>
            <w:r>
              <w:rPr>
                <w:noProof/>
              </w:rPr>
              <w:fldChar w:fldCharType="separate"/>
            </w:r>
            <w:r>
              <w:rPr>
                <w:noProof/>
              </w:rPr>
              <w:t>19</w:t>
            </w:r>
            <w:r>
              <w:rPr>
                <w:noProof/>
              </w:rPr>
              <w:fldChar w:fldCharType="end"/>
            </w:r>
          </w:hyperlink>
        </w:p>
        <w:p w14:paraId="2F919C21" w14:textId="77777777" w:rsidR="00B46CCE" w:rsidRDefault="00B46CCE">
          <w:pPr>
            <w:pStyle w:val="TDC2"/>
            <w:tabs>
              <w:tab w:val="right" w:leader="dot" w:pos="9350"/>
            </w:tabs>
            <w:rPr>
              <w:noProof/>
            </w:rPr>
          </w:pPr>
          <w:hyperlink w:anchor="_Toc232941833" w:history="1">
            <w:r w:rsidRPr="009B1F2C">
              <w:rPr>
                <w:rStyle w:val="Hipervnculo"/>
                <w:noProof/>
              </w:rPr>
              <w:t>6.5 Destino de la producción: ¿cuánto se queda en México y cuánto se exporta?</w:t>
            </w:r>
            <w:r>
              <w:rPr>
                <w:noProof/>
              </w:rPr>
              <w:tab/>
            </w:r>
            <w:r>
              <w:rPr>
                <w:noProof/>
              </w:rPr>
              <w:fldChar w:fldCharType="begin"/>
            </w:r>
            <w:r>
              <w:rPr>
                <w:noProof/>
              </w:rPr>
              <w:instrText xml:space="preserve"> PAGEREF _Toc232941833 \h </w:instrText>
            </w:r>
            <w:r>
              <w:rPr>
                <w:noProof/>
              </w:rPr>
            </w:r>
            <w:r>
              <w:rPr>
                <w:noProof/>
              </w:rPr>
              <w:fldChar w:fldCharType="separate"/>
            </w:r>
            <w:r>
              <w:rPr>
                <w:noProof/>
              </w:rPr>
              <w:t>20</w:t>
            </w:r>
            <w:r>
              <w:rPr>
                <w:noProof/>
              </w:rPr>
              <w:fldChar w:fldCharType="end"/>
            </w:r>
          </w:hyperlink>
        </w:p>
        <w:p w14:paraId="001F57B0" w14:textId="77777777" w:rsidR="00B46CCE" w:rsidRDefault="00B46CCE">
          <w:pPr>
            <w:pStyle w:val="TDC2"/>
            <w:tabs>
              <w:tab w:val="right" w:leader="dot" w:pos="9350"/>
            </w:tabs>
            <w:rPr>
              <w:noProof/>
            </w:rPr>
          </w:pPr>
          <w:hyperlink w:anchor="_Toc232941834" w:history="1">
            <w:r w:rsidRPr="009B1F2C">
              <w:rPr>
                <w:rStyle w:val="Hipervnculo"/>
                <w:noProof/>
              </w:rPr>
              <w:t>6.6 Impacto de la reforma a la Ley Minera de 2023</w:t>
            </w:r>
            <w:r>
              <w:rPr>
                <w:noProof/>
              </w:rPr>
              <w:tab/>
            </w:r>
            <w:r>
              <w:rPr>
                <w:noProof/>
              </w:rPr>
              <w:fldChar w:fldCharType="begin"/>
            </w:r>
            <w:r>
              <w:rPr>
                <w:noProof/>
              </w:rPr>
              <w:instrText xml:space="preserve"> PAGEREF _Toc232941834 \h </w:instrText>
            </w:r>
            <w:r>
              <w:rPr>
                <w:noProof/>
              </w:rPr>
            </w:r>
            <w:r>
              <w:rPr>
                <w:noProof/>
              </w:rPr>
              <w:fldChar w:fldCharType="separate"/>
            </w:r>
            <w:r>
              <w:rPr>
                <w:noProof/>
              </w:rPr>
              <w:t>20</w:t>
            </w:r>
            <w:r>
              <w:rPr>
                <w:noProof/>
              </w:rPr>
              <w:fldChar w:fldCharType="end"/>
            </w:r>
          </w:hyperlink>
        </w:p>
        <w:p w14:paraId="4D73A92B" w14:textId="77777777" w:rsidR="00B46CCE" w:rsidRDefault="00B46CCE">
          <w:pPr>
            <w:pStyle w:val="TDC1"/>
            <w:tabs>
              <w:tab w:val="right" w:leader="dot" w:pos="9350"/>
            </w:tabs>
            <w:rPr>
              <w:noProof/>
            </w:rPr>
          </w:pPr>
          <w:hyperlink w:anchor="_Toc232941835" w:history="1">
            <w:r w:rsidRPr="009B1F2C">
              <w:rPr>
                <w:rStyle w:val="Hipervnculo"/>
                <w:noProof/>
              </w:rPr>
              <w:t>7. Fluorita</w:t>
            </w:r>
            <w:r>
              <w:rPr>
                <w:noProof/>
              </w:rPr>
              <w:tab/>
            </w:r>
            <w:r>
              <w:rPr>
                <w:noProof/>
              </w:rPr>
              <w:fldChar w:fldCharType="begin"/>
            </w:r>
            <w:r>
              <w:rPr>
                <w:noProof/>
              </w:rPr>
              <w:instrText xml:space="preserve"> PAGEREF _Toc232941835 \h </w:instrText>
            </w:r>
            <w:r>
              <w:rPr>
                <w:noProof/>
              </w:rPr>
            </w:r>
            <w:r>
              <w:rPr>
                <w:noProof/>
              </w:rPr>
              <w:fldChar w:fldCharType="separate"/>
            </w:r>
            <w:r>
              <w:rPr>
                <w:noProof/>
              </w:rPr>
              <w:t>22</w:t>
            </w:r>
            <w:r>
              <w:rPr>
                <w:noProof/>
              </w:rPr>
              <w:fldChar w:fldCharType="end"/>
            </w:r>
          </w:hyperlink>
        </w:p>
        <w:p w14:paraId="692DB33B" w14:textId="77777777" w:rsidR="00B46CCE" w:rsidRDefault="00B46CCE">
          <w:pPr>
            <w:pStyle w:val="TDC2"/>
            <w:tabs>
              <w:tab w:val="right" w:leader="dot" w:pos="9350"/>
            </w:tabs>
            <w:rPr>
              <w:noProof/>
            </w:rPr>
          </w:pPr>
          <w:hyperlink w:anchor="_Toc232941836" w:history="1">
            <w:r w:rsidRPr="009B1F2C">
              <w:rPr>
                <w:rStyle w:val="Hipervnculo"/>
                <w:noProof/>
              </w:rPr>
              <w:t>7.1 Contexto: el segundo productor mundial</w:t>
            </w:r>
            <w:r>
              <w:rPr>
                <w:noProof/>
              </w:rPr>
              <w:tab/>
            </w:r>
            <w:r>
              <w:rPr>
                <w:noProof/>
              </w:rPr>
              <w:fldChar w:fldCharType="begin"/>
            </w:r>
            <w:r>
              <w:rPr>
                <w:noProof/>
              </w:rPr>
              <w:instrText xml:space="preserve"> PAGEREF _Toc232941836 \h </w:instrText>
            </w:r>
            <w:r>
              <w:rPr>
                <w:noProof/>
              </w:rPr>
            </w:r>
            <w:r>
              <w:rPr>
                <w:noProof/>
              </w:rPr>
              <w:fldChar w:fldCharType="separate"/>
            </w:r>
            <w:r>
              <w:rPr>
                <w:noProof/>
              </w:rPr>
              <w:t>22</w:t>
            </w:r>
            <w:r>
              <w:rPr>
                <w:noProof/>
              </w:rPr>
              <w:fldChar w:fldCharType="end"/>
            </w:r>
          </w:hyperlink>
        </w:p>
        <w:p w14:paraId="1941DA25" w14:textId="77777777" w:rsidR="00B46CCE" w:rsidRDefault="00B46CCE">
          <w:pPr>
            <w:pStyle w:val="TDC2"/>
            <w:tabs>
              <w:tab w:val="right" w:leader="dot" w:pos="9350"/>
            </w:tabs>
            <w:rPr>
              <w:noProof/>
            </w:rPr>
          </w:pPr>
          <w:hyperlink w:anchor="_Toc232941837" w:history="1">
            <w:r w:rsidRPr="009B1F2C">
              <w:rPr>
                <w:rStyle w:val="Hipervnculo"/>
                <w:noProof/>
              </w:rPr>
              <w:t>7.2 Un monopolio geográfico y empresarial desde, al menos, los noventa</w:t>
            </w:r>
            <w:r>
              <w:rPr>
                <w:noProof/>
              </w:rPr>
              <w:tab/>
            </w:r>
            <w:r>
              <w:rPr>
                <w:noProof/>
              </w:rPr>
              <w:fldChar w:fldCharType="begin"/>
            </w:r>
            <w:r>
              <w:rPr>
                <w:noProof/>
              </w:rPr>
              <w:instrText xml:space="preserve"> PAGEREF _Toc232941837 \h </w:instrText>
            </w:r>
            <w:r>
              <w:rPr>
                <w:noProof/>
              </w:rPr>
            </w:r>
            <w:r>
              <w:rPr>
                <w:noProof/>
              </w:rPr>
              <w:fldChar w:fldCharType="separate"/>
            </w:r>
            <w:r>
              <w:rPr>
                <w:noProof/>
              </w:rPr>
              <w:t>22</w:t>
            </w:r>
            <w:r>
              <w:rPr>
                <w:noProof/>
              </w:rPr>
              <w:fldChar w:fldCharType="end"/>
            </w:r>
          </w:hyperlink>
        </w:p>
        <w:p w14:paraId="0E5A6CA6" w14:textId="77777777" w:rsidR="00B46CCE" w:rsidRDefault="00B46CCE">
          <w:pPr>
            <w:pStyle w:val="TDC2"/>
            <w:tabs>
              <w:tab w:val="right" w:leader="dot" w:pos="9350"/>
            </w:tabs>
            <w:rPr>
              <w:noProof/>
            </w:rPr>
          </w:pPr>
          <w:hyperlink w:anchor="_Toc232941838" w:history="1">
            <w:r w:rsidRPr="009B1F2C">
              <w:rPr>
                <w:rStyle w:val="Hipervnculo"/>
                <w:noProof/>
              </w:rPr>
              <w:t>7.3 De Mexichem a Orbia/Koura: continuidad del operador único (extracción y procesamiento)</w:t>
            </w:r>
            <w:r>
              <w:rPr>
                <w:noProof/>
              </w:rPr>
              <w:tab/>
            </w:r>
            <w:r>
              <w:rPr>
                <w:noProof/>
              </w:rPr>
              <w:fldChar w:fldCharType="begin"/>
            </w:r>
            <w:r>
              <w:rPr>
                <w:noProof/>
              </w:rPr>
              <w:instrText xml:space="preserve"> PAGEREF _Toc232941838 \h </w:instrText>
            </w:r>
            <w:r>
              <w:rPr>
                <w:noProof/>
              </w:rPr>
            </w:r>
            <w:r>
              <w:rPr>
                <w:noProof/>
              </w:rPr>
              <w:fldChar w:fldCharType="separate"/>
            </w:r>
            <w:r>
              <w:rPr>
                <w:noProof/>
              </w:rPr>
              <w:t>22</w:t>
            </w:r>
            <w:r>
              <w:rPr>
                <w:noProof/>
              </w:rPr>
              <w:fldChar w:fldCharType="end"/>
            </w:r>
          </w:hyperlink>
        </w:p>
        <w:p w14:paraId="3E06E06A" w14:textId="77777777" w:rsidR="00B46CCE" w:rsidRDefault="00B46CCE">
          <w:pPr>
            <w:pStyle w:val="TDC2"/>
            <w:tabs>
              <w:tab w:val="right" w:leader="dot" w:pos="9350"/>
            </w:tabs>
            <w:rPr>
              <w:noProof/>
            </w:rPr>
          </w:pPr>
          <w:hyperlink w:anchor="_Toc232941839" w:history="1">
            <w:r w:rsidRPr="009B1F2C">
              <w:rPr>
                <w:rStyle w:val="Hipervnculo"/>
                <w:noProof/>
              </w:rPr>
              <w:t>7.4 Destino de la producción: Estados Unidos como comprador estructural</w:t>
            </w:r>
            <w:r>
              <w:rPr>
                <w:noProof/>
              </w:rPr>
              <w:tab/>
            </w:r>
            <w:r>
              <w:rPr>
                <w:noProof/>
              </w:rPr>
              <w:fldChar w:fldCharType="begin"/>
            </w:r>
            <w:r>
              <w:rPr>
                <w:noProof/>
              </w:rPr>
              <w:instrText xml:space="preserve"> PAGEREF _Toc232941839 \h </w:instrText>
            </w:r>
            <w:r>
              <w:rPr>
                <w:noProof/>
              </w:rPr>
            </w:r>
            <w:r>
              <w:rPr>
                <w:noProof/>
              </w:rPr>
              <w:fldChar w:fldCharType="separate"/>
            </w:r>
            <w:r>
              <w:rPr>
                <w:noProof/>
              </w:rPr>
              <w:t>22</w:t>
            </w:r>
            <w:r>
              <w:rPr>
                <w:noProof/>
              </w:rPr>
              <w:fldChar w:fldCharType="end"/>
            </w:r>
          </w:hyperlink>
        </w:p>
        <w:p w14:paraId="28DC209F" w14:textId="77777777" w:rsidR="00B46CCE" w:rsidRDefault="00B46CCE">
          <w:pPr>
            <w:pStyle w:val="TDC2"/>
            <w:tabs>
              <w:tab w:val="right" w:leader="dot" w:pos="9350"/>
            </w:tabs>
            <w:rPr>
              <w:noProof/>
            </w:rPr>
          </w:pPr>
          <w:hyperlink w:anchor="_Toc232941840" w:history="1">
            <w:r w:rsidRPr="009B1F2C">
              <w:rPr>
                <w:rStyle w:val="Hipervnculo"/>
                <w:noProof/>
              </w:rPr>
              <w:t>7.5 Impacto de la reforma a la Ley Minera de 2023</w:t>
            </w:r>
            <w:r>
              <w:rPr>
                <w:noProof/>
              </w:rPr>
              <w:tab/>
            </w:r>
            <w:r>
              <w:rPr>
                <w:noProof/>
              </w:rPr>
              <w:fldChar w:fldCharType="begin"/>
            </w:r>
            <w:r>
              <w:rPr>
                <w:noProof/>
              </w:rPr>
              <w:instrText xml:space="preserve"> PAGEREF _Toc232941840 \h </w:instrText>
            </w:r>
            <w:r>
              <w:rPr>
                <w:noProof/>
              </w:rPr>
            </w:r>
            <w:r>
              <w:rPr>
                <w:noProof/>
              </w:rPr>
              <w:fldChar w:fldCharType="separate"/>
            </w:r>
            <w:r>
              <w:rPr>
                <w:noProof/>
              </w:rPr>
              <w:t>23</w:t>
            </w:r>
            <w:r>
              <w:rPr>
                <w:noProof/>
              </w:rPr>
              <w:fldChar w:fldCharType="end"/>
            </w:r>
          </w:hyperlink>
        </w:p>
        <w:p w14:paraId="1FDC2CA2" w14:textId="77777777" w:rsidR="00B46CCE" w:rsidRDefault="00B46CCE">
          <w:pPr>
            <w:pStyle w:val="TDC1"/>
            <w:tabs>
              <w:tab w:val="right" w:leader="dot" w:pos="9350"/>
            </w:tabs>
            <w:rPr>
              <w:noProof/>
            </w:rPr>
          </w:pPr>
          <w:hyperlink w:anchor="_Toc232941841" w:history="1">
            <w:r w:rsidRPr="009B1F2C">
              <w:rPr>
                <w:rStyle w:val="Hipervnculo"/>
                <w:noProof/>
              </w:rPr>
              <w:t>8. Grafito</w:t>
            </w:r>
            <w:r>
              <w:rPr>
                <w:noProof/>
              </w:rPr>
              <w:tab/>
            </w:r>
            <w:r>
              <w:rPr>
                <w:noProof/>
              </w:rPr>
              <w:fldChar w:fldCharType="begin"/>
            </w:r>
            <w:r>
              <w:rPr>
                <w:noProof/>
              </w:rPr>
              <w:instrText xml:space="preserve"> PAGEREF _Toc232941841 \h </w:instrText>
            </w:r>
            <w:r>
              <w:rPr>
                <w:noProof/>
              </w:rPr>
            </w:r>
            <w:r>
              <w:rPr>
                <w:noProof/>
              </w:rPr>
              <w:fldChar w:fldCharType="separate"/>
            </w:r>
            <w:r>
              <w:rPr>
                <w:noProof/>
              </w:rPr>
              <w:t>24</w:t>
            </w:r>
            <w:r>
              <w:rPr>
                <w:noProof/>
              </w:rPr>
              <w:fldChar w:fldCharType="end"/>
            </w:r>
          </w:hyperlink>
        </w:p>
        <w:p w14:paraId="5CA91785" w14:textId="77777777" w:rsidR="00B46CCE" w:rsidRDefault="00B46CCE">
          <w:pPr>
            <w:pStyle w:val="TDC2"/>
            <w:tabs>
              <w:tab w:val="right" w:leader="dot" w:pos="9350"/>
            </w:tabs>
            <w:rPr>
              <w:noProof/>
            </w:rPr>
          </w:pPr>
          <w:hyperlink w:anchor="_Toc232941842" w:history="1">
            <w:r w:rsidRPr="009B1F2C">
              <w:rPr>
                <w:rStyle w:val="Hipervnculo"/>
                <w:noProof/>
              </w:rPr>
              <w:t>8.1 Contexto: monopolio geográfico, mercado empresarial atomizado</w:t>
            </w:r>
            <w:r>
              <w:rPr>
                <w:noProof/>
              </w:rPr>
              <w:tab/>
            </w:r>
            <w:r>
              <w:rPr>
                <w:noProof/>
              </w:rPr>
              <w:fldChar w:fldCharType="begin"/>
            </w:r>
            <w:r>
              <w:rPr>
                <w:noProof/>
              </w:rPr>
              <w:instrText xml:space="preserve"> PAGEREF _Toc232941842 \h </w:instrText>
            </w:r>
            <w:r>
              <w:rPr>
                <w:noProof/>
              </w:rPr>
            </w:r>
            <w:r>
              <w:rPr>
                <w:noProof/>
              </w:rPr>
              <w:fldChar w:fldCharType="separate"/>
            </w:r>
            <w:r>
              <w:rPr>
                <w:noProof/>
              </w:rPr>
              <w:t>24</w:t>
            </w:r>
            <w:r>
              <w:rPr>
                <w:noProof/>
              </w:rPr>
              <w:fldChar w:fldCharType="end"/>
            </w:r>
          </w:hyperlink>
        </w:p>
        <w:p w14:paraId="5DF82CE5" w14:textId="77777777" w:rsidR="00B46CCE" w:rsidRDefault="00B46CCE">
          <w:pPr>
            <w:pStyle w:val="TDC2"/>
            <w:tabs>
              <w:tab w:val="right" w:leader="dot" w:pos="9350"/>
            </w:tabs>
            <w:rPr>
              <w:noProof/>
            </w:rPr>
          </w:pPr>
          <w:hyperlink w:anchor="_Toc232941843" w:history="1">
            <w:r w:rsidRPr="009B1F2C">
              <w:rPr>
                <w:rStyle w:val="Hipervnculo"/>
                <w:noProof/>
              </w:rPr>
              <w:t>8.2 Extracción y procesamiento: ausencia de integración vertical dominante</w:t>
            </w:r>
            <w:r>
              <w:rPr>
                <w:noProof/>
              </w:rPr>
              <w:tab/>
            </w:r>
            <w:r>
              <w:rPr>
                <w:noProof/>
              </w:rPr>
              <w:fldChar w:fldCharType="begin"/>
            </w:r>
            <w:r>
              <w:rPr>
                <w:noProof/>
              </w:rPr>
              <w:instrText xml:space="preserve"> PAGEREF _Toc232941843 \h </w:instrText>
            </w:r>
            <w:r>
              <w:rPr>
                <w:noProof/>
              </w:rPr>
            </w:r>
            <w:r>
              <w:rPr>
                <w:noProof/>
              </w:rPr>
              <w:fldChar w:fldCharType="separate"/>
            </w:r>
            <w:r>
              <w:rPr>
                <w:noProof/>
              </w:rPr>
              <w:t>24</w:t>
            </w:r>
            <w:r>
              <w:rPr>
                <w:noProof/>
              </w:rPr>
              <w:fldChar w:fldCharType="end"/>
            </w:r>
          </w:hyperlink>
        </w:p>
        <w:p w14:paraId="14DF3665" w14:textId="77777777" w:rsidR="00B46CCE" w:rsidRDefault="00B46CCE">
          <w:pPr>
            <w:pStyle w:val="TDC2"/>
            <w:tabs>
              <w:tab w:val="right" w:leader="dot" w:pos="9350"/>
            </w:tabs>
            <w:rPr>
              <w:noProof/>
            </w:rPr>
          </w:pPr>
          <w:hyperlink w:anchor="_Toc232941844" w:history="1">
            <w:r w:rsidRPr="009B1F2C">
              <w:rPr>
                <w:rStyle w:val="Hipervnculo"/>
                <w:noProof/>
              </w:rPr>
              <w:t>8.3 Un mercado pequeño y orientado casi en su totalidad a exportación</w:t>
            </w:r>
            <w:r>
              <w:rPr>
                <w:noProof/>
              </w:rPr>
              <w:tab/>
            </w:r>
            <w:r>
              <w:rPr>
                <w:noProof/>
              </w:rPr>
              <w:fldChar w:fldCharType="begin"/>
            </w:r>
            <w:r>
              <w:rPr>
                <w:noProof/>
              </w:rPr>
              <w:instrText xml:space="preserve"> PAGEREF _Toc232941844 \h </w:instrText>
            </w:r>
            <w:r>
              <w:rPr>
                <w:noProof/>
              </w:rPr>
            </w:r>
            <w:r>
              <w:rPr>
                <w:noProof/>
              </w:rPr>
              <w:fldChar w:fldCharType="separate"/>
            </w:r>
            <w:r>
              <w:rPr>
                <w:noProof/>
              </w:rPr>
              <w:t>24</w:t>
            </w:r>
            <w:r>
              <w:rPr>
                <w:noProof/>
              </w:rPr>
              <w:fldChar w:fldCharType="end"/>
            </w:r>
          </w:hyperlink>
        </w:p>
        <w:p w14:paraId="52367511" w14:textId="77777777" w:rsidR="00B46CCE" w:rsidRDefault="00B46CCE">
          <w:pPr>
            <w:pStyle w:val="TDC2"/>
            <w:tabs>
              <w:tab w:val="right" w:leader="dot" w:pos="9350"/>
            </w:tabs>
            <w:rPr>
              <w:noProof/>
            </w:rPr>
          </w:pPr>
          <w:hyperlink w:anchor="_Toc232941845" w:history="1">
            <w:r w:rsidRPr="009B1F2C">
              <w:rPr>
                <w:rStyle w:val="Hipervnculo"/>
                <w:noProof/>
              </w:rPr>
              <w:t>8.4 Impacto de la reforma a la Ley Minera de 2023</w:t>
            </w:r>
            <w:r>
              <w:rPr>
                <w:noProof/>
              </w:rPr>
              <w:tab/>
            </w:r>
            <w:r>
              <w:rPr>
                <w:noProof/>
              </w:rPr>
              <w:fldChar w:fldCharType="begin"/>
            </w:r>
            <w:r>
              <w:rPr>
                <w:noProof/>
              </w:rPr>
              <w:instrText xml:space="preserve"> PAGEREF _Toc232941845 \h </w:instrText>
            </w:r>
            <w:r>
              <w:rPr>
                <w:noProof/>
              </w:rPr>
            </w:r>
            <w:r>
              <w:rPr>
                <w:noProof/>
              </w:rPr>
              <w:fldChar w:fldCharType="separate"/>
            </w:r>
            <w:r>
              <w:rPr>
                <w:noProof/>
              </w:rPr>
              <w:t>24</w:t>
            </w:r>
            <w:r>
              <w:rPr>
                <w:noProof/>
              </w:rPr>
              <w:fldChar w:fldCharType="end"/>
            </w:r>
          </w:hyperlink>
        </w:p>
        <w:p w14:paraId="0E35E5BF" w14:textId="77777777" w:rsidR="00B46CCE" w:rsidRDefault="00B46CCE">
          <w:pPr>
            <w:pStyle w:val="TDC1"/>
            <w:tabs>
              <w:tab w:val="right" w:leader="dot" w:pos="9350"/>
            </w:tabs>
            <w:rPr>
              <w:noProof/>
            </w:rPr>
          </w:pPr>
          <w:hyperlink w:anchor="_Toc232941846" w:history="1">
            <w:r w:rsidRPr="009B1F2C">
              <w:rPr>
                <w:rStyle w:val="Hipervnculo"/>
                <w:noProof/>
              </w:rPr>
              <w:t>9. Manganeso</w:t>
            </w:r>
            <w:r>
              <w:rPr>
                <w:noProof/>
              </w:rPr>
              <w:tab/>
            </w:r>
            <w:r>
              <w:rPr>
                <w:noProof/>
              </w:rPr>
              <w:fldChar w:fldCharType="begin"/>
            </w:r>
            <w:r>
              <w:rPr>
                <w:noProof/>
              </w:rPr>
              <w:instrText xml:space="preserve"> PAGEREF _Toc232941846 \h </w:instrText>
            </w:r>
            <w:r>
              <w:rPr>
                <w:noProof/>
              </w:rPr>
            </w:r>
            <w:r>
              <w:rPr>
                <w:noProof/>
              </w:rPr>
              <w:fldChar w:fldCharType="separate"/>
            </w:r>
            <w:r>
              <w:rPr>
                <w:noProof/>
              </w:rPr>
              <w:t>26</w:t>
            </w:r>
            <w:r>
              <w:rPr>
                <w:noProof/>
              </w:rPr>
              <w:fldChar w:fldCharType="end"/>
            </w:r>
          </w:hyperlink>
        </w:p>
        <w:p w14:paraId="44BB7853" w14:textId="77777777" w:rsidR="00B46CCE" w:rsidRDefault="00B46CCE">
          <w:pPr>
            <w:pStyle w:val="TDC2"/>
            <w:tabs>
              <w:tab w:val="right" w:leader="dot" w:pos="9350"/>
            </w:tabs>
            <w:rPr>
              <w:noProof/>
            </w:rPr>
          </w:pPr>
          <w:hyperlink w:anchor="_Toc232941847" w:history="1">
            <w:r w:rsidRPr="009B1F2C">
              <w:rPr>
                <w:rStyle w:val="Hipervnculo"/>
                <w:noProof/>
              </w:rPr>
              <w:t>9.1 Contexto: un monopolio natural por geología</w:t>
            </w:r>
            <w:r>
              <w:rPr>
                <w:noProof/>
              </w:rPr>
              <w:tab/>
            </w:r>
            <w:r>
              <w:rPr>
                <w:noProof/>
              </w:rPr>
              <w:fldChar w:fldCharType="begin"/>
            </w:r>
            <w:r>
              <w:rPr>
                <w:noProof/>
              </w:rPr>
              <w:instrText xml:space="preserve"> PAGEREF _Toc232941847 \h </w:instrText>
            </w:r>
            <w:r>
              <w:rPr>
                <w:noProof/>
              </w:rPr>
            </w:r>
            <w:r>
              <w:rPr>
                <w:noProof/>
              </w:rPr>
              <w:fldChar w:fldCharType="separate"/>
            </w:r>
            <w:r>
              <w:rPr>
                <w:noProof/>
              </w:rPr>
              <w:t>26</w:t>
            </w:r>
            <w:r>
              <w:rPr>
                <w:noProof/>
              </w:rPr>
              <w:fldChar w:fldCharType="end"/>
            </w:r>
          </w:hyperlink>
        </w:p>
        <w:p w14:paraId="6703DADF" w14:textId="77777777" w:rsidR="00B46CCE" w:rsidRDefault="00B46CCE">
          <w:pPr>
            <w:pStyle w:val="TDC2"/>
            <w:tabs>
              <w:tab w:val="right" w:leader="dot" w:pos="9350"/>
            </w:tabs>
            <w:rPr>
              <w:noProof/>
            </w:rPr>
          </w:pPr>
          <w:hyperlink w:anchor="_Toc232941848" w:history="1">
            <w:r w:rsidRPr="009B1F2C">
              <w:rPr>
                <w:rStyle w:val="Hipervnculo"/>
                <w:noProof/>
              </w:rPr>
              <w:t>9.2 Compañía Minera Autlán: de fundación mexicana a privatización en 1993</w:t>
            </w:r>
            <w:r>
              <w:rPr>
                <w:noProof/>
              </w:rPr>
              <w:tab/>
            </w:r>
            <w:r>
              <w:rPr>
                <w:noProof/>
              </w:rPr>
              <w:fldChar w:fldCharType="begin"/>
            </w:r>
            <w:r>
              <w:rPr>
                <w:noProof/>
              </w:rPr>
              <w:instrText xml:space="preserve"> PAGEREF _Toc232941848 \h </w:instrText>
            </w:r>
            <w:r>
              <w:rPr>
                <w:noProof/>
              </w:rPr>
            </w:r>
            <w:r>
              <w:rPr>
                <w:noProof/>
              </w:rPr>
              <w:fldChar w:fldCharType="separate"/>
            </w:r>
            <w:r>
              <w:rPr>
                <w:noProof/>
              </w:rPr>
              <w:t>26</w:t>
            </w:r>
            <w:r>
              <w:rPr>
                <w:noProof/>
              </w:rPr>
              <w:fldChar w:fldCharType="end"/>
            </w:r>
          </w:hyperlink>
        </w:p>
        <w:p w14:paraId="19F08B3C" w14:textId="77777777" w:rsidR="00B46CCE" w:rsidRDefault="00B46CCE">
          <w:pPr>
            <w:pStyle w:val="TDC2"/>
            <w:tabs>
              <w:tab w:val="right" w:leader="dot" w:pos="9350"/>
            </w:tabs>
            <w:rPr>
              <w:noProof/>
            </w:rPr>
          </w:pPr>
          <w:hyperlink w:anchor="_Toc232941849" w:history="1">
            <w:r w:rsidRPr="009B1F2C">
              <w:rPr>
                <w:rStyle w:val="Hipervnculo"/>
                <w:noProof/>
              </w:rPr>
              <w:t>9.3 Extracción y refinación: integración vertical completa en una sola empresa</w:t>
            </w:r>
            <w:r>
              <w:rPr>
                <w:noProof/>
              </w:rPr>
              <w:tab/>
            </w:r>
            <w:r>
              <w:rPr>
                <w:noProof/>
              </w:rPr>
              <w:fldChar w:fldCharType="begin"/>
            </w:r>
            <w:r>
              <w:rPr>
                <w:noProof/>
              </w:rPr>
              <w:instrText xml:space="preserve"> PAGEREF _Toc232941849 \h </w:instrText>
            </w:r>
            <w:r>
              <w:rPr>
                <w:noProof/>
              </w:rPr>
            </w:r>
            <w:r>
              <w:rPr>
                <w:noProof/>
              </w:rPr>
              <w:fldChar w:fldCharType="separate"/>
            </w:r>
            <w:r>
              <w:rPr>
                <w:noProof/>
              </w:rPr>
              <w:t>26</w:t>
            </w:r>
            <w:r>
              <w:rPr>
                <w:noProof/>
              </w:rPr>
              <w:fldChar w:fldCharType="end"/>
            </w:r>
          </w:hyperlink>
        </w:p>
        <w:p w14:paraId="3C1A37B1" w14:textId="77777777" w:rsidR="00B46CCE" w:rsidRDefault="00B46CCE">
          <w:pPr>
            <w:pStyle w:val="TDC2"/>
            <w:tabs>
              <w:tab w:val="right" w:leader="dot" w:pos="9350"/>
            </w:tabs>
            <w:rPr>
              <w:noProof/>
            </w:rPr>
          </w:pPr>
          <w:hyperlink w:anchor="_Toc232941850" w:history="1">
            <w:r w:rsidRPr="009B1F2C">
              <w:rPr>
                <w:rStyle w:val="Hipervnculo"/>
                <w:noProof/>
              </w:rPr>
              <w:t>9.4 Destino de la producción: mercado interno siderúrgico</w:t>
            </w:r>
            <w:r>
              <w:rPr>
                <w:noProof/>
              </w:rPr>
              <w:tab/>
            </w:r>
            <w:r>
              <w:rPr>
                <w:noProof/>
              </w:rPr>
              <w:fldChar w:fldCharType="begin"/>
            </w:r>
            <w:r>
              <w:rPr>
                <w:noProof/>
              </w:rPr>
              <w:instrText xml:space="preserve"> PAGEREF _Toc232941850 \h </w:instrText>
            </w:r>
            <w:r>
              <w:rPr>
                <w:noProof/>
              </w:rPr>
            </w:r>
            <w:r>
              <w:rPr>
                <w:noProof/>
              </w:rPr>
              <w:fldChar w:fldCharType="separate"/>
            </w:r>
            <w:r>
              <w:rPr>
                <w:noProof/>
              </w:rPr>
              <w:t>26</w:t>
            </w:r>
            <w:r>
              <w:rPr>
                <w:noProof/>
              </w:rPr>
              <w:fldChar w:fldCharType="end"/>
            </w:r>
          </w:hyperlink>
        </w:p>
        <w:p w14:paraId="54D7524C" w14:textId="77777777" w:rsidR="00B46CCE" w:rsidRDefault="00B46CCE">
          <w:pPr>
            <w:pStyle w:val="TDC2"/>
            <w:tabs>
              <w:tab w:val="right" w:leader="dot" w:pos="9350"/>
            </w:tabs>
            <w:rPr>
              <w:noProof/>
            </w:rPr>
          </w:pPr>
          <w:hyperlink w:anchor="_Toc232941851" w:history="1">
            <w:r w:rsidRPr="009B1F2C">
              <w:rPr>
                <w:rStyle w:val="Hipervnculo"/>
                <w:noProof/>
              </w:rPr>
              <w:t>9.5 Impacto de la reforma a la Ley Minera de 2023</w:t>
            </w:r>
            <w:r>
              <w:rPr>
                <w:noProof/>
              </w:rPr>
              <w:tab/>
            </w:r>
            <w:r>
              <w:rPr>
                <w:noProof/>
              </w:rPr>
              <w:fldChar w:fldCharType="begin"/>
            </w:r>
            <w:r>
              <w:rPr>
                <w:noProof/>
              </w:rPr>
              <w:instrText xml:space="preserve"> PAGEREF _Toc232941851 \h </w:instrText>
            </w:r>
            <w:r>
              <w:rPr>
                <w:noProof/>
              </w:rPr>
            </w:r>
            <w:r>
              <w:rPr>
                <w:noProof/>
              </w:rPr>
              <w:fldChar w:fldCharType="separate"/>
            </w:r>
            <w:r>
              <w:rPr>
                <w:noProof/>
              </w:rPr>
              <w:t>27</w:t>
            </w:r>
            <w:r>
              <w:rPr>
                <w:noProof/>
              </w:rPr>
              <w:fldChar w:fldCharType="end"/>
            </w:r>
          </w:hyperlink>
        </w:p>
        <w:p w14:paraId="637D1502" w14:textId="77777777" w:rsidR="00B46CCE" w:rsidRDefault="00B46CCE">
          <w:pPr>
            <w:pStyle w:val="TDC1"/>
            <w:tabs>
              <w:tab w:val="right" w:leader="dot" w:pos="9350"/>
            </w:tabs>
            <w:rPr>
              <w:noProof/>
            </w:rPr>
          </w:pPr>
          <w:hyperlink w:anchor="_Toc232941852" w:history="1">
            <w:r w:rsidRPr="009B1F2C">
              <w:rPr>
                <w:rStyle w:val="Hipervnculo"/>
                <w:noProof/>
              </w:rPr>
              <w:t>10. Oro</w:t>
            </w:r>
            <w:r>
              <w:rPr>
                <w:noProof/>
              </w:rPr>
              <w:tab/>
            </w:r>
            <w:r>
              <w:rPr>
                <w:noProof/>
              </w:rPr>
              <w:fldChar w:fldCharType="begin"/>
            </w:r>
            <w:r>
              <w:rPr>
                <w:noProof/>
              </w:rPr>
              <w:instrText xml:space="preserve"> PAGEREF _Toc232941852 \h </w:instrText>
            </w:r>
            <w:r>
              <w:rPr>
                <w:noProof/>
              </w:rPr>
            </w:r>
            <w:r>
              <w:rPr>
                <w:noProof/>
              </w:rPr>
              <w:fldChar w:fldCharType="separate"/>
            </w:r>
            <w:r>
              <w:rPr>
                <w:noProof/>
              </w:rPr>
              <w:t>28</w:t>
            </w:r>
            <w:r>
              <w:rPr>
                <w:noProof/>
              </w:rPr>
              <w:fldChar w:fldCharType="end"/>
            </w:r>
          </w:hyperlink>
        </w:p>
        <w:p w14:paraId="509BE10A" w14:textId="77777777" w:rsidR="00B46CCE" w:rsidRDefault="00B46CCE">
          <w:pPr>
            <w:pStyle w:val="TDC2"/>
            <w:tabs>
              <w:tab w:val="right" w:leader="dot" w:pos="9350"/>
            </w:tabs>
            <w:rPr>
              <w:noProof/>
            </w:rPr>
          </w:pPr>
          <w:hyperlink w:anchor="_Toc232941853" w:history="1">
            <w:r w:rsidRPr="009B1F2C">
              <w:rPr>
                <w:rStyle w:val="Hipervnculo"/>
                <w:noProof/>
              </w:rPr>
              <w:t>10.1 Contexto: el mineral con mayor entrada de capital extranjero</w:t>
            </w:r>
            <w:r>
              <w:rPr>
                <w:noProof/>
              </w:rPr>
              <w:tab/>
            </w:r>
            <w:r>
              <w:rPr>
                <w:noProof/>
              </w:rPr>
              <w:fldChar w:fldCharType="begin"/>
            </w:r>
            <w:r>
              <w:rPr>
                <w:noProof/>
              </w:rPr>
              <w:instrText xml:space="preserve"> PAGEREF _Toc232941853 \h </w:instrText>
            </w:r>
            <w:r>
              <w:rPr>
                <w:noProof/>
              </w:rPr>
            </w:r>
            <w:r>
              <w:rPr>
                <w:noProof/>
              </w:rPr>
              <w:fldChar w:fldCharType="separate"/>
            </w:r>
            <w:r>
              <w:rPr>
                <w:noProof/>
              </w:rPr>
              <w:t>28</w:t>
            </w:r>
            <w:r>
              <w:rPr>
                <w:noProof/>
              </w:rPr>
              <w:fldChar w:fldCharType="end"/>
            </w:r>
          </w:hyperlink>
        </w:p>
        <w:p w14:paraId="07152B61" w14:textId="77777777" w:rsidR="00B46CCE" w:rsidRDefault="00B46CCE">
          <w:pPr>
            <w:pStyle w:val="TDC2"/>
            <w:tabs>
              <w:tab w:val="right" w:leader="dot" w:pos="9350"/>
            </w:tabs>
            <w:rPr>
              <w:noProof/>
            </w:rPr>
          </w:pPr>
          <w:hyperlink w:anchor="_Toc232941854" w:history="1">
            <w:r w:rsidRPr="009B1F2C">
              <w:rPr>
                <w:rStyle w:val="Hipervnculo"/>
                <w:noProof/>
              </w:rPr>
              <w:t>10.2 Extracción: un oligopolio de cinco grandes operadores con cifras exactas por empresa</w:t>
            </w:r>
            <w:r>
              <w:rPr>
                <w:noProof/>
              </w:rPr>
              <w:tab/>
            </w:r>
            <w:r>
              <w:rPr>
                <w:noProof/>
              </w:rPr>
              <w:fldChar w:fldCharType="begin"/>
            </w:r>
            <w:r>
              <w:rPr>
                <w:noProof/>
              </w:rPr>
              <w:instrText xml:space="preserve"> PAGEREF _Toc232941854 \h </w:instrText>
            </w:r>
            <w:r>
              <w:rPr>
                <w:noProof/>
              </w:rPr>
            </w:r>
            <w:r>
              <w:rPr>
                <w:noProof/>
              </w:rPr>
              <w:fldChar w:fldCharType="separate"/>
            </w:r>
            <w:r>
              <w:rPr>
                <w:noProof/>
              </w:rPr>
              <w:t>28</w:t>
            </w:r>
            <w:r>
              <w:rPr>
                <w:noProof/>
              </w:rPr>
              <w:fldChar w:fldCharType="end"/>
            </w:r>
          </w:hyperlink>
        </w:p>
        <w:p w14:paraId="522DED8C" w14:textId="77777777" w:rsidR="00B46CCE" w:rsidRDefault="00B46CCE">
          <w:pPr>
            <w:pStyle w:val="TDC2"/>
            <w:tabs>
              <w:tab w:val="right" w:leader="dot" w:pos="9350"/>
            </w:tabs>
            <w:rPr>
              <w:noProof/>
            </w:rPr>
          </w:pPr>
          <w:hyperlink w:anchor="_Toc232941855" w:history="1">
            <w:r w:rsidRPr="009B1F2C">
              <w:rPr>
                <w:rStyle w:val="Hipervnculo"/>
                <w:noProof/>
              </w:rPr>
              <w:t>10.3 La consolidación de Goldcorp en Newmont (2019) y el peso de Peñasquito</w:t>
            </w:r>
            <w:r>
              <w:rPr>
                <w:noProof/>
              </w:rPr>
              <w:tab/>
            </w:r>
            <w:r>
              <w:rPr>
                <w:noProof/>
              </w:rPr>
              <w:fldChar w:fldCharType="begin"/>
            </w:r>
            <w:r>
              <w:rPr>
                <w:noProof/>
              </w:rPr>
              <w:instrText xml:space="preserve"> PAGEREF _Toc232941855 \h </w:instrText>
            </w:r>
            <w:r>
              <w:rPr>
                <w:noProof/>
              </w:rPr>
            </w:r>
            <w:r>
              <w:rPr>
                <w:noProof/>
              </w:rPr>
              <w:fldChar w:fldCharType="separate"/>
            </w:r>
            <w:r>
              <w:rPr>
                <w:noProof/>
              </w:rPr>
              <w:t>28</w:t>
            </w:r>
            <w:r>
              <w:rPr>
                <w:noProof/>
              </w:rPr>
              <w:fldChar w:fldCharType="end"/>
            </w:r>
          </w:hyperlink>
        </w:p>
        <w:p w14:paraId="46FEEE5F" w14:textId="77777777" w:rsidR="00B46CCE" w:rsidRDefault="00B46CCE">
          <w:pPr>
            <w:pStyle w:val="TDC2"/>
            <w:tabs>
              <w:tab w:val="right" w:leader="dot" w:pos="9350"/>
            </w:tabs>
            <w:rPr>
              <w:noProof/>
            </w:rPr>
          </w:pPr>
          <w:hyperlink w:anchor="_Toc232941856" w:history="1">
            <w:r w:rsidRPr="009B1F2C">
              <w:rPr>
                <w:rStyle w:val="Hipervnculo"/>
                <w:noProof/>
              </w:rPr>
              <w:t>10.4 Refinación: el papel de Peñoles como afinador líder en Latinoamérica</w:t>
            </w:r>
            <w:r>
              <w:rPr>
                <w:noProof/>
              </w:rPr>
              <w:tab/>
            </w:r>
            <w:r>
              <w:rPr>
                <w:noProof/>
              </w:rPr>
              <w:fldChar w:fldCharType="begin"/>
            </w:r>
            <w:r>
              <w:rPr>
                <w:noProof/>
              </w:rPr>
              <w:instrText xml:space="preserve"> PAGEREF _Toc232941856 \h </w:instrText>
            </w:r>
            <w:r>
              <w:rPr>
                <w:noProof/>
              </w:rPr>
            </w:r>
            <w:r>
              <w:rPr>
                <w:noProof/>
              </w:rPr>
              <w:fldChar w:fldCharType="separate"/>
            </w:r>
            <w:r>
              <w:rPr>
                <w:noProof/>
              </w:rPr>
              <w:t>29</w:t>
            </w:r>
            <w:r>
              <w:rPr>
                <w:noProof/>
              </w:rPr>
              <w:fldChar w:fldCharType="end"/>
            </w:r>
          </w:hyperlink>
        </w:p>
        <w:p w14:paraId="3D0B9C89" w14:textId="77777777" w:rsidR="00B46CCE" w:rsidRDefault="00B46CCE">
          <w:pPr>
            <w:pStyle w:val="TDC2"/>
            <w:tabs>
              <w:tab w:val="right" w:leader="dot" w:pos="9350"/>
            </w:tabs>
            <w:rPr>
              <w:noProof/>
            </w:rPr>
          </w:pPr>
          <w:hyperlink w:anchor="_Toc232941857" w:history="1">
            <w:r w:rsidRPr="009B1F2C">
              <w:rPr>
                <w:rStyle w:val="Hipervnculo"/>
                <w:noProof/>
              </w:rPr>
              <w:t>10.5 Destino de la producción: exportación mayoritaria, mercado de inversión y joyería interno reducido</w:t>
            </w:r>
            <w:r>
              <w:rPr>
                <w:noProof/>
              </w:rPr>
              <w:tab/>
            </w:r>
            <w:r>
              <w:rPr>
                <w:noProof/>
              </w:rPr>
              <w:fldChar w:fldCharType="begin"/>
            </w:r>
            <w:r>
              <w:rPr>
                <w:noProof/>
              </w:rPr>
              <w:instrText xml:space="preserve"> PAGEREF _Toc232941857 \h </w:instrText>
            </w:r>
            <w:r>
              <w:rPr>
                <w:noProof/>
              </w:rPr>
            </w:r>
            <w:r>
              <w:rPr>
                <w:noProof/>
              </w:rPr>
              <w:fldChar w:fldCharType="separate"/>
            </w:r>
            <w:r>
              <w:rPr>
                <w:noProof/>
              </w:rPr>
              <w:t>29</w:t>
            </w:r>
            <w:r>
              <w:rPr>
                <w:noProof/>
              </w:rPr>
              <w:fldChar w:fldCharType="end"/>
            </w:r>
          </w:hyperlink>
        </w:p>
        <w:p w14:paraId="01810E70" w14:textId="77777777" w:rsidR="00B46CCE" w:rsidRDefault="00B46CCE">
          <w:pPr>
            <w:pStyle w:val="TDC2"/>
            <w:tabs>
              <w:tab w:val="right" w:leader="dot" w:pos="9350"/>
            </w:tabs>
            <w:rPr>
              <w:noProof/>
            </w:rPr>
          </w:pPr>
          <w:hyperlink w:anchor="_Toc232941858" w:history="1">
            <w:r w:rsidRPr="009B1F2C">
              <w:rPr>
                <w:rStyle w:val="Hipervnculo"/>
                <w:noProof/>
              </w:rPr>
              <w:t>10.6 Impacto de la reforma a la Ley Minera de 2023</w:t>
            </w:r>
            <w:r>
              <w:rPr>
                <w:noProof/>
              </w:rPr>
              <w:tab/>
            </w:r>
            <w:r>
              <w:rPr>
                <w:noProof/>
              </w:rPr>
              <w:fldChar w:fldCharType="begin"/>
            </w:r>
            <w:r>
              <w:rPr>
                <w:noProof/>
              </w:rPr>
              <w:instrText xml:space="preserve"> PAGEREF _Toc232941858 \h </w:instrText>
            </w:r>
            <w:r>
              <w:rPr>
                <w:noProof/>
              </w:rPr>
            </w:r>
            <w:r>
              <w:rPr>
                <w:noProof/>
              </w:rPr>
              <w:fldChar w:fldCharType="separate"/>
            </w:r>
            <w:r>
              <w:rPr>
                <w:noProof/>
              </w:rPr>
              <w:t>29</w:t>
            </w:r>
            <w:r>
              <w:rPr>
                <w:noProof/>
              </w:rPr>
              <w:fldChar w:fldCharType="end"/>
            </w:r>
          </w:hyperlink>
        </w:p>
        <w:p w14:paraId="4F1389EC" w14:textId="77777777" w:rsidR="00B46CCE" w:rsidRDefault="00B46CCE">
          <w:pPr>
            <w:pStyle w:val="TDC1"/>
            <w:tabs>
              <w:tab w:val="right" w:leader="dot" w:pos="9350"/>
            </w:tabs>
            <w:rPr>
              <w:noProof/>
            </w:rPr>
          </w:pPr>
          <w:hyperlink w:anchor="_Toc232941859" w:history="1">
            <w:r w:rsidRPr="009B1F2C">
              <w:rPr>
                <w:rStyle w:val="Hipervnculo"/>
                <w:noProof/>
              </w:rPr>
              <w:t>11. Plata</w:t>
            </w:r>
            <w:r>
              <w:rPr>
                <w:noProof/>
              </w:rPr>
              <w:tab/>
            </w:r>
            <w:r>
              <w:rPr>
                <w:noProof/>
              </w:rPr>
              <w:fldChar w:fldCharType="begin"/>
            </w:r>
            <w:r>
              <w:rPr>
                <w:noProof/>
              </w:rPr>
              <w:instrText xml:space="preserve"> PAGEREF _Toc232941859 \h </w:instrText>
            </w:r>
            <w:r>
              <w:rPr>
                <w:noProof/>
              </w:rPr>
            </w:r>
            <w:r>
              <w:rPr>
                <w:noProof/>
              </w:rPr>
              <w:fldChar w:fldCharType="separate"/>
            </w:r>
            <w:r>
              <w:rPr>
                <w:noProof/>
              </w:rPr>
              <w:t>31</w:t>
            </w:r>
            <w:r>
              <w:rPr>
                <w:noProof/>
              </w:rPr>
              <w:fldChar w:fldCharType="end"/>
            </w:r>
          </w:hyperlink>
        </w:p>
        <w:p w14:paraId="3B9EF528" w14:textId="77777777" w:rsidR="00B46CCE" w:rsidRDefault="00B46CCE">
          <w:pPr>
            <w:pStyle w:val="TDC2"/>
            <w:tabs>
              <w:tab w:val="right" w:leader="dot" w:pos="9350"/>
            </w:tabs>
            <w:rPr>
              <w:noProof/>
            </w:rPr>
          </w:pPr>
          <w:hyperlink w:anchor="_Toc232941860" w:history="1">
            <w:r w:rsidRPr="009B1F2C">
              <w:rPr>
                <w:rStyle w:val="Hipervnculo"/>
                <w:noProof/>
              </w:rPr>
              <w:t>11.1 Contexto: liderazgo mundial sostenido</w:t>
            </w:r>
            <w:r>
              <w:rPr>
                <w:noProof/>
              </w:rPr>
              <w:tab/>
            </w:r>
            <w:r>
              <w:rPr>
                <w:noProof/>
              </w:rPr>
              <w:fldChar w:fldCharType="begin"/>
            </w:r>
            <w:r>
              <w:rPr>
                <w:noProof/>
              </w:rPr>
              <w:instrText xml:space="preserve"> PAGEREF _Toc232941860 \h </w:instrText>
            </w:r>
            <w:r>
              <w:rPr>
                <w:noProof/>
              </w:rPr>
            </w:r>
            <w:r>
              <w:rPr>
                <w:noProof/>
              </w:rPr>
              <w:fldChar w:fldCharType="separate"/>
            </w:r>
            <w:r>
              <w:rPr>
                <w:noProof/>
              </w:rPr>
              <w:t>31</w:t>
            </w:r>
            <w:r>
              <w:rPr>
                <w:noProof/>
              </w:rPr>
              <w:fldChar w:fldCharType="end"/>
            </w:r>
          </w:hyperlink>
        </w:p>
        <w:p w14:paraId="5C2FDD57" w14:textId="77777777" w:rsidR="00B46CCE" w:rsidRDefault="00B46CCE">
          <w:pPr>
            <w:pStyle w:val="TDC2"/>
            <w:tabs>
              <w:tab w:val="right" w:leader="dot" w:pos="9350"/>
            </w:tabs>
            <w:rPr>
              <w:noProof/>
            </w:rPr>
          </w:pPr>
          <w:hyperlink w:anchor="_Toc232941861" w:history="1">
            <w:r w:rsidRPr="009B1F2C">
              <w:rPr>
                <w:rStyle w:val="Hipervnculo"/>
                <w:noProof/>
              </w:rPr>
              <w:t>11.2 Dos negocios distintos que conviene no confundir: extracción y refinación</w:t>
            </w:r>
            <w:r>
              <w:rPr>
                <w:noProof/>
              </w:rPr>
              <w:tab/>
            </w:r>
            <w:r>
              <w:rPr>
                <w:noProof/>
              </w:rPr>
              <w:fldChar w:fldCharType="begin"/>
            </w:r>
            <w:r>
              <w:rPr>
                <w:noProof/>
              </w:rPr>
              <w:instrText xml:space="preserve"> PAGEREF _Toc232941861 \h </w:instrText>
            </w:r>
            <w:r>
              <w:rPr>
                <w:noProof/>
              </w:rPr>
            </w:r>
            <w:r>
              <w:rPr>
                <w:noProof/>
              </w:rPr>
              <w:fldChar w:fldCharType="separate"/>
            </w:r>
            <w:r>
              <w:rPr>
                <w:noProof/>
              </w:rPr>
              <w:t>31</w:t>
            </w:r>
            <w:r>
              <w:rPr>
                <w:noProof/>
              </w:rPr>
              <w:fldChar w:fldCharType="end"/>
            </w:r>
          </w:hyperlink>
        </w:p>
        <w:p w14:paraId="334B3C55" w14:textId="77777777" w:rsidR="00B46CCE" w:rsidRDefault="00B46CCE">
          <w:pPr>
            <w:pStyle w:val="TDC2"/>
            <w:tabs>
              <w:tab w:val="right" w:leader="dot" w:pos="9350"/>
            </w:tabs>
            <w:rPr>
              <w:noProof/>
            </w:rPr>
          </w:pPr>
          <w:hyperlink w:anchor="_Toc232941862" w:history="1">
            <w:r w:rsidRPr="009B1F2C">
              <w:rPr>
                <w:rStyle w:val="Hipervnculo"/>
                <w:noProof/>
              </w:rPr>
              <w:t>11.3 De Peñoles integrado a la escisión de Fresnillo plc (2008)</w:t>
            </w:r>
            <w:r>
              <w:rPr>
                <w:noProof/>
              </w:rPr>
              <w:tab/>
            </w:r>
            <w:r>
              <w:rPr>
                <w:noProof/>
              </w:rPr>
              <w:fldChar w:fldCharType="begin"/>
            </w:r>
            <w:r>
              <w:rPr>
                <w:noProof/>
              </w:rPr>
              <w:instrText xml:space="preserve"> PAGEREF _Toc232941862 \h </w:instrText>
            </w:r>
            <w:r>
              <w:rPr>
                <w:noProof/>
              </w:rPr>
            </w:r>
            <w:r>
              <w:rPr>
                <w:noProof/>
              </w:rPr>
              <w:fldChar w:fldCharType="separate"/>
            </w:r>
            <w:r>
              <w:rPr>
                <w:noProof/>
              </w:rPr>
              <w:t>32</w:t>
            </w:r>
            <w:r>
              <w:rPr>
                <w:noProof/>
              </w:rPr>
              <w:fldChar w:fldCharType="end"/>
            </w:r>
          </w:hyperlink>
        </w:p>
        <w:p w14:paraId="685647AB" w14:textId="77777777" w:rsidR="00B46CCE" w:rsidRDefault="00B46CCE">
          <w:pPr>
            <w:pStyle w:val="TDC2"/>
            <w:tabs>
              <w:tab w:val="right" w:leader="dot" w:pos="9350"/>
            </w:tabs>
            <w:rPr>
              <w:noProof/>
            </w:rPr>
          </w:pPr>
          <w:hyperlink w:anchor="_Toc232941863" w:history="1">
            <w:r w:rsidRPr="009B1F2C">
              <w:rPr>
                <w:rStyle w:val="Hipervnculo"/>
                <w:noProof/>
              </w:rPr>
              <w:t>11.4 La estructura de mercado 2019-2024: cinco grandes productores</w:t>
            </w:r>
            <w:r>
              <w:rPr>
                <w:noProof/>
              </w:rPr>
              <w:tab/>
            </w:r>
            <w:r>
              <w:rPr>
                <w:noProof/>
              </w:rPr>
              <w:fldChar w:fldCharType="begin"/>
            </w:r>
            <w:r>
              <w:rPr>
                <w:noProof/>
              </w:rPr>
              <w:instrText xml:space="preserve"> PAGEREF _Toc232941863 \h </w:instrText>
            </w:r>
            <w:r>
              <w:rPr>
                <w:noProof/>
              </w:rPr>
            </w:r>
            <w:r>
              <w:rPr>
                <w:noProof/>
              </w:rPr>
              <w:fldChar w:fldCharType="separate"/>
            </w:r>
            <w:r>
              <w:rPr>
                <w:noProof/>
              </w:rPr>
              <w:t>32</w:t>
            </w:r>
            <w:r>
              <w:rPr>
                <w:noProof/>
              </w:rPr>
              <w:fldChar w:fldCharType="end"/>
            </w:r>
          </w:hyperlink>
        </w:p>
        <w:p w14:paraId="51084D34" w14:textId="77777777" w:rsidR="00B46CCE" w:rsidRDefault="00B46CCE">
          <w:pPr>
            <w:pStyle w:val="TDC2"/>
            <w:tabs>
              <w:tab w:val="right" w:leader="dot" w:pos="9350"/>
            </w:tabs>
            <w:rPr>
              <w:noProof/>
            </w:rPr>
          </w:pPr>
          <w:hyperlink w:anchor="_Toc232941864" w:history="1">
            <w:r w:rsidRPr="009B1F2C">
              <w:rPr>
                <w:rStyle w:val="Hipervnculo"/>
                <w:noProof/>
              </w:rPr>
              <w:t>11.5 Destino de la producción: el destino paradójico de la plata mexicana</w:t>
            </w:r>
            <w:r>
              <w:rPr>
                <w:noProof/>
              </w:rPr>
              <w:tab/>
            </w:r>
            <w:r>
              <w:rPr>
                <w:noProof/>
              </w:rPr>
              <w:fldChar w:fldCharType="begin"/>
            </w:r>
            <w:r>
              <w:rPr>
                <w:noProof/>
              </w:rPr>
              <w:instrText xml:space="preserve"> PAGEREF _Toc232941864 \h </w:instrText>
            </w:r>
            <w:r>
              <w:rPr>
                <w:noProof/>
              </w:rPr>
            </w:r>
            <w:r>
              <w:rPr>
                <w:noProof/>
              </w:rPr>
              <w:fldChar w:fldCharType="separate"/>
            </w:r>
            <w:r>
              <w:rPr>
                <w:noProof/>
              </w:rPr>
              <w:t>32</w:t>
            </w:r>
            <w:r>
              <w:rPr>
                <w:noProof/>
              </w:rPr>
              <w:fldChar w:fldCharType="end"/>
            </w:r>
          </w:hyperlink>
        </w:p>
        <w:p w14:paraId="468694D0" w14:textId="77777777" w:rsidR="00B46CCE" w:rsidRDefault="00B46CCE">
          <w:pPr>
            <w:pStyle w:val="TDC2"/>
            <w:tabs>
              <w:tab w:val="right" w:leader="dot" w:pos="9350"/>
            </w:tabs>
            <w:rPr>
              <w:noProof/>
            </w:rPr>
          </w:pPr>
          <w:hyperlink w:anchor="_Toc232941865" w:history="1">
            <w:r w:rsidRPr="009B1F2C">
              <w:rPr>
                <w:rStyle w:val="Hipervnculo"/>
                <w:noProof/>
              </w:rPr>
              <w:t>11.6 Impacto de la reforma a la Ley Minera de 2023</w:t>
            </w:r>
            <w:r>
              <w:rPr>
                <w:noProof/>
              </w:rPr>
              <w:tab/>
            </w:r>
            <w:r>
              <w:rPr>
                <w:noProof/>
              </w:rPr>
              <w:fldChar w:fldCharType="begin"/>
            </w:r>
            <w:r>
              <w:rPr>
                <w:noProof/>
              </w:rPr>
              <w:instrText xml:space="preserve"> PAGEREF _Toc232941865 \h </w:instrText>
            </w:r>
            <w:r>
              <w:rPr>
                <w:noProof/>
              </w:rPr>
            </w:r>
            <w:r>
              <w:rPr>
                <w:noProof/>
              </w:rPr>
              <w:fldChar w:fldCharType="separate"/>
            </w:r>
            <w:r>
              <w:rPr>
                <w:noProof/>
              </w:rPr>
              <w:t>33</w:t>
            </w:r>
            <w:r>
              <w:rPr>
                <w:noProof/>
              </w:rPr>
              <w:fldChar w:fldCharType="end"/>
            </w:r>
          </w:hyperlink>
        </w:p>
        <w:p w14:paraId="3407CFFF" w14:textId="77777777" w:rsidR="00B46CCE" w:rsidRDefault="00B46CCE">
          <w:pPr>
            <w:pStyle w:val="TDC1"/>
            <w:tabs>
              <w:tab w:val="right" w:leader="dot" w:pos="9350"/>
            </w:tabs>
            <w:rPr>
              <w:noProof/>
            </w:rPr>
          </w:pPr>
          <w:hyperlink w:anchor="_Toc232941866" w:history="1">
            <w:r w:rsidRPr="009B1F2C">
              <w:rPr>
                <w:rStyle w:val="Hipervnculo"/>
                <w:noProof/>
              </w:rPr>
              <w:t>12. Plomo</w:t>
            </w:r>
            <w:r>
              <w:rPr>
                <w:noProof/>
              </w:rPr>
              <w:tab/>
            </w:r>
            <w:r>
              <w:rPr>
                <w:noProof/>
              </w:rPr>
              <w:fldChar w:fldCharType="begin"/>
            </w:r>
            <w:r>
              <w:rPr>
                <w:noProof/>
              </w:rPr>
              <w:instrText xml:space="preserve"> PAGEREF _Toc232941866 \h </w:instrText>
            </w:r>
            <w:r>
              <w:rPr>
                <w:noProof/>
              </w:rPr>
            </w:r>
            <w:r>
              <w:rPr>
                <w:noProof/>
              </w:rPr>
              <w:fldChar w:fldCharType="separate"/>
            </w:r>
            <w:r>
              <w:rPr>
                <w:noProof/>
              </w:rPr>
              <w:t>34</w:t>
            </w:r>
            <w:r>
              <w:rPr>
                <w:noProof/>
              </w:rPr>
              <w:fldChar w:fldCharType="end"/>
            </w:r>
          </w:hyperlink>
        </w:p>
        <w:p w14:paraId="2AC33AB6" w14:textId="77777777" w:rsidR="00B46CCE" w:rsidRDefault="00B46CCE">
          <w:pPr>
            <w:pStyle w:val="TDC2"/>
            <w:tabs>
              <w:tab w:val="right" w:leader="dot" w:pos="9350"/>
            </w:tabs>
            <w:rPr>
              <w:noProof/>
            </w:rPr>
          </w:pPr>
          <w:hyperlink w:anchor="_Toc232941867" w:history="1">
            <w:r w:rsidRPr="009B1F2C">
              <w:rPr>
                <w:rStyle w:val="Hipervnculo"/>
                <w:noProof/>
              </w:rPr>
              <w:t>12.1 Contexto</w:t>
            </w:r>
            <w:r>
              <w:rPr>
                <w:noProof/>
              </w:rPr>
              <w:tab/>
            </w:r>
            <w:r>
              <w:rPr>
                <w:noProof/>
              </w:rPr>
              <w:fldChar w:fldCharType="begin"/>
            </w:r>
            <w:r>
              <w:rPr>
                <w:noProof/>
              </w:rPr>
              <w:instrText xml:space="preserve"> PAGEREF _Toc232941867 \h </w:instrText>
            </w:r>
            <w:r>
              <w:rPr>
                <w:noProof/>
              </w:rPr>
            </w:r>
            <w:r>
              <w:rPr>
                <w:noProof/>
              </w:rPr>
              <w:fldChar w:fldCharType="separate"/>
            </w:r>
            <w:r>
              <w:rPr>
                <w:noProof/>
              </w:rPr>
              <w:t>34</w:t>
            </w:r>
            <w:r>
              <w:rPr>
                <w:noProof/>
              </w:rPr>
              <w:fldChar w:fldCharType="end"/>
            </w:r>
          </w:hyperlink>
        </w:p>
        <w:p w14:paraId="1EB02020" w14:textId="77777777" w:rsidR="00B46CCE" w:rsidRDefault="00B46CCE">
          <w:pPr>
            <w:pStyle w:val="TDC2"/>
            <w:tabs>
              <w:tab w:val="right" w:leader="dot" w:pos="9350"/>
            </w:tabs>
            <w:rPr>
              <w:noProof/>
            </w:rPr>
          </w:pPr>
          <w:hyperlink w:anchor="_Toc232941868" w:history="1">
            <w:r w:rsidRPr="009B1F2C">
              <w:rPr>
                <w:rStyle w:val="Hipervnculo"/>
                <w:noProof/>
              </w:rPr>
              <w:t>12.2 Monopolio de refinación: Peñoles al 100%</w:t>
            </w:r>
            <w:r>
              <w:rPr>
                <w:noProof/>
              </w:rPr>
              <w:tab/>
            </w:r>
            <w:r>
              <w:rPr>
                <w:noProof/>
              </w:rPr>
              <w:fldChar w:fldCharType="begin"/>
            </w:r>
            <w:r>
              <w:rPr>
                <w:noProof/>
              </w:rPr>
              <w:instrText xml:space="preserve"> PAGEREF _Toc232941868 \h </w:instrText>
            </w:r>
            <w:r>
              <w:rPr>
                <w:noProof/>
              </w:rPr>
            </w:r>
            <w:r>
              <w:rPr>
                <w:noProof/>
              </w:rPr>
              <w:fldChar w:fldCharType="separate"/>
            </w:r>
            <w:r>
              <w:rPr>
                <w:noProof/>
              </w:rPr>
              <w:t>34</w:t>
            </w:r>
            <w:r>
              <w:rPr>
                <w:noProof/>
              </w:rPr>
              <w:fldChar w:fldCharType="end"/>
            </w:r>
          </w:hyperlink>
        </w:p>
        <w:p w14:paraId="65CD3474" w14:textId="77777777" w:rsidR="00B46CCE" w:rsidRDefault="00B46CCE">
          <w:pPr>
            <w:pStyle w:val="TDC2"/>
            <w:tabs>
              <w:tab w:val="right" w:leader="dot" w:pos="9350"/>
            </w:tabs>
            <w:rPr>
              <w:noProof/>
            </w:rPr>
          </w:pPr>
          <w:hyperlink w:anchor="_Toc232941869" w:history="1">
            <w:r w:rsidRPr="009B1F2C">
              <w:rPr>
                <w:rStyle w:val="Hipervnculo"/>
                <w:noProof/>
              </w:rPr>
              <w:t>12.3 Extracción: oligopolio entre Peñoles, Grupo México y Minera Frisco</w:t>
            </w:r>
            <w:r>
              <w:rPr>
                <w:noProof/>
              </w:rPr>
              <w:tab/>
            </w:r>
            <w:r>
              <w:rPr>
                <w:noProof/>
              </w:rPr>
              <w:fldChar w:fldCharType="begin"/>
            </w:r>
            <w:r>
              <w:rPr>
                <w:noProof/>
              </w:rPr>
              <w:instrText xml:space="preserve"> PAGEREF _Toc232941869 \h </w:instrText>
            </w:r>
            <w:r>
              <w:rPr>
                <w:noProof/>
              </w:rPr>
            </w:r>
            <w:r>
              <w:rPr>
                <w:noProof/>
              </w:rPr>
              <w:fldChar w:fldCharType="separate"/>
            </w:r>
            <w:r>
              <w:rPr>
                <w:noProof/>
              </w:rPr>
              <w:t>34</w:t>
            </w:r>
            <w:r>
              <w:rPr>
                <w:noProof/>
              </w:rPr>
              <w:fldChar w:fldCharType="end"/>
            </w:r>
          </w:hyperlink>
        </w:p>
        <w:p w14:paraId="0C623543" w14:textId="77777777" w:rsidR="00B46CCE" w:rsidRDefault="00B46CCE">
          <w:pPr>
            <w:pStyle w:val="TDC2"/>
            <w:tabs>
              <w:tab w:val="right" w:leader="dot" w:pos="9350"/>
            </w:tabs>
            <w:rPr>
              <w:noProof/>
            </w:rPr>
          </w:pPr>
          <w:hyperlink w:anchor="_Toc232941870" w:history="1">
            <w:r w:rsidRPr="009B1F2C">
              <w:rPr>
                <w:rStyle w:val="Hipervnculo"/>
                <w:noProof/>
              </w:rPr>
              <w:t>12.4 Destino de la producción: principalmente mercado interno y de baterías</w:t>
            </w:r>
            <w:r>
              <w:rPr>
                <w:noProof/>
              </w:rPr>
              <w:tab/>
            </w:r>
            <w:r>
              <w:rPr>
                <w:noProof/>
              </w:rPr>
              <w:fldChar w:fldCharType="begin"/>
            </w:r>
            <w:r>
              <w:rPr>
                <w:noProof/>
              </w:rPr>
              <w:instrText xml:space="preserve"> PAGEREF _Toc232941870 \h </w:instrText>
            </w:r>
            <w:r>
              <w:rPr>
                <w:noProof/>
              </w:rPr>
            </w:r>
            <w:r>
              <w:rPr>
                <w:noProof/>
              </w:rPr>
              <w:fldChar w:fldCharType="separate"/>
            </w:r>
            <w:r>
              <w:rPr>
                <w:noProof/>
              </w:rPr>
              <w:t>34</w:t>
            </w:r>
            <w:r>
              <w:rPr>
                <w:noProof/>
              </w:rPr>
              <w:fldChar w:fldCharType="end"/>
            </w:r>
          </w:hyperlink>
        </w:p>
        <w:p w14:paraId="2EA20D21" w14:textId="77777777" w:rsidR="00B46CCE" w:rsidRDefault="00B46CCE">
          <w:pPr>
            <w:pStyle w:val="TDC2"/>
            <w:tabs>
              <w:tab w:val="right" w:leader="dot" w:pos="9350"/>
            </w:tabs>
            <w:rPr>
              <w:noProof/>
            </w:rPr>
          </w:pPr>
          <w:hyperlink w:anchor="_Toc232941871" w:history="1">
            <w:r w:rsidRPr="009B1F2C">
              <w:rPr>
                <w:rStyle w:val="Hipervnculo"/>
                <w:noProof/>
              </w:rPr>
              <w:t>12.5 Impacto de la reforma a la Ley Minera de 2023</w:t>
            </w:r>
            <w:r>
              <w:rPr>
                <w:noProof/>
              </w:rPr>
              <w:tab/>
            </w:r>
            <w:r>
              <w:rPr>
                <w:noProof/>
              </w:rPr>
              <w:fldChar w:fldCharType="begin"/>
            </w:r>
            <w:r>
              <w:rPr>
                <w:noProof/>
              </w:rPr>
              <w:instrText xml:space="preserve"> PAGEREF _Toc232941871 \h </w:instrText>
            </w:r>
            <w:r>
              <w:rPr>
                <w:noProof/>
              </w:rPr>
            </w:r>
            <w:r>
              <w:rPr>
                <w:noProof/>
              </w:rPr>
              <w:fldChar w:fldCharType="separate"/>
            </w:r>
            <w:r>
              <w:rPr>
                <w:noProof/>
              </w:rPr>
              <w:t>35</w:t>
            </w:r>
            <w:r>
              <w:rPr>
                <w:noProof/>
              </w:rPr>
              <w:fldChar w:fldCharType="end"/>
            </w:r>
          </w:hyperlink>
        </w:p>
        <w:p w14:paraId="19DE70E6" w14:textId="77777777" w:rsidR="00B46CCE" w:rsidRDefault="00B46CCE">
          <w:pPr>
            <w:pStyle w:val="TDC1"/>
            <w:tabs>
              <w:tab w:val="right" w:leader="dot" w:pos="9350"/>
            </w:tabs>
            <w:rPr>
              <w:noProof/>
            </w:rPr>
          </w:pPr>
          <w:hyperlink w:anchor="_Toc232941872" w:history="1">
            <w:r w:rsidRPr="009B1F2C">
              <w:rPr>
                <w:rStyle w:val="Hipervnculo"/>
                <w:noProof/>
              </w:rPr>
              <w:t>13. Sílice (arena sílica)</w:t>
            </w:r>
            <w:r>
              <w:rPr>
                <w:noProof/>
              </w:rPr>
              <w:tab/>
            </w:r>
            <w:r>
              <w:rPr>
                <w:noProof/>
              </w:rPr>
              <w:fldChar w:fldCharType="begin"/>
            </w:r>
            <w:r>
              <w:rPr>
                <w:noProof/>
              </w:rPr>
              <w:instrText xml:space="preserve"> PAGEREF _Toc232941872 \h </w:instrText>
            </w:r>
            <w:r>
              <w:rPr>
                <w:noProof/>
              </w:rPr>
            </w:r>
            <w:r>
              <w:rPr>
                <w:noProof/>
              </w:rPr>
              <w:fldChar w:fldCharType="separate"/>
            </w:r>
            <w:r>
              <w:rPr>
                <w:noProof/>
              </w:rPr>
              <w:t>36</w:t>
            </w:r>
            <w:r>
              <w:rPr>
                <w:noProof/>
              </w:rPr>
              <w:fldChar w:fldCharType="end"/>
            </w:r>
          </w:hyperlink>
        </w:p>
        <w:p w14:paraId="059DED18" w14:textId="77777777" w:rsidR="00B46CCE" w:rsidRDefault="00B46CCE">
          <w:pPr>
            <w:pStyle w:val="TDC2"/>
            <w:tabs>
              <w:tab w:val="right" w:leader="dot" w:pos="9350"/>
            </w:tabs>
            <w:rPr>
              <w:noProof/>
            </w:rPr>
          </w:pPr>
          <w:hyperlink w:anchor="_Toc232941873" w:history="1">
            <w:r w:rsidRPr="009B1F2C">
              <w:rPr>
                <w:rStyle w:val="Hipervnculo"/>
                <w:noProof/>
              </w:rPr>
              <w:t>13.1 Contexto: un commodity de uso difundido</w:t>
            </w:r>
            <w:r>
              <w:rPr>
                <w:noProof/>
              </w:rPr>
              <w:tab/>
            </w:r>
            <w:r>
              <w:rPr>
                <w:noProof/>
              </w:rPr>
              <w:fldChar w:fldCharType="begin"/>
            </w:r>
            <w:r>
              <w:rPr>
                <w:noProof/>
              </w:rPr>
              <w:instrText xml:space="preserve"> PAGEREF _Toc232941873 \h </w:instrText>
            </w:r>
            <w:r>
              <w:rPr>
                <w:noProof/>
              </w:rPr>
            </w:r>
            <w:r>
              <w:rPr>
                <w:noProof/>
              </w:rPr>
              <w:fldChar w:fldCharType="separate"/>
            </w:r>
            <w:r>
              <w:rPr>
                <w:noProof/>
              </w:rPr>
              <w:t>36</w:t>
            </w:r>
            <w:r>
              <w:rPr>
                <w:noProof/>
              </w:rPr>
              <w:fldChar w:fldCharType="end"/>
            </w:r>
          </w:hyperlink>
        </w:p>
        <w:p w14:paraId="169D546A" w14:textId="77777777" w:rsidR="00B46CCE" w:rsidRDefault="00B46CCE">
          <w:pPr>
            <w:pStyle w:val="TDC2"/>
            <w:tabs>
              <w:tab w:val="right" w:leader="dot" w:pos="9350"/>
            </w:tabs>
            <w:rPr>
              <w:noProof/>
            </w:rPr>
          </w:pPr>
          <w:hyperlink w:anchor="_Toc232941874" w:history="1">
            <w:r w:rsidRPr="009B1F2C">
              <w:rPr>
                <w:rStyle w:val="Hipervnculo"/>
                <w:noProof/>
              </w:rPr>
              <w:t>13.2 El mercado más fragmentado de los diez analizados</w:t>
            </w:r>
            <w:r>
              <w:rPr>
                <w:noProof/>
              </w:rPr>
              <w:tab/>
            </w:r>
            <w:r>
              <w:rPr>
                <w:noProof/>
              </w:rPr>
              <w:fldChar w:fldCharType="begin"/>
            </w:r>
            <w:r>
              <w:rPr>
                <w:noProof/>
              </w:rPr>
              <w:instrText xml:space="preserve"> PAGEREF _Toc232941874 \h </w:instrText>
            </w:r>
            <w:r>
              <w:rPr>
                <w:noProof/>
              </w:rPr>
            </w:r>
            <w:r>
              <w:rPr>
                <w:noProof/>
              </w:rPr>
              <w:fldChar w:fldCharType="separate"/>
            </w:r>
            <w:r>
              <w:rPr>
                <w:noProof/>
              </w:rPr>
              <w:t>36</w:t>
            </w:r>
            <w:r>
              <w:rPr>
                <w:noProof/>
              </w:rPr>
              <w:fldChar w:fldCharType="end"/>
            </w:r>
          </w:hyperlink>
        </w:p>
        <w:p w14:paraId="2CBC1DCE" w14:textId="77777777" w:rsidR="00B46CCE" w:rsidRDefault="00B46CCE">
          <w:pPr>
            <w:pStyle w:val="TDC2"/>
            <w:tabs>
              <w:tab w:val="right" w:leader="dot" w:pos="9350"/>
            </w:tabs>
            <w:rPr>
              <w:noProof/>
            </w:rPr>
          </w:pPr>
          <w:hyperlink w:anchor="_Toc232941875" w:history="1">
            <w:r w:rsidRPr="009B1F2C">
              <w:rPr>
                <w:rStyle w:val="Hipervnculo"/>
                <w:noProof/>
              </w:rPr>
              <w:t>13.3 Un mercado norteamericano y latinoamericano en expansión</w:t>
            </w:r>
            <w:r>
              <w:rPr>
                <w:noProof/>
              </w:rPr>
              <w:tab/>
            </w:r>
            <w:r>
              <w:rPr>
                <w:noProof/>
              </w:rPr>
              <w:fldChar w:fldCharType="begin"/>
            </w:r>
            <w:r>
              <w:rPr>
                <w:noProof/>
              </w:rPr>
              <w:instrText xml:space="preserve"> PAGEREF _Toc232941875 \h </w:instrText>
            </w:r>
            <w:r>
              <w:rPr>
                <w:noProof/>
              </w:rPr>
            </w:r>
            <w:r>
              <w:rPr>
                <w:noProof/>
              </w:rPr>
              <w:fldChar w:fldCharType="separate"/>
            </w:r>
            <w:r>
              <w:rPr>
                <w:noProof/>
              </w:rPr>
              <w:t>36</w:t>
            </w:r>
            <w:r>
              <w:rPr>
                <w:noProof/>
              </w:rPr>
              <w:fldChar w:fldCharType="end"/>
            </w:r>
          </w:hyperlink>
        </w:p>
        <w:p w14:paraId="47D0439F" w14:textId="77777777" w:rsidR="00B46CCE" w:rsidRDefault="00B46CCE">
          <w:pPr>
            <w:pStyle w:val="TDC2"/>
            <w:tabs>
              <w:tab w:val="right" w:leader="dot" w:pos="9350"/>
            </w:tabs>
            <w:rPr>
              <w:noProof/>
            </w:rPr>
          </w:pPr>
          <w:hyperlink w:anchor="_Toc232941876" w:history="1">
            <w:r w:rsidRPr="009B1F2C">
              <w:rPr>
                <w:rStyle w:val="Hipervnculo"/>
                <w:noProof/>
              </w:rPr>
              <w:t>13.4 Destino de la producción: consumo interno mayoritario</w:t>
            </w:r>
            <w:r>
              <w:rPr>
                <w:noProof/>
              </w:rPr>
              <w:tab/>
            </w:r>
            <w:r>
              <w:rPr>
                <w:noProof/>
              </w:rPr>
              <w:fldChar w:fldCharType="begin"/>
            </w:r>
            <w:r>
              <w:rPr>
                <w:noProof/>
              </w:rPr>
              <w:instrText xml:space="preserve"> PAGEREF _Toc232941876 \h </w:instrText>
            </w:r>
            <w:r>
              <w:rPr>
                <w:noProof/>
              </w:rPr>
            </w:r>
            <w:r>
              <w:rPr>
                <w:noProof/>
              </w:rPr>
              <w:fldChar w:fldCharType="separate"/>
            </w:r>
            <w:r>
              <w:rPr>
                <w:noProof/>
              </w:rPr>
              <w:t>36</w:t>
            </w:r>
            <w:r>
              <w:rPr>
                <w:noProof/>
              </w:rPr>
              <w:fldChar w:fldCharType="end"/>
            </w:r>
          </w:hyperlink>
        </w:p>
        <w:p w14:paraId="1BBF1829" w14:textId="77777777" w:rsidR="00B46CCE" w:rsidRDefault="00B46CCE">
          <w:pPr>
            <w:pStyle w:val="TDC2"/>
            <w:tabs>
              <w:tab w:val="right" w:leader="dot" w:pos="9350"/>
            </w:tabs>
            <w:rPr>
              <w:noProof/>
            </w:rPr>
          </w:pPr>
          <w:hyperlink w:anchor="_Toc232941877" w:history="1">
            <w:r w:rsidRPr="009B1F2C">
              <w:rPr>
                <w:rStyle w:val="Hipervnculo"/>
                <w:noProof/>
              </w:rPr>
              <w:t>13.5 Impacto de la reforma a la Ley Minera de 2023</w:t>
            </w:r>
            <w:r>
              <w:rPr>
                <w:noProof/>
              </w:rPr>
              <w:tab/>
            </w:r>
            <w:r>
              <w:rPr>
                <w:noProof/>
              </w:rPr>
              <w:fldChar w:fldCharType="begin"/>
            </w:r>
            <w:r>
              <w:rPr>
                <w:noProof/>
              </w:rPr>
              <w:instrText xml:space="preserve"> PAGEREF _Toc232941877 \h </w:instrText>
            </w:r>
            <w:r>
              <w:rPr>
                <w:noProof/>
              </w:rPr>
            </w:r>
            <w:r>
              <w:rPr>
                <w:noProof/>
              </w:rPr>
              <w:fldChar w:fldCharType="separate"/>
            </w:r>
            <w:r>
              <w:rPr>
                <w:noProof/>
              </w:rPr>
              <w:t>37</w:t>
            </w:r>
            <w:r>
              <w:rPr>
                <w:noProof/>
              </w:rPr>
              <w:fldChar w:fldCharType="end"/>
            </w:r>
          </w:hyperlink>
        </w:p>
        <w:p w14:paraId="0D0E97DE" w14:textId="77777777" w:rsidR="00B46CCE" w:rsidRDefault="00B46CCE">
          <w:pPr>
            <w:pStyle w:val="TDC1"/>
            <w:tabs>
              <w:tab w:val="right" w:leader="dot" w:pos="9350"/>
            </w:tabs>
            <w:rPr>
              <w:noProof/>
            </w:rPr>
          </w:pPr>
          <w:hyperlink w:anchor="_Toc232941878" w:history="1">
            <w:r w:rsidRPr="009B1F2C">
              <w:rPr>
                <w:rStyle w:val="Hipervnculo"/>
                <w:noProof/>
              </w:rPr>
              <w:t>14. Zinc</w:t>
            </w:r>
            <w:r>
              <w:rPr>
                <w:noProof/>
              </w:rPr>
              <w:tab/>
            </w:r>
            <w:r>
              <w:rPr>
                <w:noProof/>
              </w:rPr>
              <w:fldChar w:fldCharType="begin"/>
            </w:r>
            <w:r>
              <w:rPr>
                <w:noProof/>
              </w:rPr>
              <w:instrText xml:space="preserve"> PAGEREF _Toc232941878 \h </w:instrText>
            </w:r>
            <w:r>
              <w:rPr>
                <w:noProof/>
              </w:rPr>
            </w:r>
            <w:r>
              <w:rPr>
                <w:noProof/>
              </w:rPr>
              <w:fldChar w:fldCharType="separate"/>
            </w:r>
            <w:r>
              <w:rPr>
                <w:noProof/>
              </w:rPr>
              <w:t>38</w:t>
            </w:r>
            <w:r>
              <w:rPr>
                <w:noProof/>
              </w:rPr>
              <w:fldChar w:fldCharType="end"/>
            </w:r>
          </w:hyperlink>
        </w:p>
        <w:p w14:paraId="03E4D141" w14:textId="77777777" w:rsidR="00B46CCE" w:rsidRDefault="00B46CCE">
          <w:pPr>
            <w:pStyle w:val="TDC2"/>
            <w:tabs>
              <w:tab w:val="right" w:leader="dot" w:pos="9350"/>
            </w:tabs>
            <w:rPr>
              <w:noProof/>
            </w:rPr>
          </w:pPr>
          <w:hyperlink w:anchor="_Toc232941879" w:history="1">
            <w:r w:rsidRPr="009B1F2C">
              <w:rPr>
                <w:rStyle w:val="Hipervnculo"/>
                <w:noProof/>
              </w:rPr>
              <w:t>14.1 Contexto y posición internacional</w:t>
            </w:r>
            <w:r>
              <w:rPr>
                <w:noProof/>
              </w:rPr>
              <w:tab/>
            </w:r>
            <w:r>
              <w:rPr>
                <w:noProof/>
              </w:rPr>
              <w:fldChar w:fldCharType="begin"/>
            </w:r>
            <w:r>
              <w:rPr>
                <w:noProof/>
              </w:rPr>
              <w:instrText xml:space="preserve"> PAGEREF _Toc232941879 \h </w:instrText>
            </w:r>
            <w:r>
              <w:rPr>
                <w:noProof/>
              </w:rPr>
            </w:r>
            <w:r>
              <w:rPr>
                <w:noProof/>
              </w:rPr>
              <w:fldChar w:fldCharType="separate"/>
            </w:r>
            <w:r>
              <w:rPr>
                <w:noProof/>
              </w:rPr>
              <w:t>38</w:t>
            </w:r>
            <w:r>
              <w:rPr>
                <w:noProof/>
              </w:rPr>
              <w:fldChar w:fldCharType="end"/>
            </w:r>
          </w:hyperlink>
        </w:p>
        <w:p w14:paraId="7C3C6787" w14:textId="77777777" w:rsidR="00B46CCE" w:rsidRDefault="00B46CCE">
          <w:pPr>
            <w:pStyle w:val="TDC2"/>
            <w:tabs>
              <w:tab w:val="right" w:leader="dot" w:pos="9350"/>
            </w:tabs>
            <w:rPr>
              <w:noProof/>
            </w:rPr>
          </w:pPr>
          <w:hyperlink w:anchor="_Toc232941880" w:history="1">
            <w:r w:rsidRPr="009B1F2C">
              <w:rPr>
                <w:rStyle w:val="Hipervnculo"/>
                <w:noProof/>
              </w:rPr>
              <w:t>14.2 Extracción: de Newmont en primer lugar a un cuarteto histórico de Peñoles, Fresnillo, Grupo México y Frisco</w:t>
            </w:r>
            <w:r>
              <w:rPr>
                <w:noProof/>
              </w:rPr>
              <w:tab/>
            </w:r>
            <w:r>
              <w:rPr>
                <w:noProof/>
              </w:rPr>
              <w:fldChar w:fldCharType="begin"/>
            </w:r>
            <w:r>
              <w:rPr>
                <w:noProof/>
              </w:rPr>
              <w:instrText xml:space="preserve"> PAGEREF _Toc232941880 \h </w:instrText>
            </w:r>
            <w:r>
              <w:rPr>
                <w:noProof/>
              </w:rPr>
            </w:r>
            <w:r>
              <w:rPr>
                <w:noProof/>
              </w:rPr>
              <w:fldChar w:fldCharType="separate"/>
            </w:r>
            <w:r>
              <w:rPr>
                <w:noProof/>
              </w:rPr>
              <w:t>38</w:t>
            </w:r>
            <w:r>
              <w:rPr>
                <w:noProof/>
              </w:rPr>
              <w:fldChar w:fldCharType="end"/>
            </w:r>
          </w:hyperlink>
        </w:p>
        <w:p w14:paraId="345C99BC" w14:textId="77777777" w:rsidR="00B46CCE" w:rsidRDefault="00B46CCE">
          <w:pPr>
            <w:pStyle w:val="TDC2"/>
            <w:tabs>
              <w:tab w:val="right" w:leader="dot" w:pos="9350"/>
            </w:tabs>
            <w:rPr>
              <w:noProof/>
            </w:rPr>
          </w:pPr>
          <w:hyperlink w:anchor="_Toc232941881" w:history="1">
            <w:r w:rsidRPr="009B1F2C">
              <w:rPr>
                <w:rStyle w:val="Hipervnculo"/>
                <w:noProof/>
              </w:rPr>
              <w:t>14.3 Refinación: la hegemonía de Peñoles desde los años noventa</w:t>
            </w:r>
            <w:r>
              <w:rPr>
                <w:noProof/>
              </w:rPr>
              <w:tab/>
            </w:r>
            <w:r>
              <w:rPr>
                <w:noProof/>
              </w:rPr>
              <w:fldChar w:fldCharType="begin"/>
            </w:r>
            <w:r>
              <w:rPr>
                <w:noProof/>
              </w:rPr>
              <w:instrText xml:space="preserve"> PAGEREF _Toc232941881 \h </w:instrText>
            </w:r>
            <w:r>
              <w:rPr>
                <w:noProof/>
              </w:rPr>
            </w:r>
            <w:r>
              <w:rPr>
                <w:noProof/>
              </w:rPr>
              <w:fldChar w:fldCharType="separate"/>
            </w:r>
            <w:r>
              <w:rPr>
                <w:noProof/>
              </w:rPr>
              <w:t>38</w:t>
            </w:r>
            <w:r>
              <w:rPr>
                <w:noProof/>
              </w:rPr>
              <w:fldChar w:fldCharType="end"/>
            </w:r>
          </w:hyperlink>
        </w:p>
        <w:p w14:paraId="5F828628" w14:textId="77777777" w:rsidR="00B46CCE" w:rsidRDefault="00B46CCE">
          <w:pPr>
            <w:pStyle w:val="TDC2"/>
            <w:tabs>
              <w:tab w:val="right" w:leader="dot" w:pos="9350"/>
            </w:tabs>
            <w:rPr>
              <w:noProof/>
            </w:rPr>
          </w:pPr>
          <w:hyperlink w:anchor="_Toc232941882" w:history="1">
            <w:r w:rsidRPr="009B1F2C">
              <w:rPr>
                <w:rStyle w:val="Hipervnculo"/>
                <w:noProof/>
              </w:rPr>
              <w:t>14.4 Destino de la producción: mayoritariamente exportador, con Asia como comprador creciente</w:t>
            </w:r>
            <w:r>
              <w:rPr>
                <w:noProof/>
              </w:rPr>
              <w:tab/>
            </w:r>
            <w:r>
              <w:rPr>
                <w:noProof/>
              </w:rPr>
              <w:fldChar w:fldCharType="begin"/>
            </w:r>
            <w:r>
              <w:rPr>
                <w:noProof/>
              </w:rPr>
              <w:instrText xml:space="preserve"> PAGEREF _Toc232941882 \h </w:instrText>
            </w:r>
            <w:r>
              <w:rPr>
                <w:noProof/>
              </w:rPr>
            </w:r>
            <w:r>
              <w:rPr>
                <w:noProof/>
              </w:rPr>
              <w:fldChar w:fldCharType="separate"/>
            </w:r>
            <w:r>
              <w:rPr>
                <w:noProof/>
              </w:rPr>
              <w:t>39</w:t>
            </w:r>
            <w:r>
              <w:rPr>
                <w:noProof/>
              </w:rPr>
              <w:fldChar w:fldCharType="end"/>
            </w:r>
          </w:hyperlink>
        </w:p>
        <w:p w14:paraId="2D618399" w14:textId="77777777" w:rsidR="00B46CCE" w:rsidRDefault="00B46CCE">
          <w:pPr>
            <w:pStyle w:val="TDC2"/>
            <w:tabs>
              <w:tab w:val="right" w:leader="dot" w:pos="9350"/>
            </w:tabs>
            <w:rPr>
              <w:noProof/>
            </w:rPr>
          </w:pPr>
          <w:hyperlink w:anchor="_Toc232941883" w:history="1">
            <w:r w:rsidRPr="009B1F2C">
              <w:rPr>
                <w:rStyle w:val="Hipervnculo"/>
                <w:noProof/>
              </w:rPr>
              <w:t>14.5 Impacto de la reforma a la Ley Minera de 2023</w:t>
            </w:r>
            <w:r>
              <w:rPr>
                <w:noProof/>
              </w:rPr>
              <w:tab/>
            </w:r>
            <w:r>
              <w:rPr>
                <w:noProof/>
              </w:rPr>
              <w:fldChar w:fldCharType="begin"/>
            </w:r>
            <w:r>
              <w:rPr>
                <w:noProof/>
              </w:rPr>
              <w:instrText xml:space="preserve"> PAGEREF _Toc232941883 \h </w:instrText>
            </w:r>
            <w:r>
              <w:rPr>
                <w:noProof/>
              </w:rPr>
            </w:r>
            <w:r>
              <w:rPr>
                <w:noProof/>
              </w:rPr>
              <w:fldChar w:fldCharType="separate"/>
            </w:r>
            <w:r>
              <w:rPr>
                <w:noProof/>
              </w:rPr>
              <w:t>39</w:t>
            </w:r>
            <w:r>
              <w:rPr>
                <w:noProof/>
              </w:rPr>
              <w:fldChar w:fldCharType="end"/>
            </w:r>
          </w:hyperlink>
        </w:p>
        <w:p w14:paraId="110260F9" w14:textId="77777777" w:rsidR="00B46CCE" w:rsidRDefault="00B46CCE">
          <w:pPr>
            <w:pStyle w:val="TDC1"/>
            <w:tabs>
              <w:tab w:val="right" w:leader="dot" w:pos="9350"/>
            </w:tabs>
            <w:rPr>
              <w:noProof/>
            </w:rPr>
          </w:pPr>
          <w:hyperlink w:anchor="_Toc232941884" w:history="1">
            <w:r w:rsidRPr="009B1F2C">
              <w:rPr>
                <w:rStyle w:val="Hipervnculo"/>
                <w:noProof/>
              </w:rPr>
              <w:t>15. Síntesis comparativa: el espectro de concentración 1993-2025</w:t>
            </w:r>
            <w:r>
              <w:rPr>
                <w:noProof/>
              </w:rPr>
              <w:tab/>
            </w:r>
            <w:r>
              <w:rPr>
                <w:noProof/>
              </w:rPr>
              <w:fldChar w:fldCharType="begin"/>
            </w:r>
            <w:r>
              <w:rPr>
                <w:noProof/>
              </w:rPr>
              <w:instrText xml:space="preserve"> PAGEREF _Toc232941884 \h </w:instrText>
            </w:r>
            <w:r>
              <w:rPr>
                <w:noProof/>
              </w:rPr>
            </w:r>
            <w:r>
              <w:rPr>
                <w:noProof/>
              </w:rPr>
              <w:fldChar w:fldCharType="separate"/>
            </w:r>
            <w:r>
              <w:rPr>
                <w:noProof/>
              </w:rPr>
              <w:t>41</w:t>
            </w:r>
            <w:r>
              <w:rPr>
                <w:noProof/>
              </w:rPr>
              <w:fldChar w:fldCharType="end"/>
            </w:r>
          </w:hyperlink>
        </w:p>
        <w:p w14:paraId="234EE283" w14:textId="77777777" w:rsidR="00B46CCE" w:rsidRDefault="00B46CCE">
          <w:pPr>
            <w:pStyle w:val="TDC2"/>
            <w:tabs>
              <w:tab w:val="right" w:leader="dot" w:pos="9350"/>
            </w:tabs>
            <w:rPr>
              <w:noProof/>
            </w:rPr>
          </w:pPr>
          <w:hyperlink w:anchor="_Toc232941885" w:history="1">
            <w:r w:rsidRPr="009B1F2C">
              <w:rPr>
                <w:rStyle w:val="Hipervnculo"/>
                <w:noProof/>
              </w:rPr>
              <w:t>15.1 Tres patrones distintos de concentración</w:t>
            </w:r>
            <w:r>
              <w:rPr>
                <w:noProof/>
              </w:rPr>
              <w:tab/>
            </w:r>
            <w:r>
              <w:rPr>
                <w:noProof/>
              </w:rPr>
              <w:fldChar w:fldCharType="begin"/>
            </w:r>
            <w:r>
              <w:rPr>
                <w:noProof/>
              </w:rPr>
              <w:instrText xml:space="preserve"> PAGEREF _Toc232941885 \h </w:instrText>
            </w:r>
            <w:r>
              <w:rPr>
                <w:noProof/>
              </w:rPr>
            </w:r>
            <w:r>
              <w:rPr>
                <w:noProof/>
              </w:rPr>
              <w:fldChar w:fldCharType="separate"/>
            </w:r>
            <w:r>
              <w:rPr>
                <w:noProof/>
              </w:rPr>
              <w:t>41</w:t>
            </w:r>
            <w:r>
              <w:rPr>
                <w:noProof/>
              </w:rPr>
              <w:fldChar w:fldCharType="end"/>
            </w:r>
          </w:hyperlink>
        </w:p>
        <w:p w14:paraId="24547BF5" w14:textId="77777777" w:rsidR="00B46CCE" w:rsidRDefault="00B46CCE">
          <w:pPr>
            <w:pStyle w:val="TDC2"/>
            <w:tabs>
              <w:tab w:val="right" w:leader="dot" w:pos="9350"/>
            </w:tabs>
            <w:rPr>
              <w:noProof/>
            </w:rPr>
          </w:pPr>
          <w:hyperlink w:anchor="_Toc232941886" w:history="1">
            <w:r w:rsidRPr="009B1F2C">
              <w:rPr>
                <w:rStyle w:val="Hipervnculo"/>
                <w:noProof/>
              </w:rPr>
              <w:t>15.2 Destino de la producción: un segundo eje de comparación</w:t>
            </w:r>
            <w:r>
              <w:rPr>
                <w:noProof/>
              </w:rPr>
              <w:tab/>
            </w:r>
            <w:r>
              <w:rPr>
                <w:noProof/>
              </w:rPr>
              <w:fldChar w:fldCharType="begin"/>
            </w:r>
            <w:r>
              <w:rPr>
                <w:noProof/>
              </w:rPr>
              <w:instrText xml:space="preserve"> PAGEREF _Toc232941886 \h </w:instrText>
            </w:r>
            <w:r>
              <w:rPr>
                <w:noProof/>
              </w:rPr>
            </w:r>
            <w:r>
              <w:rPr>
                <w:noProof/>
              </w:rPr>
              <w:fldChar w:fldCharType="separate"/>
            </w:r>
            <w:r>
              <w:rPr>
                <w:noProof/>
              </w:rPr>
              <w:t>42</w:t>
            </w:r>
            <w:r>
              <w:rPr>
                <w:noProof/>
              </w:rPr>
              <w:fldChar w:fldCharType="end"/>
            </w:r>
          </w:hyperlink>
        </w:p>
        <w:p w14:paraId="58241A9A" w14:textId="77777777" w:rsidR="00B46CCE" w:rsidRDefault="00B46CCE">
          <w:pPr>
            <w:pStyle w:val="TDC2"/>
            <w:tabs>
              <w:tab w:val="right" w:leader="dot" w:pos="9350"/>
            </w:tabs>
            <w:rPr>
              <w:noProof/>
            </w:rPr>
          </w:pPr>
          <w:hyperlink w:anchor="_Toc232941887" w:history="1">
            <w:r w:rsidRPr="009B1F2C">
              <w:rPr>
                <w:rStyle w:val="Hipervnculo"/>
                <w:noProof/>
              </w:rPr>
              <w:t>15.3 El periodo reciente (2023-2025): reforma legal sin ruptura de la concentración</w:t>
            </w:r>
            <w:r>
              <w:rPr>
                <w:noProof/>
              </w:rPr>
              <w:tab/>
            </w:r>
            <w:r>
              <w:rPr>
                <w:noProof/>
              </w:rPr>
              <w:fldChar w:fldCharType="begin"/>
            </w:r>
            <w:r>
              <w:rPr>
                <w:noProof/>
              </w:rPr>
              <w:instrText xml:space="preserve"> PAGEREF _Toc232941887 \h </w:instrText>
            </w:r>
            <w:r>
              <w:rPr>
                <w:noProof/>
              </w:rPr>
            </w:r>
            <w:r>
              <w:rPr>
                <w:noProof/>
              </w:rPr>
              <w:fldChar w:fldCharType="separate"/>
            </w:r>
            <w:r>
              <w:rPr>
                <w:noProof/>
              </w:rPr>
              <w:t>43</w:t>
            </w:r>
            <w:r>
              <w:rPr>
                <w:noProof/>
              </w:rPr>
              <w:fldChar w:fldCharType="end"/>
            </w:r>
          </w:hyperlink>
        </w:p>
        <w:p w14:paraId="7C1D736A" w14:textId="77777777" w:rsidR="00B46CCE" w:rsidRDefault="00B46CCE">
          <w:pPr>
            <w:pStyle w:val="TDC1"/>
            <w:tabs>
              <w:tab w:val="right" w:leader="dot" w:pos="9350"/>
            </w:tabs>
            <w:rPr>
              <w:noProof/>
            </w:rPr>
          </w:pPr>
          <w:hyperlink w:anchor="_Toc232941888" w:history="1">
            <w:r w:rsidRPr="009B1F2C">
              <w:rPr>
                <w:rStyle w:val="Hipervnculo"/>
                <w:noProof/>
              </w:rPr>
              <w:t>16. Anexo. Estructura empresarial en cuatro cortes temporales: 1990, 2000, 2010 y 2020</w:t>
            </w:r>
            <w:r>
              <w:rPr>
                <w:noProof/>
              </w:rPr>
              <w:tab/>
            </w:r>
            <w:r>
              <w:rPr>
                <w:noProof/>
              </w:rPr>
              <w:fldChar w:fldCharType="begin"/>
            </w:r>
            <w:r>
              <w:rPr>
                <w:noProof/>
              </w:rPr>
              <w:instrText xml:space="preserve"> PAGEREF _Toc232941888 \h </w:instrText>
            </w:r>
            <w:r>
              <w:rPr>
                <w:noProof/>
              </w:rPr>
            </w:r>
            <w:r>
              <w:rPr>
                <w:noProof/>
              </w:rPr>
              <w:fldChar w:fldCharType="separate"/>
            </w:r>
            <w:r>
              <w:rPr>
                <w:noProof/>
              </w:rPr>
              <w:t>44</w:t>
            </w:r>
            <w:r>
              <w:rPr>
                <w:noProof/>
              </w:rPr>
              <w:fldChar w:fldCharType="end"/>
            </w:r>
          </w:hyperlink>
        </w:p>
        <w:p w14:paraId="10E191D0" w14:textId="77777777" w:rsidR="00B46CCE" w:rsidRDefault="00B46CCE">
          <w:pPr>
            <w:pStyle w:val="TDC2"/>
            <w:tabs>
              <w:tab w:val="right" w:leader="dot" w:pos="9350"/>
            </w:tabs>
            <w:rPr>
              <w:noProof/>
            </w:rPr>
          </w:pPr>
          <w:hyperlink w:anchor="_Toc232941889" w:history="1">
            <w:r w:rsidRPr="009B1F2C">
              <w:rPr>
                <w:rStyle w:val="Hipervnculo"/>
                <w:noProof/>
              </w:rPr>
              <w:t>16.1 Cobre</w:t>
            </w:r>
            <w:r>
              <w:rPr>
                <w:noProof/>
              </w:rPr>
              <w:tab/>
            </w:r>
            <w:r>
              <w:rPr>
                <w:noProof/>
              </w:rPr>
              <w:fldChar w:fldCharType="begin"/>
            </w:r>
            <w:r>
              <w:rPr>
                <w:noProof/>
              </w:rPr>
              <w:instrText xml:space="preserve"> PAGEREF _Toc232941889 \h </w:instrText>
            </w:r>
            <w:r>
              <w:rPr>
                <w:noProof/>
              </w:rPr>
            </w:r>
            <w:r>
              <w:rPr>
                <w:noProof/>
              </w:rPr>
              <w:fldChar w:fldCharType="separate"/>
            </w:r>
            <w:r>
              <w:rPr>
                <w:noProof/>
              </w:rPr>
              <w:t>44</w:t>
            </w:r>
            <w:r>
              <w:rPr>
                <w:noProof/>
              </w:rPr>
              <w:fldChar w:fldCharType="end"/>
            </w:r>
          </w:hyperlink>
        </w:p>
        <w:p w14:paraId="38A3860B" w14:textId="77777777" w:rsidR="00B46CCE" w:rsidRDefault="00B46CCE">
          <w:pPr>
            <w:pStyle w:val="TDC2"/>
            <w:tabs>
              <w:tab w:val="right" w:leader="dot" w:pos="9350"/>
            </w:tabs>
            <w:rPr>
              <w:noProof/>
            </w:rPr>
          </w:pPr>
          <w:hyperlink w:anchor="_Toc232941890" w:history="1">
            <w:r w:rsidRPr="009B1F2C">
              <w:rPr>
                <w:rStyle w:val="Hipervnculo"/>
                <w:noProof/>
              </w:rPr>
              <w:t>16.2 Plata</w:t>
            </w:r>
            <w:r>
              <w:rPr>
                <w:noProof/>
              </w:rPr>
              <w:tab/>
            </w:r>
            <w:r>
              <w:rPr>
                <w:noProof/>
              </w:rPr>
              <w:fldChar w:fldCharType="begin"/>
            </w:r>
            <w:r>
              <w:rPr>
                <w:noProof/>
              </w:rPr>
              <w:instrText xml:space="preserve"> PAGEREF _Toc232941890 \h </w:instrText>
            </w:r>
            <w:r>
              <w:rPr>
                <w:noProof/>
              </w:rPr>
            </w:r>
            <w:r>
              <w:rPr>
                <w:noProof/>
              </w:rPr>
              <w:fldChar w:fldCharType="separate"/>
            </w:r>
            <w:r>
              <w:rPr>
                <w:noProof/>
              </w:rPr>
              <w:t>44</w:t>
            </w:r>
            <w:r>
              <w:rPr>
                <w:noProof/>
              </w:rPr>
              <w:fldChar w:fldCharType="end"/>
            </w:r>
          </w:hyperlink>
        </w:p>
        <w:p w14:paraId="745A37A6" w14:textId="77777777" w:rsidR="00B46CCE" w:rsidRDefault="00B46CCE">
          <w:pPr>
            <w:pStyle w:val="TDC2"/>
            <w:tabs>
              <w:tab w:val="right" w:leader="dot" w:pos="9350"/>
            </w:tabs>
            <w:rPr>
              <w:noProof/>
            </w:rPr>
          </w:pPr>
          <w:hyperlink w:anchor="_Toc232941891" w:history="1">
            <w:r w:rsidRPr="009B1F2C">
              <w:rPr>
                <w:rStyle w:val="Hipervnculo"/>
                <w:noProof/>
              </w:rPr>
              <w:t>16.3 Oro</w:t>
            </w:r>
            <w:r>
              <w:rPr>
                <w:noProof/>
              </w:rPr>
              <w:tab/>
            </w:r>
            <w:r>
              <w:rPr>
                <w:noProof/>
              </w:rPr>
              <w:fldChar w:fldCharType="begin"/>
            </w:r>
            <w:r>
              <w:rPr>
                <w:noProof/>
              </w:rPr>
              <w:instrText xml:space="preserve"> PAGEREF _Toc232941891 \h </w:instrText>
            </w:r>
            <w:r>
              <w:rPr>
                <w:noProof/>
              </w:rPr>
            </w:r>
            <w:r>
              <w:rPr>
                <w:noProof/>
              </w:rPr>
              <w:fldChar w:fldCharType="separate"/>
            </w:r>
            <w:r>
              <w:rPr>
                <w:noProof/>
              </w:rPr>
              <w:t>44</w:t>
            </w:r>
            <w:r>
              <w:rPr>
                <w:noProof/>
              </w:rPr>
              <w:fldChar w:fldCharType="end"/>
            </w:r>
          </w:hyperlink>
        </w:p>
        <w:p w14:paraId="4415CB79" w14:textId="77777777" w:rsidR="00B46CCE" w:rsidRDefault="00B46CCE">
          <w:pPr>
            <w:pStyle w:val="TDC2"/>
            <w:tabs>
              <w:tab w:val="right" w:leader="dot" w:pos="9350"/>
            </w:tabs>
            <w:rPr>
              <w:noProof/>
            </w:rPr>
          </w:pPr>
          <w:hyperlink w:anchor="_Toc232941892" w:history="1">
            <w:r w:rsidRPr="009B1F2C">
              <w:rPr>
                <w:rStyle w:val="Hipervnculo"/>
                <w:noProof/>
              </w:rPr>
              <w:t>16.4 Zinc</w:t>
            </w:r>
            <w:r>
              <w:rPr>
                <w:noProof/>
              </w:rPr>
              <w:tab/>
            </w:r>
            <w:r>
              <w:rPr>
                <w:noProof/>
              </w:rPr>
              <w:fldChar w:fldCharType="begin"/>
            </w:r>
            <w:r>
              <w:rPr>
                <w:noProof/>
              </w:rPr>
              <w:instrText xml:space="preserve"> PAGEREF _Toc232941892 \h </w:instrText>
            </w:r>
            <w:r>
              <w:rPr>
                <w:noProof/>
              </w:rPr>
            </w:r>
            <w:r>
              <w:rPr>
                <w:noProof/>
              </w:rPr>
              <w:fldChar w:fldCharType="separate"/>
            </w:r>
            <w:r>
              <w:rPr>
                <w:noProof/>
              </w:rPr>
              <w:t>45</w:t>
            </w:r>
            <w:r>
              <w:rPr>
                <w:noProof/>
              </w:rPr>
              <w:fldChar w:fldCharType="end"/>
            </w:r>
          </w:hyperlink>
        </w:p>
        <w:p w14:paraId="132BB7A7" w14:textId="77777777" w:rsidR="00B46CCE" w:rsidRDefault="00B46CCE">
          <w:pPr>
            <w:pStyle w:val="TDC2"/>
            <w:tabs>
              <w:tab w:val="right" w:leader="dot" w:pos="9350"/>
            </w:tabs>
            <w:rPr>
              <w:noProof/>
            </w:rPr>
          </w:pPr>
          <w:hyperlink w:anchor="_Toc232941893" w:history="1">
            <w:r w:rsidRPr="009B1F2C">
              <w:rPr>
                <w:rStyle w:val="Hipervnculo"/>
                <w:noProof/>
              </w:rPr>
              <w:t>16.5 Plomo</w:t>
            </w:r>
            <w:r>
              <w:rPr>
                <w:noProof/>
              </w:rPr>
              <w:tab/>
            </w:r>
            <w:r>
              <w:rPr>
                <w:noProof/>
              </w:rPr>
              <w:fldChar w:fldCharType="begin"/>
            </w:r>
            <w:r>
              <w:rPr>
                <w:noProof/>
              </w:rPr>
              <w:instrText xml:space="preserve"> PAGEREF _Toc232941893 \h </w:instrText>
            </w:r>
            <w:r>
              <w:rPr>
                <w:noProof/>
              </w:rPr>
            </w:r>
            <w:r>
              <w:rPr>
                <w:noProof/>
              </w:rPr>
              <w:fldChar w:fldCharType="separate"/>
            </w:r>
            <w:r>
              <w:rPr>
                <w:noProof/>
              </w:rPr>
              <w:t>45</w:t>
            </w:r>
            <w:r>
              <w:rPr>
                <w:noProof/>
              </w:rPr>
              <w:fldChar w:fldCharType="end"/>
            </w:r>
          </w:hyperlink>
        </w:p>
        <w:p w14:paraId="0F313B37" w14:textId="77777777" w:rsidR="00B46CCE" w:rsidRDefault="00B46CCE">
          <w:pPr>
            <w:pStyle w:val="TDC2"/>
            <w:tabs>
              <w:tab w:val="right" w:leader="dot" w:pos="9350"/>
            </w:tabs>
            <w:rPr>
              <w:noProof/>
            </w:rPr>
          </w:pPr>
          <w:hyperlink w:anchor="_Toc232941894" w:history="1">
            <w:r w:rsidRPr="009B1F2C">
              <w:rPr>
                <w:rStyle w:val="Hipervnculo"/>
                <w:noProof/>
              </w:rPr>
              <w:t>16.6 Manganeso</w:t>
            </w:r>
            <w:r>
              <w:rPr>
                <w:noProof/>
              </w:rPr>
              <w:tab/>
            </w:r>
            <w:r>
              <w:rPr>
                <w:noProof/>
              </w:rPr>
              <w:fldChar w:fldCharType="begin"/>
            </w:r>
            <w:r>
              <w:rPr>
                <w:noProof/>
              </w:rPr>
              <w:instrText xml:space="preserve"> PAGEREF _Toc232941894 \h </w:instrText>
            </w:r>
            <w:r>
              <w:rPr>
                <w:noProof/>
              </w:rPr>
            </w:r>
            <w:r>
              <w:rPr>
                <w:noProof/>
              </w:rPr>
              <w:fldChar w:fldCharType="separate"/>
            </w:r>
            <w:r>
              <w:rPr>
                <w:noProof/>
              </w:rPr>
              <w:t>45</w:t>
            </w:r>
            <w:r>
              <w:rPr>
                <w:noProof/>
              </w:rPr>
              <w:fldChar w:fldCharType="end"/>
            </w:r>
          </w:hyperlink>
        </w:p>
        <w:p w14:paraId="6EB973A3" w14:textId="77777777" w:rsidR="00B46CCE" w:rsidRDefault="00B46CCE">
          <w:pPr>
            <w:pStyle w:val="TDC2"/>
            <w:tabs>
              <w:tab w:val="right" w:leader="dot" w:pos="9350"/>
            </w:tabs>
            <w:rPr>
              <w:noProof/>
            </w:rPr>
          </w:pPr>
          <w:hyperlink w:anchor="_Toc232941895" w:history="1">
            <w:r w:rsidRPr="009B1F2C">
              <w:rPr>
                <w:rStyle w:val="Hipervnculo"/>
                <w:noProof/>
              </w:rPr>
              <w:t>16.7 Fluorita</w:t>
            </w:r>
            <w:r>
              <w:rPr>
                <w:noProof/>
              </w:rPr>
              <w:tab/>
            </w:r>
            <w:r>
              <w:rPr>
                <w:noProof/>
              </w:rPr>
              <w:fldChar w:fldCharType="begin"/>
            </w:r>
            <w:r>
              <w:rPr>
                <w:noProof/>
              </w:rPr>
              <w:instrText xml:space="preserve"> PAGEREF _Toc232941895 \h </w:instrText>
            </w:r>
            <w:r>
              <w:rPr>
                <w:noProof/>
              </w:rPr>
            </w:r>
            <w:r>
              <w:rPr>
                <w:noProof/>
              </w:rPr>
              <w:fldChar w:fldCharType="separate"/>
            </w:r>
            <w:r>
              <w:rPr>
                <w:noProof/>
              </w:rPr>
              <w:t>45</w:t>
            </w:r>
            <w:r>
              <w:rPr>
                <w:noProof/>
              </w:rPr>
              <w:fldChar w:fldCharType="end"/>
            </w:r>
          </w:hyperlink>
        </w:p>
        <w:p w14:paraId="5B961911" w14:textId="77777777" w:rsidR="00B46CCE" w:rsidRDefault="00B46CCE">
          <w:pPr>
            <w:pStyle w:val="TDC2"/>
            <w:tabs>
              <w:tab w:val="right" w:leader="dot" w:pos="9350"/>
            </w:tabs>
            <w:rPr>
              <w:noProof/>
            </w:rPr>
          </w:pPr>
          <w:hyperlink w:anchor="_Toc232941896" w:history="1">
            <w:r w:rsidRPr="009B1F2C">
              <w:rPr>
                <w:rStyle w:val="Hipervnculo"/>
                <w:noProof/>
              </w:rPr>
              <w:t>16.8 Barita</w:t>
            </w:r>
            <w:r>
              <w:rPr>
                <w:noProof/>
              </w:rPr>
              <w:tab/>
            </w:r>
            <w:r>
              <w:rPr>
                <w:noProof/>
              </w:rPr>
              <w:fldChar w:fldCharType="begin"/>
            </w:r>
            <w:r>
              <w:rPr>
                <w:noProof/>
              </w:rPr>
              <w:instrText xml:space="preserve"> PAGEREF _Toc232941896 \h </w:instrText>
            </w:r>
            <w:r>
              <w:rPr>
                <w:noProof/>
              </w:rPr>
            </w:r>
            <w:r>
              <w:rPr>
                <w:noProof/>
              </w:rPr>
              <w:fldChar w:fldCharType="separate"/>
            </w:r>
            <w:r>
              <w:rPr>
                <w:noProof/>
              </w:rPr>
              <w:t>46</w:t>
            </w:r>
            <w:r>
              <w:rPr>
                <w:noProof/>
              </w:rPr>
              <w:fldChar w:fldCharType="end"/>
            </w:r>
          </w:hyperlink>
        </w:p>
        <w:p w14:paraId="284C8DE6" w14:textId="77777777" w:rsidR="00B46CCE" w:rsidRDefault="00B46CCE">
          <w:pPr>
            <w:pStyle w:val="TDC2"/>
            <w:tabs>
              <w:tab w:val="right" w:leader="dot" w:pos="9350"/>
            </w:tabs>
            <w:rPr>
              <w:noProof/>
            </w:rPr>
          </w:pPr>
          <w:hyperlink w:anchor="_Toc232941897" w:history="1">
            <w:r w:rsidRPr="009B1F2C">
              <w:rPr>
                <w:rStyle w:val="Hipervnculo"/>
                <w:noProof/>
              </w:rPr>
              <w:t>16.9 Grafito</w:t>
            </w:r>
            <w:r>
              <w:rPr>
                <w:noProof/>
              </w:rPr>
              <w:tab/>
            </w:r>
            <w:r>
              <w:rPr>
                <w:noProof/>
              </w:rPr>
              <w:fldChar w:fldCharType="begin"/>
            </w:r>
            <w:r>
              <w:rPr>
                <w:noProof/>
              </w:rPr>
              <w:instrText xml:space="preserve"> PAGEREF _Toc232941897 \h </w:instrText>
            </w:r>
            <w:r>
              <w:rPr>
                <w:noProof/>
              </w:rPr>
            </w:r>
            <w:r>
              <w:rPr>
                <w:noProof/>
              </w:rPr>
              <w:fldChar w:fldCharType="separate"/>
            </w:r>
            <w:r>
              <w:rPr>
                <w:noProof/>
              </w:rPr>
              <w:t>46</w:t>
            </w:r>
            <w:r>
              <w:rPr>
                <w:noProof/>
              </w:rPr>
              <w:fldChar w:fldCharType="end"/>
            </w:r>
          </w:hyperlink>
        </w:p>
        <w:p w14:paraId="1BEC798A" w14:textId="77777777" w:rsidR="00B46CCE" w:rsidRDefault="00B46CCE">
          <w:pPr>
            <w:pStyle w:val="TDC2"/>
            <w:tabs>
              <w:tab w:val="right" w:leader="dot" w:pos="9350"/>
            </w:tabs>
            <w:rPr>
              <w:noProof/>
            </w:rPr>
          </w:pPr>
          <w:hyperlink w:anchor="_Toc232941898" w:history="1">
            <w:r w:rsidRPr="009B1F2C">
              <w:rPr>
                <w:rStyle w:val="Hipervnculo"/>
                <w:noProof/>
              </w:rPr>
              <w:t>16.10 Sílice</w:t>
            </w:r>
            <w:r>
              <w:rPr>
                <w:noProof/>
              </w:rPr>
              <w:tab/>
            </w:r>
            <w:r>
              <w:rPr>
                <w:noProof/>
              </w:rPr>
              <w:fldChar w:fldCharType="begin"/>
            </w:r>
            <w:r>
              <w:rPr>
                <w:noProof/>
              </w:rPr>
              <w:instrText xml:space="preserve"> PAGEREF _Toc232941898 \h </w:instrText>
            </w:r>
            <w:r>
              <w:rPr>
                <w:noProof/>
              </w:rPr>
            </w:r>
            <w:r>
              <w:rPr>
                <w:noProof/>
              </w:rPr>
              <w:fldChar w:fldCharType="separate"/>
            </w:r>
            <w:r>
              <w:rPr>
                <w:noProof/>
              </w:rPr>
              <w:t>46</w:t>
            </w:r>
            <w:r>
              <w:rPr>
                <w:noProof/>
              </w:rPr>
              <w:fldChar w:fldCharType="end"/>
            </w:r>
          </w:hyperlink>
        </w:p>
        <w:p w14:paraId="59FF5376" w14:textId="77777777" w:rsidR="00B46CCE" w:rsidRDefault="00B46CCE">
          <w:pPr>
            <w:pStyle w:val="TDC1"/>
            <w:tabs>
              <w:tab w:val="right" w:leader="dot" w:pos="9350"/>
            </w:tabs>
            <w:rPr>
              <w:noProof/>
            </w:rPr>
          </w:pPr>
          <w:hyperlink w:anchor="_Toc232941899" w:history="1">
            <w:r w:rsidRPr="009B1F2C">
              <w:rPr>
                <w:rStyle w:val="Hipervnculo"/>
                <w:noProof/>
              </w:rPr>
              <w:t>17. Nota final y recomendaciones de consulta</w:t>
            </w:r>
            <w:r>
              <w:rPr>
                <w:noProof/>
              </w:rPr>
              <w:tab/>
            </w:r>
            <w:r>
              <w:rPr>
                <w:noProof/>
              </w:rPr>
              <w:fldChar w:fldCharType="begin"/>
            </w:r>
            <w:r>
              <w:rPr>
                <w:noProof/>
              </w:rPr>
              <w:instrText xml:space="preserve"> PAGEREF _Toc232941899 \h </w:instrText>
            </w:r>
            <w:r>
              <w:rPr>
                <w:noProof/>
              </w:rPr>
            </w:r>
            <w:r>
              <w:rPr>
                <w:noProof/>
              </w:rPr>
              <w:fldChar w:fldCharType="separate"/>
            </w:r>
            <w:r>
              <w:rPr>
                <w:noProof/>
              </w:rPr>
              <w:t>48</w:t>
            </w:r>
            <w:r>
              <w:rPr>
                <w:noProof/>
              </w:rPr>
              <w:fldChar w:fldCharType="end"/>
            </w:r>
          </w:hyperlink>
        </w:p>
        <w:p w14:paraId="3331B5C7" w14:textId="77777777" w:rsidR="00B46CCE" w:rsidRDefault="00B46CCE">
          <w:pPr>
            <w:pStyle w:val="TDC1"/>
            <w:tabs>
              <w:tab w:val="right" w:leader="dot" w:pos="9350"/>
            </w:tabs>
            <w:rPr>
              <w:noProof/>
            </w:rPr>
          </w:pPr>
          <w:hyperlink w:anchor="_Toc232941900" w:history="1">
            <w:r w:rsidRPr="009B1F2C">
              <w:rPr>
                <w:rStyle w:val="Hipervnculo"/>
                <w:noProof/>
              </w:rPr>
              <w:t>18. Referencias</w:t>
            </w:r>
            <w:r>
              <w:rPr>
                <w:noProof/>
              </w:rPr>
              <w:tab/>
            </w:r>
            <w:r>
              <w:rPr>
                <w:noProof/>
              </w:rPr>
              <w:fldChar w:fldCharType="begin"/>
            </w:r>
            <w:r>
              <w:rPr>
                <w:noProof/>
              </w:rPr>
              <w:instrText xml:space="preserve"> PAGEREF _Toc232941900 \h </w:instrText>
            </w:r>
            <w:r>
              <w:rPr>
                <w:noProof/>
              </w:rPr>
            </w:r>
            <w:r>
              <w:rPr>
                <w:noProof/>
              </w:rPr>
              <w:fldChar w:fldCharType="separate"/>
            </w:r>
            <w:r>
              <w:rPr>
                <w:noProof/>
              </w:rPr>
              <w:t>49</w:t>
            </w:r>
            <w:r>
              <w:rPr>
                <w:noProof/>
              </w:rPr>
              <w:fldChar w:fldCharType="end"/>
            </w:r>
          </w:hyperlink>
        </w:p>
        <w:p w14:paraId="151759F4" w14:textId="77777777" w:rsidR="002425BC" w:rsidRDefault="00000000">
          <w:r>
            <w:fldChar w:fldCharType="end"/>
          </w:r>
        </w:p>
      </w:sdtContent>
    </w:sdt>
    <w:p w14:paraId="3BE2A422" w14:textId="77777777" w:rsidR="002425BC" w:rsidRDefault="00000000">
      <w:pPr>
        <w:pStyle w:val="Ttulo1"/>
        <w:pageBreakBefore/>
        <w:pBdr>
          <w:bottom w:val="single" w:sz="8" w:space="4" w:color="1F3B5C"/>
        </w:pBdr>
      </w:pPr>
      <w:bookmarkStart w:id="1" w:name="_Toc232941803"/>
      <w:r>
        <w:lastRenderedPageBreak/>
        <w:t>1. Introducción y nota metodológica</w:t>
      </w:r>
      <w:bookmarkEnd w:id="1"/>
    </w:p>
    <w:p w14:paraId="00BF7290" w14:textId="77777777" w:rsidR="002425BC" w:rsidRDefault="00000000">
      <w:pPr>
        <w:spacing w:after="160" w:line="276" w:lineRule="auto"/>
        <w:jc w:val="both"/>
      </w:pPr>
      <w:r>
        <w:t>Este informe reconstruye, para diez minerales producidos en México (cobre, plata, oro, zinc, plomo, manganeso, fluorita, barita, grafito y sílice), la evolución de la estructura empresarial de su extracción entre 1993 y 2024-2025. El énfasis está puesto en la concentración del mercado: qué empresas han dominado la producción de cada mineral —tanto en la fase de extracción como, cuando la información lo permite, en la de refinación—, qué porcentaje aproximado de mercado corresponde a cada una, cómo se formó ese dominio, y qué cambios recientes —incluida la reforma a la Ley Minera de 2023— han alterado o reforzado esa estructura.</w:t>
      </w:r>
    </w:p>
    <w:p w14:paraId="4B9AB95B" w14:textId="77777777" w:rsidR="002425BC" w:rsidRDefault="00000000">
      <w:pPr>
        <w:spacing w:after="160" w:line="276" w:lineRule="auto"/>
        <w:jc w:val="both"/>
      </w:pPr>
      <w:r>
        <w:t>El año 1993 no es arbitrario: coincide con el cierre del ciclo de privatización minera iniciado a fines de los años ochenta (la Compañía Minera de Cananea se privatizó en 1990, Minera Autlán en 1993) y es el año previo a la entrada en vigor del Tratado de Libre Comercio de América del Norte (TLCAN, 1994), que junto con la Ley Minera de 1992 marcó el tránsito de una minería con fuerte presencia estatal hacia una industria dominada por grandes grupos privados, primero mexicanos y después también canadienses y estadounidenses —estos últimos, en su mayoría, empresas "junior": compañías de exploración de capital reducido y alto riesgo, especializadas en descubrir y poner en producción yacimientos nuevos antes de venderlos o asociarse con operadores mayores—.</w:t>
      </w:r>
    </w:p>
    <w:p w14:paraId="09C5B6FF" w14:textId="77777777" w:rsidR="002425BC" w:rsidRDefault="00000000">
      <w:pPr>
        <w:pStyle w:val="Ttulo2"/>
      </w:pPr>
      <w:bookmarkStart w:id="2" w:name="_Toc232941804"/>
      <w:r>
        <w:t>1.1 Tres secciones de contexto antes del análisis mineral por mineral</w:t>
      </w:r>
      <w:bookmarkEnd w:id="2"/>
    </w:p>
    <w:p w14:paraId="010A18E7" w14:textId="77777777" w:rsidR="002425BC" w:rsidRDefault="00000000">
      <w:pPr>
        <w:spacing w:after="160" w:line="276" w:lineRule="auto"/>
        <w:jc w:val="both"/>
      </w:pPr>
      <w:r>
        <w:t>Antes de entrar al análisis de cada mineral, este informe añade tres secciones de contexto (capítulos 2 a 4) que no formaban parte de la primera edición: una justificación de por qué estos diez minerales —y no otros— constituyen un corpus representativo para estudiar la criticidad minera mexicana; una explicación de cómo, en la práctica geológica y empresarial, varios de estos minerales se extraen de forma conjunta —lo cual explica por qué las mismas compañías aparecen una y otra vez a lo largo del informe—; y una sección extensa sobre los factores que impulsan la demanda mundial de minerales críticos, en diálogo con el marco conceptual del Foro Intergubernamental sobre Minería, Minerales, Metales y Desarrollo Sostenible (IGF, por sus siglas en inglés).</w:t>
      </w:r>
    </w:p>
    <w:p w14:paraId="7B69F53C" w14:textId="77777777" w:rsidR="002425BC" w:rsidRDefault="00000000">
      <w:pPr>
        <w:pStyle w:val="Ttulo2"/>
      </w:pPr>
      <w:bookmarkStart w:id="3" w:name="_Toc232941805"/>
      <w:r>
        <w:t>1.2 Fuentes utilizadas</w:t>
      </w:r>
      <w:bookmarkEnd w:id="3"/>
    </w:p>
    <w:p w14:paraId="2AF1FC28" w14:textId="77777777" w:rsidR="002425BC" w:rsidRDefault="00000000">
      <w:pPr>
        <w:spacing w:after="160" w:line="276" w:lineRule="auto"/>
        <w:jc w:val="both"/>
      </w:pPr>
      <w:r>
        <w:t>La información se obtuvo de fuentes públicas y verificables, combinando estadística oficial, reportes corporativos, literatura académica y cobertura especializada. El listado completo de referencias, en formato APA, se incluye en el capítulo final del informe; cada capítulo cierra además con una nota de fuentes específica para las cifras y tablas allí presentadas. Las familias de fuentes principales son:</w:t>
      </w:r>
    </w:p>
    <w:p w14:paraId="20634534" w14:textId="77777777" w:rsidR="002425BC" w:rsidRDefault="00000000">
      <w:pPr>
        <w:pStyle w:val="Prrafodelista"/>
        <w:numPr>
          <w:ilvl w:val="0"/>
          <w:numId w:val="2"/>
        </w:numPr>
        <w:spacing w:after="80"/>
      </w:pPr>
      <w:r>
        <w:t>Cámara Minera de México (CAMIMEX) — Informes Anuales y, desde 2024, el Compendio Estadístico de la Industria Minero-Metalúrgica.</w:t>
      </w:r>
    </w:p>
    <w:p w14:paraId="1B6297FC" w14:textId="77777777" w:rsidR="002425BC" w:rsidRDefault="00000000">
      <w:pPr>
        <w:pStyle w:val="Prrafodelista"/>
        <w:numPr>
          <w:ilvl w:val="0"/>
          <w:numId w:val="2"/>
        </w:numPr>
        <w:spacing w:after="80"/>
      </w:pPr>
      <w:r>
        <w:t>Servicio Geológico Mexicano (SGM) — Anuario Estadístico de la Minería Mexicana (serie histórica) y el sistema SINEM.</w:t>
      </w:r>
    </w:p>
    <w:p w14:paraId="306D6BF3" w14:textId="77777777" w:rsidR="002425BC" w:rsidRDefault="00000000">
      <w:pPr>
        <w:pStyle w:val="Prrafodelista"/>
        <w:numPr>
          <w:ilvl w:val="0"/>
          <w:numId w:val="2"/>
        </w:numPr>
        <w:spacing w:after="80"/>
      </w:pPr>
      <w:r>
        <w:lastRenderedPageBreak/>
        <w:t>Secretaría de Economía — Perfiles de Mercado por mineral (Dirección General de Desarrollo Minero) y la plataforma DataMéxico, usada para las cifras de comercio exterior por mineral.</w:t>
      </w:r>
    </w:p>
    <w:p w14:paraId="70D3151A" w14:textId="77777777" w:rsidR="002425BC" w:rsidRDefault="00000000">
      <w:pPr>
        <w:pStyle w:val="Prrafodelista"/>
        <w:numPr>
          <w:ilvl w:val="0"/>
          <w:numId w:val="2"/>
        </w:numPr>
        <w:spacing w:after="80"/>
      </w:pPr>
      <w:r>
        <w:t>INEGI — Estadística de la Industria Minerometalúrgica (EIMM), con series mensuales y anuales por entidad federativa.</w:t>
      </w:r>
    </w:p>
    <w:p w14:paraId="6CDD7FC0" w14:textId="77777777" w:rsidR="002425BC" w:rsidRDefault="00000000">
      <w:pPr>
        <w:pStyle w:val="Prrafodelista"/>
        <w:numPr>
          <w:ilvl w:val="0"/>
          <w:numId w:val="2"/>
        </w:numPr>
        <w:spacing w:after="80"/>
      </w:pPr>
      <w:r>
        <w:t>El estudio Relevancia del sector minero mexicano en el desarrollo económico nacional (CIDE–CAMIMEX, 2025), usado como fuente principal para los encadenamientos productivos hacia adelante y hacia atrás.</w:t>
      </w:r>
    </w:p>
    <w:p w14:paraId="087AEBF4" w14:textId="77777777" w:rsidR="002425BC" w:rsidRDefault="00000000">
      <w:pPr>
        <w:pStyle w:val="Prrafodelista"/>
        <w:numPr>
          <w:ilvl w:val="0"/>
          <w:numId w:val="2"/>
        </w:numPr>
        <w:spacing w:after="80"/>
      </w:pPr>
      <w:r>
        <w:t>Reportes corporativos e históricos institucionales de Grupo México, Industrias Peñoles, Fresnillo plc, Minera Frisco, Autlán y Orbia/Koura.</w:t>
      </w:r>
    </w:p>
    <w:p w14:paraId="6EBAA536" w14:textId="77777777" w:rsidR="002425BC" w:rsidRDefault="00000000">
      <w:pPr>
        <w:pStyle w:val="Prrafodelista"/>
        <w:numPr>
          <w:ilvl w:val="0"/>
          <w:numId w:val="2"/>
        </w:numPr>
        <w:spacing w:after="80"/>
      </w:pPr>
      <w:r>
        <w:t>Literatura académica especializada sobre la concentración de capital minero en México 1982-2018 (De la Garza Pedraza et al., UNAM) y sobre la minería mexicana de fin de siglo (Sariego, Delgado Wise y Del Pozo).</w:t>
      </w:r>
    </w:p>
    <w:p w14:paraId="096103F4" w14:textId="77777777" w:rsidR="002425BC" w:rsidRDefault="00000000">
      <w:pPr>
        <w:pStyle w:val="Prrafodelista"/>
        <w:numPr>
          <w:ilvl w:val="0"/>
          <w:numId w:val="2"/>
        </w:numPr>
        <w:spacing w:after="80"/>
      </w:pPr>
      <w:r>
        <w:t>Cobertura periodística especializada (BNamericas, Mining México, Minería en Línea, El Heraldo de México, La Jornada, Expansión) para episodios recientes (2020-2026), incluida la implementación de la reforma a la Ley Minera de 2023.</w:t>
      </w:r>
    </w:p>
    <w:p w14:paraId="69E15A84" w14:textId="77777777" w:rsidR="002425BC" w:rsidRDefault="00000000">
      <w:pPr>
        <w:pStyle w:val="Prrafodelista"/>
        <w:numPr>
          <w:ilvl w:val="0"/>
          <w:numId w:val="2"/>
        </w:numPr>
        <w:spacing w:after="80"/>
      </w:pPr>
      <w:r>
        <w:t>El documento Minerales críticos: datos básicos del Foro Intergubernamental sobre Minería (IGF, 2022), usado como marco conceptual para las secciones 2 a 4.</w:t>
      </w:r>
    </w:p>
    <w:p w14:paraId="055A609C" w14:textId="77777777" w:rsidR="002425BC" w:rsidRDefault="00000000">
      <w:pPr>
        <w:pStyle w:val="Ttulo2"/>
      </w:pPr>
      <w:bookmarkStart w:id="4" w:name="_Toc232941806"/>
      <w:r>
        <w:t>1.3 Limitaciones de los datos</w:t>
      </w:r>
      <w:bookmarkEnd w:id="4"/>
    </w:p>
    <w:p w14:paraId="7738EE4D" w14:textId="77777777" w:rsidR="002425BC" w:rsidRDefault="00000000">
      <w:pPr>
        <w:spacing w:after="160" w:line="276" w:lineRule="auto"/>
        <w:jc w:val="both"/>
      </w:pPr>
      <w:r>
        <w:t>Conviene señalar tres limitaciones que afectan de forma desigual a los diez minerales analizados. Primero, la disponibilidad de cifras públicas desagregadas por empresa es mucho mayor para los metales preciosos y base (oro, plata, cobre, zinc, plomo) que para los minerales no metálicos e industriales (fluorita, barita, grafito, sílice, manganeso), donde la estadística suele reportarse a nivel estatal o nacional, no por empresa, salvo en los casos de monopolio evidente donde el SGM y la Secretaría de Economía identifican directamente al productor único. Segundo, la serie estadística homogénea y consultable en línea generalmente no se remonta hasta 1993 con el mismo nivel de detalle para todos los minerales: para los años noventa se reconstruyó la información a partir de literatura académica retrospectiva (en particular los trabajos de Juan Luis Sariego y de Delgado Wise y Del Pozo) y panoramas mineros históricos. Tercero, las cifras de "concentración" (participación de mercado, número de empresas líderes) cambian de metodología entre fuentes —toneladas de mineral crudo, contenido metálico, valor de la producción— por lo que las comparaciones intertemporales deben tomarse como indicativas de tendencia. Cuando una cifra de participación de empresa corresponde a un año distinto al de otra cifra citada en el mismo párrafo, se indica explícitamente el año de referencia.</w:t>
      </w:r>
    </w:p>
    <w:p w14:paraId="5E1AF190" w14:textId="77777777" w:rsidR="002425BC" w:rsidRDefault="00000000">
      <w:pPr>
        <w:pStyle w:val="Ttulo2"/>
      </w:pPr>
      <w:bookmarkStart w:id="5" w:name="_Toc232941807"/>
      <w:r>
        <w:t>1.4 Cómo leer este informe</w:t>
      </w:r>
      <w:bookmarkEnd w:id="5"/>
    </w:p>
    <w:p w14:paraId="4AB2093D" w14:textId="77777777" w:rsidR="002425BC" w:rsidRDefault="00000000">
      <w:pPr>
        <w:spacing w:after="160" w:line="276" w:lineRule="auto"/>
        <w:jc w:val="both"/>
      </w:pPr>
      <w:r>
        <w:t xml:space="preserve">Tras los capítulos de contexto (2 a 4), cada uno de los diez minerales se aborda en un capítulo independiente, ordenados alfabéticamente para facilitar la consulta como obra de referencia: (i) contexto geológico y peso de México en el mercado mundial; (ii) la estructura de propiedad heredada de la privatización de 1988-1993; (iii) la evolución de la concentración empresarial entre 1993 y 2024-2025, detallando —cuando la información lo permite— el porcentaje de mercado de cada empresa relevante tanto en extracción como en refinación; (iv) destino de la producción: qué proporción se queda en México incorporada a alguna cadena industrial y qué proporción se </w:t>
      </w:r>
      <w:r>
        <w:lastRenderedPageBreak/>
        <w:t>exporta, y a qué países; (v) el impacto de la reforma a la Ley Minera de 2023 sobre la estructura empresarial del mineral; y (vi) una conclusión que sintetiza el grado de concentración actual. El informe cierra con un capítulo comparativo, un anexo con la evolución de la concentración en cuatro cortes temporales (1990, 2000, 2010, 2020) y el listado completo de referencias en formato APA.</w:t>
      </w:r>
    </w:p>
    <w:p w14:paraId="2B194087" w14:textId="77777777" w:rsidR="002425BC" w:rsidRDefault="00000000">
      <w:pPr>
        <w:pStyle w:val="Ttulo1"/>
        <w:pageBreakBefore/>
        <w:pBdr>
          <w:bottom w:val="single" w:sz="8" w:space="4" w:color="1F3B5C"/>
        </w:pBdr>
      </w:pPr>
      <w:bookmarkStart w:id="6" w:name="_Toc232941808"/>
      <w:r>
        <w:lastRenderedPageBreak/>
        <w:t>2. Por qué estos diez minerales: criticidad y representatividad</w:t>
      </w:r>
      <w:bookmarkEnd w:id="6"/>
    </w:p>
    <w:p w14:paraId="02CD4CF2" w14:textId="77777777" w:rsidR="002425BC" w:rsidRDefault="00000000">
      <w:pPr>
        <w:spacing w:after="160" w:line="276" w:lineRule="auto"/>
        <w:jc w:val="both"/>
      </w:pPr>
      <w:r>
        <w:t>La pregunta de por qué este informe estudia precisamente cobre, plata, oro, zinc, plomo, manganeso, fluorita, barita, grafito y sílice —y no, por ejemplo, litio, tierras raras o cobalto— no es trivial: la respuesta determina si el ejercicio sirve como un corpus representativo de la minería mexicana de cara a la discusión internacional sobre minerales críticos, o si es simplemente una selección arbitraria de diez productos.</w:t>
      </w:r>
    </w:p>
    <w:p w14:paraId="190D817C" w14:textId="77777777" w:rsidR="002425BC" w:rsidRDefault="00000000">
      <w:pPr>
        <w:pStyle w:val="Ttulo2"/>
      </w:pPr>
      <w:bookmarkStart w:id="7" w:name="_Toc232941809"/>
      <w:r>
        <w:t>2.1 La criticidad es un concepto relativo al país, no una lista cerrada</w:t>
      </w:r>
      <w:bookmarkEnd w:id="7"/>
    </w:p>
    <w:p w14:paraId="362D33EA" w14:textId="77777777" w:rsidR="002425BC" w:rsidRDefault="00000000">
      <w:pPr>
        <w:spacing w:after="160" w:line="276" w:lineRule="auto"/>
        <w:jc w:val="both"/>
      </w:pPr>
      <w:r>
        <w:t>El Foro Intergubernamental sobre Minería, Minerales, Metales y Desarrollo Sostenible (IGF) advierte que no existe un consenso universal sobre la definición de "criticidad": esta cambia con el tiempo en función de las necesidades de la sociedad y la disponibilidad de suministro, y depende mucho del contexto y el país, sobre todo respecto de la dotación de minerales, la importancia relativa de los minerales para el desarrollo industrial y económico, y la evaluación estratégica de los riesgos del suministro. El propio IGF distingue dos perspectivas para determinar la criticidad: la de seguridad y control del suministro —que usan países importadores netos como la Unión Europea, Estados Unidos o Japón, para quienes un mineral es crítico si es escaso y genera dependencia de importaciones— y la de captura de valor —que usan países con posición dominante en la oferta, como Canadá, Australia o China, para quienes un mineral es crítico porque pueden usar su abundancia como ventaja competitiva en la cadena de suministro mundial.</w:t>
      </w:r>
    </w:p>
    <w:p w14:paraId="7F2D5585" w14:textId="77777777" w:rsidR="002425BC" w:rsidRDefault="00000000">
      <w:pPr>
        <w:spacing w:after="160" w:line="276" w:lineRule="auto"/>
        <w:jc w:val="both"/>
      </w:pPr>
      <w:r>
        <w:t>México encaja con mayor naturalidad en la segunda perspectiva. Así lo ha planteado el propio gobierno mexicano: en febrero de 2026, la directora del Servicio Geológico Mexicano, Flor de María Harp, explicó públicamente que la condición de "crítico" varía de nación en nación y que México, a diferencia de otros países, sí cuenta con cobre, plomo, zinc, plata, oro y barita, entre otros, en volúmenes y con cadenas de valor consolidadas; en la misma intervención, el secretario de Economía, Marcelo Ebrard, ejemplificó la relatividad del concepto señalando que "quien tiene aluminio […] para ellos no es crítico el aluminio; por ejemplo, Canadá […] pero en la nuestra sí, porque no lo tenemos".</w:t>
      </w:r>
    </w:p>
    <w:p w14:paraId="0936D465" w14:textId="77777777" w:rsidR="002425BC" w:rsidRDefault="00000000">
      <w:pPr>
        <w:pStyle w:val="Ttulo2"/>
      </w:pPr>
      <w:bookmarkStart w:id="8" w:name="_Toc232941810"/>
      <w:r>
        <w:t>2.2 Los "nueve minerales consolidados" de México y el caso de la sílice</w:t>
      </w:r>
      <w:bookmarkEnd w:id="8"/>
    </w:p>
    <w:p w14:paraId="177ECA96" w14:textId="77777777" w:rsidR="002425BC" w:rsidRDefault="00000000">
      <w:pPr>
        <w:spacing w:after="160" w:line="276" w:lineRule="auto"/>
        <w:jc w:val="both"/>
      </w:pPr>
      <w:r>
        <w:t>De acuerdo con la propia directora del SGM, México cuenta con reservas, capacidad de extracción, procesamiento y cadenas de valor consolidadas para nueve minerales, de los cuales mencionó explícitamente cobre, plomo, zinc, plata, oro y barita; el resto del corpus de fuentes oficiales consultadas para este informe (SGM, Secretaría de Economía, CAMIMEX) permite identificar a fluorita, manganeso y grafito como los otros tres minerales en los que México tiene una posición de liderazgo mundial consolidada y bien documentada —precisamente los tres casos de monopolio o cuasi-monopolio empresarial analizados en los capítulos 7 (fluorita), 9 (grafito) y 10 (manganeso) de este informe—. Estos nueve minerales constituyen, en conjunto, el núcleo de lo que la cobertura periodística reciente ha denominado los minerales en los que "México es clave" para la discusión binacional con Estados Unidos sobre minerales críticos.</w:t>
      </w:r>
    </w:p>
    <w:p w14:paraId="762E9031" w14:textId="77777777" w:rsidR="002425BC" w:rsidRDefault="00000000">
      <w:pPr>
        <w:spacing w:after="160" w:line="276" w:lineRule="auto"/>
        <w:jc w:val="both"/>
      </w:pPr>
      <w:r>
        <w:lastRenderedPageBreak/>
        <w:t>El décimo mineral de este informe, la sílice, cumple una función distinta y deliberada: sirve como caso de contraste metodológico. A diferencia de los otros nueve, el silicio elemental no figura en las listas cerradas de minerales críticos de la Unión Europea o Estados Unidos —Statista lo señala expresamente—, pero su forma mineral, la arena de sílice de alta pureza, es un insumo creciente y estratégico para la industria de semiconductores, paneles solares y fibra óptica, y la cobertura mexicana reciente sobre minerales críticos sí menciona el "silicio industrial" como parte de la oferta nacional relevante para Estados Unidos, junto con fluorita, grafito y barita. Incluir la sílice permite mostrar, dentro del mismo informe, cómo luce un mercado mineral mexicano sin concentración empresarial relevante —el opuesto exacto de la fluorita o el manganeso— y evita que el conjunto de conclusiones de este informe quede sesgado hacia el extremo monopólico.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25BC" w14:paraId="58DF9BFF" w14:textId="77777777">
        <w:tc>
          <w:tcPr>
            <w:tcW w:w="9360" w:type="dxa"/>
            <w:tcBorders>
              <w:top w:val="single" w:sz="4" w:space="0" w:color="2E5C8A"/>
              <w:left w:val="single" w:sz="18" w:space="0" w:color="2E5C8A"/>
              <w:bottom w:val="single" w:sz="4" w:space="0" w:color="2E5C8A"/>
              <w:right w:val="single" w:sz="4" w:space="0" w:color="2E5C8A"/>
            </w:tcBorders>
            <w:shd w:val="clear" w:color="auto" w:fill="EEF4FB"/>
            <w:tcMar>
              <w:top w:w="160" w:type="dxa"/>
              <w:left w:w="220" w:type="dxa"/>
              <w:bottom w:w="160" w:type="dxa"/>
              <w:right w:w="220" w:type="dxa"/>
            </w:tcMar>
          </w:tcPr>
          <w:p w14:paraId="735E8E60" w14:textId="77777777" w:rsidR="002425BC" w:rsidRDefault="00000000">
            <w:pPr>
              <w:spacing w:after="80"/>
            </w:pPr>
            <w:r>
              <w:rPr>
                <w:b/>
                <w:bCs/>
                <w:color w:val="1F3B5C"/>
              </w:rPr>
              <w:t>Síntesis del criterio de selección</w:t>
            </w:r>
          </w:p>
          <w:p w14:paraId="0D88EC58" w14:textId="77777777" w:rsidR="002425BC" w:rsidRDefault="00000000">
            <w:pPr>
              <w:spacing w:line="276" w:lineRule="auto"/>
            </w:pPr>
            <w:r>
              <w:rPr>
                <w:sz w:val="21"/>
                <w:szCs w:val="21"/>
              </w:rPr>
              <w:t>Los diez minerales de este informe no fueron elegidos por su presencia en una lista internacional única, sino porque, tomados en conjunto, representan (a) los nueve minerales que el propio gobierno mexicano identifica como su cartera consolidada de minerales con criticidad estratégica bajo el enfoque de "captura de valor", y (b) un décimo caso de contraste —la sílice— que permite dimensionar, por comparación, cuán atípica es la concentración observada en el resto del corpus.</w:t>
            </w:r>
          </w:p>
        </w:tc>
      </w:tr>
    </w:tbl>
    <w:p w14:paraId="1570700A" w14:textId="77777777" w:rsidR="002425BC" w:rsidRDefault="00000000">
      <w:pPr>
        <w:pStyle w:val="Ttulo2"/>
      </w:pPr>
      <w:bookmarkStart w:id="9" w:name="_Toc232941811"/>
      <w:r>
        <w:t>2.3 ¿Por qué no litio, cobalto o tierras raras?</w:t>
      </w:r>
      <w:bookmarkEnd w:id="9"/>
    </w:p>
    <w:p w14:paraId="1586E06A" w14:textId="77777777" w:rsidR="002425BC" w:rsidRDefault="00000000">
      <w:pPr>
        <w:spacing w:after="160" w:line="276" w:lineRule="auto"/>
        <w:jc w:val="both"/>
      </w:pPr>
      <w:r>
        <w:t>Una objeción razonable es que la discusión internacional sobre minerales críticos suele girar en torno al litio, el cobalto, el níquel y las tierras raras, ninguno de los cuales aparece en este informe. La razón es empírica, no de relevancia temática: México, a diferencia de Chile, Bolivia, Argentina o la República Democrática del Congo, no tiene producción comercial relevante de litio, cobalto ni tierras raras al cierre de este informe (mediados de 2026). El gobierno mexicano nacionalizó el litio por decreto en 2022 y creó la empresa pública LitioMx, pero, de acuerdo con cobertura periodística reciente, la compañía cuenta con apenas catorce trabajadores y no ha desarrollado producción a escala industrial; la propia presidenta Claudia Sheinbaum reconoció en febrero de 2026 que México no tiene yacimientos del tipo que actualmente se explota en el mundo, y que el litio en arcillas mexicanas, aunque tecnológicamente posible, no es todavía económicamente viable. El SGM ha hecho pública, en la misma fecha, una lista de catorce minerales —entre ellos litio, cobalto, titanio y cromo— en los que México depende del cien por ciento de las importaciones; estudiar la "conformación histórica de mercados" de minerales que México no produce no tendría el mismo sentido empírico que el ejercicio de concentración empresarial que es el objeto de este informe. Por esa razón, este documento se concentra en los minerales donde sí existe una historia de mercado mexicano que reconstruir: producción, empresas, refinación y exportación reales, documentadas desde 1993.</w:t>
      </w:r>
    </w:p>
    <w:p w14:paraId="725BFF7F" w14:textId="77777777" w:rsidR="002425BC" w:rsidRDefault="00000000">
      <w:pPr>
        <w:pStyle w:val="Ttulo2"/>
      </w:pPr>
      <w:bookmarkStart w:id="10" w:name="_Toc232941812"/>
      <w:r>
        <w:t>2.4 Confirmación externa: la metodología de Estados Unidos y la Unión Europea coincide con los diez minerales de este informe</w:t>
      </w:r>
      <w:bookmarkEnd w:id="10"/>
    </w:p>
    <w:p w14:paraId="4E65A5CB" w14:textId="77777777" w:rsidR="002425BC" w:rsidRDefault="00000000">
      <w:pPr>
        <w:spacing w:after="160" w:line="276" w:lineRule="auto"/>
        <w:jc w:val="both"/>
      </w:pPr>
      <w:r>
        <w:t xml:space="preserve">El criterio de selección expuesto en las secciones 2.1 a 2.3 —construido a partir de declaraciones oficiales del SGM y de la cobertura periodística mexicana de 2026— encuentra una confirmación independiente y metodológicamente más rigurosa en el trabajo de Micheli Thirion y Cortés </w:t>
      </w:r>
      <w:r>
        <w:lastRenderedPageBreak/>
        <w:t>Morales (2026), publicado en Perspectivas Energéticas, la revista del Programa de Energía de El Colegio de México. Los autores parten de las dos listas oficiales de minerales críticos más influyentes a nivel mundial —la del Servicio Geológico de Estados Unidos (USGS), actualizada cada tres años por mandato de la Energy Act de 2020, y la de la Comisión Europea, vigente desde 2023— y cruzan ambas listas con los minerales que efectivamente produce México. El resultado de ese cruce son, casi en su totalidad, los mismos diez minerales analizados en este informe: "con base en la lista anterior y la importancia de su producción nacional, en este texto se define un conjunto de diez minerales críticos que son relevantes para México: oro, cobre, plata, zinc, fluorita, plomo, sílice, barita, manganeso y grafito" (Micheli Thirion y Cortés Morales, 2026, p. 3). Que dos ejercicios de selección independientes —uno basado en declaraciones del gobierno mexicano, el otro en la intersección formal de las listas de criticidad de Estados Unidos y la Unión Europea— converjan en el mismo corpus de diez minerales refuerza la validez del criterio de selección de este informe.</w:t>
      </w:r>
    </w:p>
    <w:p w14:paraId="2C9643ED" w14:textId="77777777" w:rsidR="002425BC" w:rsidRDefault="00000000">
      <w:pPr>
        <w:pStyle w:val="Ttulo3"/>
      </w:pPr>
      <w:r>
        <w:t>2.4.1 Dos metodologías de criticidad, dos lógicas de riesgo</w:t>
      </w:r>
    </w:p>
    <w:p w14:paraId="1BB89326" w14:textId="77777777" w:rsidR="002425BC" w:rsidRDefault="00000000">
      <w:pPr>
        <w:spacing w:after="160" w:line="276" w:lineRule="auto"/>
        <w:jc w:val="both"/>
      </w:pPr>
      <w:r>
        <w:t>Micheli Thirion y Cortés Morales (2026) detallan que la metodología estadounidense vigente desde la evaluación de 2025 representa un cambio de paradigma respecto de sus versiones anteriores: en vez de limitarse a medir la concentración de la producción mundial y la dependencia de importaciones de Estados Unidos, ahora se basa en un modelo de simulación económica estocástica que cuantifica, mediante un análisis de riesgo probabilístico, la pérdida esperada en el Producto Interno Bruto estadounidense atribuible a una interrupción exógena del suministro de cada mineral, "traduciendo así el riesgo geopolítico y de concentración del mercado en una métrica económica directa y comparable" (Micheli Thirion y Cortés Morales, 2026, p. 2). La metodología europea, en cambio, exige que un material supere de forma simultánea dos umbrales —probabilidad de interrupción del suministro y magnitud de la consecuencia económica— evaluando la distribución de la producción mundial, la estabilidad institucional de los países proveedores, la dependencia europea de importaciones, la capacidad de reciclaje y la existencia de sustitutos reales (European Commission, 2023, citado en Micheli Thirion y Cortés Morales, 2026).</w:t>
      </w:r>
    </w:p>
    <w:p w14:paraId="12F1C730" w14:textId="77777777" w:rsidR="002425BC" w:rsidRDefault="00000000">
      <w:pPr>
        <w:pStyle w:val="Ttulo3"/>
      </w:pPr>
      <w:r>
        <w:t>2.4.2 El caso de la plata: México como el riesgo individual más alto de toda la lista estadounidense</w:t>
      </w:r>
    </w:p>
    <w:p w14:paraId="6073409F" w14:textId="77777777" w:rsidR="002425BC" w:rsidRDefault="00000000">
      <w:pPr>
        <w:spacing w:after="160" w:line="276" w:lineRule="auto"/>
        <w:jc w:val="both"/>
      </w:pPr>
      <w:r>
        <w:t xml:space="preserve">El hallazgo más contundente de Micheli Thirion y Cortés Morales (2026) para los propósitos de este informe es el de la plata: bajo la metodología estocástica del USGS, "México es identificado como el proveedor de mayor riesgo único para Estados Unidos en este mineral. Un embargo mexicano causaría un impacto económico directo de 435 millones de dólares en el PIB estadounidense y ello constituye la mayor pérdida potencial atribuible a un solo país para este commodity" (Micheli Thirion y Cortés Morales, 2026, p. 2), por encima incluso del riesgo que representa Sudáfrica para el rutenio (1,249 millones de dólares), aunque este último es mayor en términos absolutos para otro mineral. La verificación directa de este informe contra el reporte técnico original del USGS (Open-File Report 2025-1047) confirma la cifra: el documento señala textualmente que "silver's probability-weighted net decrease in U.S. GDP is largely due to a scenario in which Mexico stops silver exports to the United States" (U.S. Geological Survey, 2025b), y los datos primarios del USGS muestran que México aportó 44% de las importaciones </w:t>
      </w:r>
      <w:r>
        <w:lastRenderedPageBreak/>
        <w:t>estadounidenses de plata entre 2020 y 2023, muy por encima de Canadá (17%), su competidor más cercano. Este hallazgo es plenamente consistente con —y refuerza desde una perspectiva estadounidense— la conclusión del capítulo 11 de este informe sobre el peso de México como primer productor mundial de plata durante dieciséis años consecutivos.</w:t>
      </w:r>
    </w:p>
    <w:p w14:paraId="4082F8D7" w14:textId="77777777" w:rsidR="002425BC" w:rsidRDefault="00000000">
      <w:pPr>
        <w:spacing w:after="160" w:line="276" w:lineRule="auto"/>
        <w:jc w:val="both"/>
      </w:pPr>
      <w:r>
        <w:t>Los mismos autores documentan, con la misma fuente, el lugar de otros tres minerales de este informe en la jerarquía de riesgo estadounidense: México es identificado como proveedor relevante de riesgo en barita (con una contribución de aproximadamente 17 millones de dólares al riesgo económico total del mineral, aunque el proveedor de mayor riesgo es India), en zinc fundido (con una contribución de unos 4 millones de dólares, muy por debajo de Canadá, el proveedor de mayor riesgo) y, de forma mínima, en cobre refinado (con una contribución redondeada a menos de 0.5 millones de dólares, frente al papel dominante y crítico de Chile) (Micheli Thirion y Cortés Morales, 2026, p. 2).</w:t>
      </w:r>
    </w:p>
    <w:p w14:paraId="7B912B37" w14:textId="77777777" w:rsidR="002425BC" w:rsidRDefault="00000000">
      <w:pPr>
        <w:pStyle w:val="Ttulo3"/>
      </w:pPr>
      <w:r>
        <w:t>2.4.3 Fluorita: la pieza clave de México en la lista europea</w:t>
      </w:r>
    </w:p>
    <w:p w14:paraId="0B33D864" w14:textId="77777777" w:rsidR="002425BC" w:rsidRDefault="00000000">
      <w:pPr>
        <w:spacing w:after="160" w:line="276" w:lineRule="auto"/>
        <w:jc w:val="both"/>
      </w:pPr>
      <w:r>
        <w:t>Para la Unión Europea, Micheli Thirion y Cortés Morales (2026) identifican un solo mineral en el que México tiene peso decisivo: la fluorita. De acuerdo con los datos de abastecimiento real de la Comisión Europea para el periodo 2010-2014, México fue el principal proveedor europeo de fluorita, con 27% de las importaciones del bloque, mientras que para el resto de los minerales críticos europeos, México no figuraba como proveedor principal en la evaluación de 2017 (Micheli Thirion y Cortés Morales, 2026, p. 3). Este dato es coherente con —y añade una dimensión europea adicional a— la conclusión del capítulo 7 de este informe, centrada hasta ahora en la relación bilateral entre México y Estados Unidos como comprador estructural de la fluorita de Las Cuevas.</w:t>
      </w:r>
    </w:p>
    <w:p w14:paraId="5F012E19" w14:textId="77777777" w:rsidR="002425BC" w:rsidRDefault="00000000">
      <w:pPr>
        <w:pStyle w:val="Ttulo3"/>
      </w:pPr>
      <w:r>
        <w:t>2.4.4 La tabla de coincidencias y el caso reciente del oro</w:t>
      </w:r>
    </w:p>
    <w:p w14:paraId="4B5250A5" w14:textId="77777777" w:rsidR="002425BC" w:rsidRDefault="00000000">
      <w:pPr>
        <w:spacing w:after="160" w:line="276" w:lineRule="auto"/>
        <w:jc w:val="both"/>
      </w:pPr>
      <w:r>
        <w:t>Micheli Thirion y Cortés Morales (2026, p. 3) construyen, a partir de las listas completas de criticidad de Estados Unidos y la Unión Europea, una tabla de minerales producidos en México que aparecen en una, otra, o ambas listas. De los diez minerales de este informe, ocho figuran en la lista estadounidense (barita, cobre, manganeso, plata, plomo, zinc, fluorita, sílice, grafito y oro) y seis en la europea (barita, cobre, fluorita, grafito, sílice y, parcialmente, otros), con manganeso, plata, plomo, zinc y oro presentes únicamente en la lista estadounidense. El caso del oro merece una mención particular que confirma, desde una fuente independiente, una de las conclusiones más relevantes del capítulo 10 de este informe: los autores señalan que, "por su creciente uso en dispositivos digitales y su valor en la actual fase de la economía mundial, en EE. UU. una orden ejecutiva presidencial del 20 de marzo de 2025 lo definió de modo explícito como mineral crítico, junto al cobre y al uranio, para efectos de seguridad nacional" (Micheli Thirion y Cortés Morales, 2026, p. 3, con base en The White House, 2025), un giro histórico respecto del tratamiento tradicional del oro como reserva de valor más que como insumo industrial crítico, y que los propios autores destacan en sus conclusiones como un parteaguas que merece "atención estratégica por parte del Estado mexicano" (Micheli Thirion y Cortés Morales, 2026, p. 4).</w:t>
      </w:r>
    </w:p>
    <w:p w14:paraId="2FECA26F" w14:textId="77777777" w:rsidR="002425BC" w:rsidRDefault="00000000">
      <w:pPr>
        <w:pStyle w:val="Ttulo3"/>
      </w:pPr>
      <w:r>
        <w:t>2.4.5 Valor de la producción y peso mundial: una segunda fuente para los diez minerales</w:t>
      </w:r>
    </w:p>
    <w:p w14:paraId="242043A8" w14:textId="77777777" w:rsidR="002425BC" w:rsidRDefault="00000000">
      <w:pPr>
        <w:spacing w:after="160" w:line="276" w:lineRule="auto"/>
        <w:jc w:val="both"/>
      </w:pPr>
      <w:r>
        <w:lastRenderedPageBreak/>
        <w:t>Micheli Thirion y Cortés Morales (2026, p. 3) presentan además una tabla de valor de la producción 2025, reservas y posicionamiento mundial para los diez minerales, construida con datos de INEGI (2025), cálculos propios sobre la base del USGS (2025) y CAMIMEX (2025), que coincide en lo esencial con las cifras de producción y ranking mundial documentadas de forma independiente en los capítulos 5 a 14 de este informe: el oro aparece como el mineral de mayor valor de producción (115,341 millones de pesos en 2025) seguido de cobre (75,429 millones) y plata (73,638 millones), mientras que México se confirma en el primer lugar mundial en plata (24.69% de la producción mundial), el segundo en fluorita (12.17%) y posiciones entre el quinto y decimonoveno lugar para barita, zinc, plomo, oro, cobre, manganeso, grafito y sílice, respectivamente. La coincidencia entre esta fuente —construida de forma independiente con metodología y bases de datos parcialmente distintas a las usadas en el resto de este informe— y las cifras reportadas en los capítulos minerales individuales constituye una verificación cruzada adicional de la fiabilidad de los datos aquí presentados.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25BC" w14:paraId="1C1C5857" w14:textId="77777777">
        <w:tc>
          <w:tcPr>
            <w:tcW w:w="9360" w:type="dxa"/>
            <w:tcBorders>
              <w:top w:val="single" w:sz="4" w:space="0" w:color="2E5C8A"/>
              <w:left w:val="single" w:sz="18" w:space="0" w:color="2E5C8A"/>
              <w:bottom w:val="single" w:sz="4" w:space="0" w:color="2E5C8A"/>
              <w:right w:val="single" w:sz="4" w:space="0" w:color="2E5C8A"/>
            </w:tcBorders>
            <w:shd w:val="clear" w:color="auto" w:fill="EEF4FB"/>
            <w:tcMar>
              <w:top w:w="160" w:type="dxa"/>
              <w:left w:w="220" w:type="dxa"/>
              <w:bottom w:w="160" w:type="dxa"/>
              <w:right w:w="220" w:type="dxa"/>
            </w:tcMar>
          </w:tcPr>
          <w:p w14:paraId="04D05AE1" w14:textId="77777777" w:rsidR="002425BC" w:rsidRDefault="00000000">
            <w:pPr>
              <w:spacing w:after="80"/>
            </w:pPr>
            <w:r>
              <w:rPr>
                <w:b/>
                <w:bCs/>
                <w:color w:val="1F3B5C"/>
              </w:rPr>
              <w:t>Una coincidencia poco común: dos selecciones independientes, el mismo corpus</w:t>
            </w:r>
          </w:p>
          <w:p w14:paraId="483B0ADB" w14:textId="77777777" w:rsidR="002425BC" w:rsidRDefault="00000000">
            <w:pPr>
              <w:spacing w:line="276" w:lineRule="auto"/>
            </w:pPr>
            <w:r>
              <w:rPr>
                <w:sz w:val="21"/>
                <w:szCs w:val="21"/>
              </w:rPr>
              <w:t>El criterio de selección de este informe —basado en declaraciones del Servicio Geológico Mexicano— y el de Micheli Thirion y Cortés Morales (2026) —basado en el cruce formal de las listas de criticidad de Estados Unidos y la Unión Europea con la producción real mexicana— llegan, por caminos metodológicos distintos, al mismo conjunto de diez minerales: oro, cobre, plata, zinc, fluorita, plomo, sílice, barita, manganeso y grafito. Esta coincidencia no es casual: refleja que, dotación geológica mediante, existe un acuerdo razonablemente estable entre las definiciones de criticidad usadas por los principales socios comerciales de México (Estados Unidos y la Unión Europea) y la estructura real de la oferta minera mexicana.</w:t>
            </w:r>
          </w:p>
        </w:tc>
      </w:tr>
    </w:tbl>
    <w:p w14:paraId="0675C0D9" w14:textId="77777777" w:rsidR="002425BC" w:rsidRDefault="00000000">
      <w:pPr>
        <w:pStyle w:val="Ttulo1"/>
        <w:pageBreakBefore/>
        <w:pBdr>
          <w:bottom w:val="single" w:sz="8" w:space="4" w:color="1F3B5C"/>
        </w:pBdr>
      </w:pPr>
      <w:bookmarkStart w:id="11" w:name="_Toc232941813"/>
      <w:r>
        <w:lastRenderedPageBreak/>
        <w:t>3. Una sola pala, varios minerales: cómo se extraen en la práctica</w:t>
      </w:r>
      <w:bookmarkEnd w:id="11"/>
    </w:p>
    <w:p w14:paraId="6E7403FE" w14:textId="77777777" w:rsidR="002425BC" w:rsidRDefault="00000000">
      <w:pPr>
        <w:spacing w:after="160" w:line="276" w:lineRule="auto"/>
        <w:jc w:val="both"/>
      </w:pPr>
      <w:r>
        <w:t>Un lector que se acerque por primera vez a la minería mexicana podría imaginar diez minas distintas, una por cada mineral de este informe, cada una propiedad de una empresa especializada. La realidad es casi siempre la contraria: la mayoría de los yacimientos mexicanos son polimetálicos —contienen, en proporciones variables, varios metales entrelazados en la misma roca— y, por tanto, las mismas compañías que dominan la extracción de un mineral en este informe vuelven a aparecer, una y otra vez, en los capítulos de otros minerales. Entender esta lógica de coextracción es indispensable para no confundirse cuando, por ejemplo, Industrias Peñoles aparece simultáneamente como protagonista de los capítulos de plata, zinc y plomo: no se trata de tres negocios separados que la empresa decidió diversificar, sino, con frecuencia, del mismo mineral arrancado de la misma mina.</w:t>
      </w:r>
    </w:p>
    <w:p w14:paraId="73CA2C32" w14:textId="77777777" w:rsidR="002425BC" w:rsidRDefault="00000000">
      <w:pPr>
        <w:pStyle w:val="Ttulo2"/>
      </w:pPr>
      <w:bookmarkStart w:id="12" w:name="_Toc232941814"/>
      <w:r>
        <w:t>3.1 La metáfora del guiso: una misma roca, varios ingredientes</w:t>
      </w:r>
      <w:bookmarkEnd w:id="12"/>
    </w:p>
    <w:p w14:paraId="2E0E5CFF" w14:textId="77777777" w:rsidR="002425BC" w:rsidRDefault="00000000">
      <w:pPr>
        <w:spacing w:after="160" w:line="276" w:lineRule="auto"/>
        <w:jc w:val="both"/>
      </w:pPr>
      <w:r>
        <w:t>Pensemos en una mina polimetálica como una olla de guiso minero: lo que sale del subsuelo no es "plata" o "zinc" en estado puro, sino una roca mineralizada que, tras ser molida y sometida a un proceso de flotación diferencial, se separa en distintos concentrados —de plomo, de zinc, de cobre— cada uno de los cuales arrastra, además, cantidades variables de oro y plata como subproducto. Por esa razón, una sola mina —y una sola empresa— puede aparecer simultáneamente entre los grandes productores de hasta cuatro o cinco de los minerales de este informe. El caso más claro es Peñasquito, en Zacatecas: la misma mina, operada primero por Goldcorp y desde 2019 por Newmont, produce de forma simultánea oro, plata, plomo y zinc, y en 2024 fue identificada por la Cámara Minera de México como la principal mina nacional de zinc al mismo tiempo que figuraba entre los mayores productores de plata y entre los diez mayores de oro del país.</w:t>
      </w:r>
    </w:p>
    <w:p w14:paraId="78126C96" w14:textId="77777777" w:rsidR="002425BC" w:rsidRDefault="00000000">
      <w:pPr>
        <w:pStyle w:val="Ttulo2"/>
      </w:pPr>
      <w:bookmarkStart w:id="13" w:name="_Toc232941815"/>
      <w:r>
        <w:t>3.2 Tres familias de coextracción reconocibles en este informe</w:t>
      </w:r>
      <w:bookmarkEnd w:id="13"/>
    </w:p>
    <w:p w14:paraId="75DCC168" w14:textId="77777777" w:rsidR="002425BC" w:rsidRDefault="00000000">
      <w:pPr>
        <w:pStyle w:val="Prrafodelista"/>
        <w:numPr>
          <w:ilvl w:val="0"/>
          <w:numId w:val="2"/>
        </w:numPr>
        <w:spacing w:after="80"/>
      </w:pPr>
      <w:r>
        <w:rPr>
          <w:b/>
          <w:bCs/>
        </w:rPr>
        <w:t xml:space="preserve">La familia plata-plomo-zinc-(oro). </w:t>
      </w:r>
      <w:r>
        <w:t>Es, con mucho, la asociación geológica más común en la minería mexicana: yacimientos epitermales y de reemplazamiento en los que la plata viaja casi siempre acompañada de plomo y zinc, y frecuentemente de algo de oro. Industrias Peñoles describe esto explícitamente al detallar que opera "cinco unidades mineras" de las cuales "cuatro producen tres tipos de concentrados: zinc, plomo y cobre", y que las unidades más polimetálicas "producen además oro y plata en concentrados". Por esta razón, Peñoles, Fresnillo plc, Grupo México, Newmont y Minera Frisco aparecen repetidos en los capítulos de plata, zinc y plomo de este informe: no son cinco negocios distintos sino, en gran medida, el mismo mineral polimetálico vendido como tres o cuatro productos distintos.</w:t>
      </w:r>
    </w:p>
    <w:p w14:paraId="30F4A9FE" w14:textId="77777777" w:rsidR="002425BC" w:rsidRDefault="00000000">
      <w:pPr>
        <w:pStyle w:val="Prrafodelista"/>
        <w:numPr>
          <w:ilvl w:val="0"/>
          <w:numId w:val="2"/>
        </w:numPr>
        <w:spacing w:after="80"/>
      </w:pPr>
      <w:r>
        <w:rPr>
          <w:b/>
          <w:bCs/>
        </w:rPr>
        <w:t xml:space="preserve">La familia cobre-molibdeno-(oro-plata). </w:t>
      </w:r>
      <w:r>
        <w:t xml:space="preserve">Los grandes pórfidos cupríferos de Sonora —La Caridad y Buenavista del Cobre, ambos de Grupo México— no producen solo cobre: arrastran molibdeno como subproducto sistemático (La Caridad produce alrededor de 19,500 toneladas anuales de molibdeno además de 120,000 de cobre, más oro y plata) y, en el caso de Buenavista, fueron objeto de un proyecto específico de zinc (Buenavista Zinc) que en 2024 convirtió a Sonora, por primera vez de forma relevante, en estado </w:t>
      </w:r>
      <w:r>
        <w:lastRenderedPageBreak/>
        <w:t>productor de zinc. Es la razón por la que Grupo México, pese a ser presentado en el capítulo 6 de este informe ante todo como la empresa cuprífera dominante, también aparece entre los productores relevantes de plata y zinc.</w:t>
      </w:r>
    </w:p>
    <w:p w14:paraId="352A4ED0" w14:textId="77777777" w:rsidR="002425BC" w:rsidRDefault="00000000">
      <w:pPr>
        <w:pStyle w:val="Prrafodelista"/>
        <w:numPr>
          <w:ilvl w:val="0"/>
          <w:numId w:val="2"/>
        </w:numPr>
        <w:spacing w:after="80"/>
      </w:pPr>
      <w:r>
        <w:rPr>
          <w:b/>
          <w:bCs/>
        </w:rPr>
        <w:t xml:space="preserve">La familia de minerales no metálicos "satélite" de un mismo distrito geológico. </w:t>
      </w:r>
      <w:r>
        <w:t>Fluorita y barita, aunque químicamente distintas, comparten a menudo provincias geológicas con metales base —el sulfato de bario de la barita aparece frecuentemente asociado a fluorita, cuarzo, calcita y dolomita en las mismas secuencias sedimentarias del norte de México—, lo que explica por qué Coahuila, Nuevo León y San Luis Potosí concentran simultáneamente actividad de fluorita, barita y sílice industrial, aunque casi siempre en manos de empresas distintas y de menor tamaño que los grandes grupos metálicos.</w:t>
      </w:r>
    </w:p>
    <w:p w14:paraId="331E5DBA" w14:textId="77777777" w:rsidR="002425BC" w:rsidRDefault="00000000">
      <w:pPr>
        <w:pStyle w:val="Ttulo2"/>
      </w:pPr>
      <w:bookmarkStart w:id="14" w:name="_Toc232941816"/>
      <w:r>
        <w:t>3.3 Por qué esto importa para leer el resto del informe</w:t>
      </w:r>
      <w:bookmarkEnd w:id="14"/>
    </w:p>
    <w:p w14:paraId="2EFE6C15" w14:textId="77777777" w:rsidR="002425BC" w:rsidRDefault="00000000">
      <w:pPr>
        <w:spacing w:after="160" w:line="276" w:lineRule="auto"/>
        <w:jc w:val="both"/>
      </w:pPr>
      <w:r>
        <w:t>La consecuencia práctica de esta lógica de coextracción es que la "concentración de mercado" de un mineral no puede entenderse de forma aislada de la de sus minerales acompañantes: cuando Grupo México defiende su posición en el cobre, está defendiendo simultáneamente una posición secundaria en molibdeno, plata y, cada vez más, zinc; cuando Peñoles defiende su liderazgo en plomo y zinc, estabiliza también una parte relevante de su negocio de plata. Esta es también la razón estructural por la que solo un puñado de grandes grupos —Grupo México, Peñoles/Fresnillo plc, Minera Frisco y, entre las extranjeras, Newmont— reaparecen sistemáticamente a lo largo de los capítulos 5 a 11 de este informe: no compiten en diez mercados independientes, sino en un número mucho menor de sistemas geológicos integrados que el mercado, por razones de tradición estadística, sigue contabilizando mineral por mineral.</w:t>
      </w:r>
    </w:p>
    <w:p w14:paraId="71852E5A" w14:textId="77777777" w:rsidR="002425BC" w:rsidRDefault="00000000">
      <w:pPr>
        <w:spacing w:before="40" w:after="240"/>
      </w:pPr>
      <w:r>
        <w:rPr>
          <w:i/>
          <w:iCs/>
          <w:color w:val="555555"/>
          <w:sz w:val="17"/>
          <w:szCs w:val="17"/>
        </w:rPr>
        <w:t>Fuente: Industrias Peñoles, "Unidades Mineras" (penoles.com.mx); Wikipedia, "Industria minera en México"; Cámara Minera de México, boletín sobre producción de zinc por estado y compañía (2025); Sonora ya figura en producción de zinc, CAMIMEX (2025); Anuario Estadístico de la Minería Mexicana, ediciones 2023-2024 (SGM).</w:t>
      </w:r>
    </w:p>
    <w:p w14:paraId="1D5032E6" w14:textId="77777777" w:rsidR="002425BC" w:rsidRDefault="00000000">
      <w:pPr>
        <w:pStyle w:val="Ttulo1"/>
        <w:pageBreakBefore/>
        <w:pBdr>
          <w:bottom w:val="single" w:sz="8" w:space="4" w:color="1F3B5C"/>
        </w:pBdr>
      </w:pPr>
      <w:bookmarkStart w:id="15" w:name="_Toc232941817"/>
      <w:r>
        <w:lastRenderedPageBreak/>
        <w:t>4. Qué impulsa la demanda mundial de minerales críticos</w:t>
      </w:r>
      <w:bookmarkEnd w:id="15"/>
    </w:p>
    <w:p w14:paraId="28BD734E" w14:textId="77777777" w:rsidR="002425BC" w:rsidRDefault="00000000">
      <w:pPr>
        <w:spacing w:after="160" w:line="276" w:lineRule="auto"/>
        <w:jc w:val="both"/>
      </w:pPr>
      <w:r>
        <w:t>Esta sección sigue de cerca el marco analítico del documento Minerales críticos: datos básicos del Foro Intergubernamental sobre Minería, Minerales, Metales y Desarrollo Sostenible (IGF), aplicándolo a los diez minerales de este informe. Su propósito es responder a una pregunta que las cifras de producción y concentración empresarial, por sí solas, no contestan: ¿por qué importa, más allá de México, quién controla la extracción de estos minerales?</w:t>
      </w:r>
    </w:p>
    <w:p w14:paraId="06FD3156" w14:textId="77777777" w:rsidR="002425BC" w:rsidRDefault="00000000">
      <w:pPr>
        <w:pStyle w:val="Ttulo2"/>
      </w:pPr>
      <w:bookmarkStart w:id="16" w:name="_Toc232941818"/>
      <w:r>
        <w:t>4.1 Seis vías de demanda</w:t>
      </w:r>
      <w:bookmarkEnd w:id="16"/>
    </w:p>
    <w:p w14:paraId="3A5A53FC" w14:textId="77777777" w:rsidR="002425BC" w:rsidRDefault="00000000">
      <w:pPr>
        <w:spacing w:after="160" w:line="276" w:lineRule="auto"/>
        <w:jc w:val="both"/>
      </w:pPr>
      <w:r>
        <w:t>De acuerdo con el IGF, gran parte del crecimiento reciente de la demanda de minerales críticos obedece a su papel en la transición hacia una energía limpia y una economía baja en carbono, y puede clasificarse en seis vías específicas: descarbonización y tecnologías energéticas; movilidad eléctrica; digitalización; eficiencia energética y consumo sostenible; aplicaciones industriales avanzadas y convencionales; e infraestructura y construcción. Las seis vías son relevantes, en mayor o menor medida, para los minerales de este informe:</w:t>
      </w:r>
    </w:p>
    <w:p w14:paraId="3654B6AD" w14:textId="77777777" w:rsidR="002425BC" w:rsidRDefault="00000000">
      <w:pPr>
        <w:pStyle w:val="Prrafodelista"/>
        <w:numPr>
          <w:ilvl w:val="0"/>
          <w:numId w:val="2"/>
        </w:numPr>
        <w:spacing w:after="80"/>
      </w:pPr>
      <w:r>
        <w:rPr>
          <w:b/>
          <w:bCs/>
        </w:rPr>
        <w:t xml:space="preserve">Descarbonización y tecnologías energéticas. </w:t>
      </w:r>
      <w:r>
        <w:t>El cobre y la plata son, de los diez minerales aquí analizados, los más directamente vinculados a esta vía: el IGF documenta que la energía eólica y solar emplea más de diez minerales críticos distintos, y el cobre en particular es indispensable para el cableado de cualquier instalación de generación renovable o de transmisión eléctrica de gran escala.</w:t>
      </w:r>
    </w:p>
    <w:p w14:paraId="6AF0D34D" w14:textId="77777777" w:rsidR="002425BC" w:rsidRDefault="00000000">
      <w:pPr>
        <w:pStyle w:val="Prrafodelista"/>
        <w:numPr>
          <w:ilvl w:val="0"/>
          <w:numId w:val="2"/>
        </w:numPr>
        <w:spacing w:after="80"/>
      </w:pPr>
      <w:r>
        <w:rPr>
          <w:b/>
          <w:bCs/>
        </w:rPr>
        <w:t xml:space="preserve">Movilidad eléctrica. </w:t>
      </w:r>
      <w:r>
        <w:t>Según cifras citadas por el IGF, un vehículo eléctrico requiere, por kilogramo de contenido mineral, 53.2 kg de cobre, 24.5 kg de manganeso y cantidades menores de otros minerales —el IGF señala además que se necesita, en conjunto, hasta el séxtuple de minerales para producir un vehículo eléctrico frente a uno convencional—, lo que explica el interés reciente, documentado en este informe, de la industria automotriz y de baterías en el manganeso mexicano de Molango.</w:t>
      </w:r>
    </w:p>
    <w:p w14:paraId="33E7239D" w14:textId="77777777" w:rsidR="002425BC" w:rsidRDefault="00000000">
      <w:pPr>
        <w:pStyle w:val="Prrafodelista"/>
        <w:numPr>
          <w:ilvl w:val="0"/>
          <w:numId w:val="2"/>
        </w:numPr>
        <w:spacing w:after="80"/>
      </w:pPr>
      <w:r>
        <w:rPr>
          <w:b/>
          <w:bCs/>
        </w:rPr>
        <w:t xml:space="preserve">Digitalización. </w:t>
      </w:r>
      <w:r>
        <w:t>El IGF estima que se requieren unos 42 minerales críticos distintos, entre ellos las tierras raras, para fabricar los dispositivos digitales emergentes. La sílice de alta pureza es, dentro de este informe, el mineral más directamente asociado a esta vía: es la materia prima de las obleas de silicio usadas en semiconductores, y el grafito natural, aunque en menor proporción, también se utiliza en componentes electrónicos y baterías.</w:t>
      </w:r>
    </w:p>
    <w:p w14:paraId="454E1494" w14:textId="77777777" w:rsidR="002425BC" w:rsidRDefault="00000000">
      <w:pPr>
        <w:pStyle w:val="Prrafodelista"/>
        <w:numPr>
          <w:ilvl w:val="0"/>
          <w:numId w:val="2"/>
        </w:numPr>
        <w:spacing w:after="80"/>
      </w:pPr>
      <w:r>
        <w:rPr>
          <w:b/>
          <w:bCs/>
        </w:rPr>
        <w:t xml:space="preserve">Eficiencia energética y consumo sostenible / aplicaciones industriales. </w:t>
      </w:r>
      <w:r>
        <w:t>El zinc y el plomo —usados de forma masiva en galvanizado anticorrosivo y en baterías de arranque automotriz e industrial respectivamente— y el cobre en motores eléctricos de alta eficiencia ejemplifican esta vía dentro del corpus mexicano.</w:t>
      </w:r>
    </w:p>
    <w:p w14:paraId="5F7843BC" w14:textId="77777777" w:rsidR="002425BC" w:rsidRDefault="00000000">
      <w:pPr>
        <w:pStyle w:val="Prrafodelista"/>
        <w:numPr>
          <w:ilvl w:val="0"/>
          <w:numId w:val="2"/>
        </w:numPr>
        <w:spacing w:after="80"/>
      </w:pPr>
      <w:r>
        <w:rPr>
          <w:b/>
          <w:bCs/>
        </w:rPr>
        <w:t xml:space="preserve">Infraestructura y construcción. </w:t>
      </w:r>
      <w:r>
        <w:t>La barita (insumo casi exclusivo de la perforación de pozos petroleros) y la sílice (componente del concreto, el vidrio plano y los ladrillos) están más vinculadas a esta vía que a la transición energética propiamente dicha, lo que explica por qué su demanda depende más del ciclo de inversión en hidrocarburos y construcción que de la electromovilidad.</w:t>
      </w:r>
    </w:p>
    <w:p w14:paraId="23CB7890" w14:textId="77777777" w:rsidR="002425BC" w:rsidRDefault="00000000">
      <w:pPr>
        <w:pStyle w:val="Ttulo2"/>
      </w:pPr>
      <w:bookmarkStart w:id="17" w:name="_Toc232941819"/>
      <w:r>
        <w:t>4.2 El cobre y la plata como caso de manual: el grafico de aplicaciones del IGF</w:t>
      </w:r>
      <w:bookmarkEnd w:id="17"/>
    </w:p>
    <w:p w14:paraId="4FDCEA0E" w14:textId="77777777" w:rsidR="002425BC" w:rsidRDefault="00000000">
      <w:pPr>
        <w:spacing w:after="160" w:line="276" w:lineRule="auto"/>
        <w:jc w:val="both"/>
      </w:pPr>
      <w:r>
        <w:t xml:space="preserve">El documento del IGF incluye un desglose de minerales y metales presentes en vehículos eléctricos por peso, donde el cobre figura con 53.2 kg por vehículo (junto con Australia, Canadá, </w:t>
      </w:r>
      <w:r>
        <w:lastRenderedPageBreak/>
        <w:t>Chile, la República Democrática del Congo, Kazajistán, México, Perú, Estados Unidos y Zambia entre los principales países productores citados explícitamente) y el manganeso con 24.5 kg. El mismo documento ubica al cobre y a los metales del grupo del platino entre los materiales esenciales para la cadena de suministro médico —equipos de resonancia magnética, tecnología cardiovascular—, y a la plata, el cobre y el manganeso entre los minerales presentes en energías renovables y dispositivos móviles. Que México sea, simultáneamente, el principal productor mundial de plata y un productor relevante de cobre y manganeso —los tres analizados en este informe— no es casualidad geológica menor: coloca al país en una posición de proveeduría simultánea a, al menos, tres de las seis vías de demanda identificadas por el IGF.</w:t>
      </w:r>
    </w:p>
    <w:p w14:paraId="690BE856" w14:textId="77777777" w:rsidR="002425BC" w:rsidRDefault="00000000">
      <w:pPr>
        <w:pStyle w:val="Ttulo2"/>
      </w:pPr>
      <w:bookmarkStart w:id="18" w:name="_Toc232941820"/>
      <w:r>
        <w:t>4.3 Riesgos de suministro: la lectura del IGF aplicada a México</w:t>
      </w:r>
      <w:bookmarkEnd w:id="18"/>
    </w:p>
    <w:p w14:paraId="08DD0F80" w14:textId="77777777" w:rsidR="002425BC" w:rsidRDefault="00000000">
      <w:pPr>
        <w:spacing w:after="160" w:line="276" w:lineRule="auto"/>
        <w:jc w:val="both"/>
      </w:pPr>
      <w:r>
        <w:t>El IGF identifica tres categorías de riesgo asociadas al auge de la demanda de minerales críticos: riesgos de suministro derivados de la concentración de la producción y el procesamiento en pocos países y empresas; riesgos en los contratos de off-take (suministro de largo plazo) por desajustes de volumen y volatilidad de precios; y riesgos macroeconómicos, incluida la llamada "enfermedad holandesa", en la que la dependencia de un sector exportador de materias primas aprecia la moneda y perjudica al resto de la economía. Los capítulos siguientes de este informe documentan, mineral por mineral, una versión mexicana muy concreta del primer riesgo señalado por el IGF: la concentración de la producción y el procesamiento no solo en pocos países, sino, dentro de México mismo, en un número muy reducido de empresas —en los casos de fluorita y manganeso, en una sola compañía—. Esa es, precisamente, la columna vertebral empírica del resto de este informe.</w:t>
      </w:r>
    </w:p>
    <w:p w14:paraId="23A85654" w14:textId="77777777" w:rsidR="002425BC" w:rsidRDefault="00000000">
      <w:pPr>
        <w:spacing w:before="40" w:after="240"/>
      </w:pPr>
      <w:r>
        <w:rPr>
          <w:i/>
          <w:iCs/>
          <w:color w:val="555555"/>
          <w:sz w:val="17"/>
          <w:szCs w:val="17"/>
        </w:rPr>
        <w:t>Fuente: Hendriwardani, M. y Ramdoo, I. (2022). Minerales críticos: datos básicos. Foro Intergubernamental sobre Minería, Minerales, Metales y Desarrollo Sostenible (IGF). https://www.igfmining.org/wp-content/uploads/2022/11/critical-minerals-primer-es-WEB.pdf</w:t>
      </w:r>
    </w:p>
    <w:p w14:paraId="0C048A2B" w14:textId="77777777" w:rsidR="002425BC" w:rsidRDefault="00000000">
      <w:pPr>
        <w:pStyle w:val="Ttulo1"/>
        <w:pageBreakBefore/>
        <w:pBdr>
          <w:bottom w:val="single" w:sz="8" w:space="4" w:color="1F3B5C"/>
        </w:pBdr>
      </w:pPr>
      <w:bookmarkStart w:id="19" w:name="_Toc232941821"/>
      <w:r>
        <w:lastRenderedPageBreak/>
        <w:t>5. Barita</w:t>
      </w:r>
      <w:bookmarkEnd w:id="19"/>
    </w:p>
    <w:p w14:paraId="25354932" w14:textId="77777777" w:rsidR="002425BC" w:rsidRDefault="00000000">
      <w:pPr>
        <w:pStyle w:val="Ttulo2"/>
      </w:pPr>
      <w:bookmarkStart w:id="20" w:name="_Toc232941822"/>
      <w:r>
        <w:t>5.1 Contexto: un mercado cautivo de la industria petrolera</w:t>
      </w:r>
      <w:bookmarkEnd w:id="20"/>
    </w:p>
    <w:p w14:paraId="0845D823" w14:textId="77777777" w:rsidR="002425BC" w:rsidRDefault="00000000">
      <w:pPr>
        <w:spacing w:after="160" w:line="276" w:lineRule="auto"/>
        <w:jc w:val="both"/>
      </w:pPr>
      <w:r>
        <w:t>El 95% de la barita producida en México se destina a la perforación de pozos petroleros (como componente de lodos de perforación), lo que vuelve a su mercado estructuralmente dependiente de los ciclos de inversión en exploración de PEMEX y, en menor medida, de la industria petrolera privada que opera en aguas mexicanas desde la reforma energética de 2013-2014. El 5% restante se destina a pinturas automotrices y blindaje radiológico. México se ubica entre los principales productores mundiales de barita, en séptimo lugar según cifras del SGM de 2020.</w:t>
      </w:r>
    </w:p>
    <w:p w14:paraId="7A816970" w14:textId="77777777" w:rsidR="002425BC" w:rsidRDefault="00000000">
      <w:pPr>
        <w:pStyle w:val="Ttulo2"/>
      </w:pPr>
      <w:bookmarkStart w:id="21" w:name="_Toc232941823"/>
      <w:r>
        <w:t>5.2 Extracción: oligopolio histórico de cuatro empresas</w:t>
      </w:r>
      <w:bookmarkEnd w:id="21"/>
    </w:p>
    <w:p w14:paraId="51B6ECC4" w14:textId="77777777" w:rsidR="002425BC" w:rsidRDefault="00000000">
      <w:pPr>
        <w:spacing w:after="160" w:line="276" w:lineRule="auto"/>
        <w:jc w:val="both"/>
      </w:pPr>
      <w:r>
        <w:t>A diferencia de la fluorita o el manganeso, la barita mexicana no ha tenido nunca un productor único, pero sí un número reducido y estable de operadores: la Secretaría de Economía documentaba en 2012 que "la barita nacional cuenta con 4 empresas productoras y prácticamente un solo consumidor" (la industria petrolera), estructura que las fuentes públicas consultadas no muestran haber cambiado de forma sustancial en la década siguiente. No existe, en fuentes oficiales, una cifra de participación de mercado por empresa individual —situación común a los minerales no metálicos de este informe—, pero sí una concentración geográfica muy marcada y cambiante en el tiempo: Nuevo León (región de Galeana) se consolidó como el productor dominante hacia el final de la década de 2010, con 89% de la producción nacional en 2019, mientras que Coahuila vio caer su participación de 16.4% en 2016 a apenas 5% en 2017. Sonora ha mantenido una participación secundaria pero relevante (11% a 19% según el año) y Chihuahua una contribución marginal (1% a 2%).</w:t>
      </w:r>
    </w:p>
    <w:p w14:paraId="71A5F770" w14:textId="77777777" w:rsidR="002425BC" w:rsidRDefault="00000000">
      <w:pPr>
        <w:pStyle w:val="Ttulo2"/>
      </w:pPr>
      <w:bookmarkStart w:id="22" w:name="_Toc232941824"/>
      <w:r>
        <w:t>5.3 Refinación y procesamiento</w:t>
      </w:r>
      <w:bookmarkEnd w:id="22"/>
    </w:p>
    <w:p w14:paraId="07127489" w14:textId="77777777" w:rsidR="002425BC" w:rsidRDefault="00000000">
      <w:pPr>
        <w:spacing w:after="160" w:line="276" w:lineRule="auto"/>
        <w:jc w:val="both"/>
      </w:pPr>
      <w:r>
        <w:t>La barita no requiere un proceso de refinación metalúrgica equivalente al de los metales: su "beneficio" consiste en trituración, molienda y micronización hasta alcanzar el tamaño de partícula y la densidad (peso específico de entre 4.3 y 4.6 g/cc) exigidos por la industria de lodos de perforación. Por esta razón, las mismas cuatro empresas productoras identificadas por la Secretaría de Economía concentran tanto la extracción como el procesamiento del mineral; no existe, a diferencia de plata, plomo o zinc, una etapa de refinación separada dominada por un actor distinto.</w:t>
      </w:r>
    </w:p>
    <w:p w14:paraId="6A0D4E29" w14:textId="77777777" w:rsidR="002425BC" w:rsidRDefault="00000000">
      <w:pPr>
        <w:pStyle w:val="Ttulo2"/>
      </w:pPr>
      <w:bookmarkStart w:id="23" w:name="_Toc232941825"/>
      <w:r>
        <w:t>5.4 Destino de la producción: mercado interno petrolero y exportación a Estados Unidos</w:t>
      </w:r>
      <w:bookmarkEnd w:id="23"/>
    </w:p>
    <w:p w14:paraId="1B7C630C" w14:textId="77777777" w:rsidR="002425BC" w:rsidRDefault="00000000">
      <w:pPr>
        <w:spacing w:after="160" w:line="276" w:lineRule="auto"/>
        <w:jc w:val="both"/>
      </w:pPr>
      <w:r>
        <w:t xml:space="preserve">A diferencia de la mayoría de los minerales de este informe, la barita mexicana se consume mayoritariamente dentro del país: el 95% de la producción abastece a la industria petrolera nacional (PEMEX y operadores privados bajo contratos derivados de la reforma energética de 2013-2014). Del remanente exportable, Estados Unidos ha sido el destino dominante de forma sostenida: 78.3% de las exportaciones en 2013, con Colombia (12.6%) y Venezuela (8.4%) como destinos secundarios relevantes ese año. Las importaciones mexicanas de barita —que </w:t>
      </w:r>
      <w:r>
        <w:lastRenderedPageBreak/>
        <w:t>complementan el abasto interno cuando la producción doméstica no alcanza, sobre todo en los años de mayor actividad petrolera— han provenido históricamente de Marruecos, India y China.</w:t>
      </w:r>
    </w:p>
    <w:p w14:paraId="0DF08945" w14:textId="77777777" w:rsidR="002425BC" w:rsidRDefault="00000000">
      <w:pPr>
        <w:pStyle w:val="Ttulo2"/>
      </w:pPr>
      <w:bookmarkStart w:id="24" w:name="_Toc232941826"/>
      <w:r>
        <w:t>5.5 Volatilidad de producción ligada al ciclo petrolero (2012-2024)</w:t>
      </w:r>
      <w:bookmarkEnd w:id="24"/>
    </w:p>
    <w:p w14:paraId="5FCEE199" w14:textId="77777777" w:rsidR="002425BC" w:rsidRDefault="00000000">
      <w:pPr>
        <w:spacing w:after="160" w:line="276" w:lineRule="auto"/>
        <w:jc w:val="both"/>
      </w:pPr>
      <w:r>
        <w:t>La producción de barita ha mostrado fuertes oscilaciones en el periodo analizado, reflejo directo del gasto en exploración petrolera: de 134 mil toneladas en 2011 a 343 mil toneladas en 2013 (un incremento de 145.4% en dos años), seguido de una caída marcada en 2016-2017 y una recuperación posterior. En 2024, la producción de barita retrocedió 17.5% respecto de 2023, de acuerdo con el estudio CIDE-CAMIMEX. Esta volatilidad de la demanda —más que cambios en la estructura de propiedad— explica la mayor parte de las variaciones observadas en el mercado de la barita entre 1993 y 2025.</w:t>
      </w:r>
    </w:p>
    <w:p w14:paraId="1EB19A01" w14:textId="77777777" w:rsidR="002425BC" w:rsidRDefault="00000000">
      <w:pPr>
        <w:pStyle w:val="Ttulo2"/>
      </w:pPr>
      <w:bookmarkStart w:id="25" w:name="_Toc232941827"/>
      <w:r>
        <w:t>5.6 Impacto de la reforma a la Ley Minera de 2023</w:t>
      </w:r>
      <w:bookmarkEnd w:id="25"/>
    </w:p>
    <w:p w14:paraId="1E6DCFAA" w14:textId="77777777" w:rsidR="002425BC" w:rsidRDefault="00000000">
      <w:pPr>
        <w:spacing w:after="160" w:line="276" w:lineRule="auto"/>
        <w:jc w:val="both"/>
      </w:pPr>
      <w:r>
        <w:t>La barita, al ser un mineral no metálico de menor escala y sin grandes operaciones a cielo abierto comparables a las del cobre o el oro, ha estado relativamente menos expuesta a la cobertura pública sobre los efectos de la reforma de 2023 que los metales preciosos y base. No obstante, comparte con el resto del sector dos efectos generales documentados en este informe: la exclusividad del SGM sobre la exploración de nuevas zonas —que limita la capacidad de las cuatro empresas bariteras de identificar y desarrollar nuevos yacimientos por cuenta propia— y la incertidumbre derivada del litigio constitucional sobre la reforma, que mantiene paralizado el otorgamiento de nuevas concesiones desde 2023 en todo el sector, incluidos los minerales no metálicos.</w:t>
      </w:r>
    </w:p>
    <w:p w14:paraId="75C4622E" w14:textId="77777777" w:rsidR="002425BC" w:rsidRDefault="00000000">
      <w:pPr>
        <w:spacing w:after="160" w:line="276" w:lineRule="auto"/>
        <w:jc w:val="both"/>
      </w:pPr>
      <w:r>
        <w:rPr>
          <w:b/>
          <w:bCs/>
        </w:rPr>
        <w:t>Conclusión del mineral:</w:t>
      </w:r>
    </w:p>
    <w:p w14:paraId="09F76C1C" w14:textId="77777777" w:rsidR="002425BC" w:rsidRDefault="00000000">
      <w:pPr>
        <w:spacing w:after="160" w:line="276" w:lineRule="auto"/>
        <w:jc w:val="both"/>
      </w:pPr>
      <w:r>
        <w:t>El mercado de la barita en México combina una concentración empresarial moderada-alta (cuatro empresas productoras desde, al menos, la década de 2010, que controlan tanto la extracción como el procesamiento) con una concentración geográfica muy variable en el tiempo, condicionada por el descubrimiento y agotamiento de yacimientos en Nuevo León, Coahuila y Sonora. Es, de los diez minerales de este informe, el más estructuralmente dependiente de un solo comprador doméstico (la industria petrolera), por lo que su historia de mercado es, ante todo, una historia del ciclo de inversión petrolera mexicana más que de movimientos de concentración empresarial.</w:t>
      </w:r>
    </w:p>
    <w:p w14:paraId="73FB2923" w14:textId="77777777" w:rsidR="002425BC" w:rsidRDefault="00000000">
      <w:pPr>
        <w:spacing w:before="40" w:after="240"/>
      </w:pPr>
      <w:r>
        <w:rPr>
          <w:i/>
          <w:iCs/>
          <w:color w:val="555555"/>
          <w:sz w:val="17"/>
          <w:szCs w:val="17"/>
        </w:rPr>
        <w:t>Fuente: Secretaría de Economía, Perfiles de Mercado de la Barita (ediciones 2012, 2014, 2020, 2021); CIDE-CAMIMEX (2025), Relevancia del sector minero mexicano en el desarrollo económico nacional.</w:t>
      </w:r>
    </w:p>
    <w:p w14:paraId="0566220C" w14:textId="77777777" w:rsidR="002425BC" w:rsidRDefault="00000000">
      <w:pPr>
        <w:pStyle w:val="Ttulo1"/>
        <w:pageBreakBefore/>
        <w:pBdr>
          <w:bottom w:val="single" w:sz="8" w:space="4" w:color="1F3B5C"/>
        </w:pBdr>
      </w:pPr>
      <w:bookmarkStart w:id="26" w:name="_Toc232941828"/>
      <w:r>
        <w:lastRenderedPageBreak/>
        <w:t>6. Cobre</w:t>
      </w:r>
      <w:bookmarkEnd w:id="26"/>
    </w:p>
    <w:p w14:paraId="3A34E36D" w14:textId="77777777" w:rsidR="002425BC" w:rsidRDefault="00000000">
      <w:pPr>
        <w:pStyle w:val="Ttulo2"/>
      </w:pPr>
      <w:bookmarkStart w:id="27" w:name="_Toc232941829"/>
      <w:r>
        <w:t>6.1 Contexto: México en el mercado mundial</w:t>
      </w:r>
      <w:bookmarkEnd w:id="27"/>
    </w:p>
    <w:p w14:paraId="1A05A7DD" w14:textId="77777777" w:rsidR="002425BC" w:rsidRDefault="00000000">
      <w:pPr>
        <w:spacing w:after="160" w:line="276" w:lineRule="auto"/>
        <w:jc w:val="both"/>
      </w:pPr>
      <w:r>
        <w:t>México se ubica de manera consistente entre los diez principales productores mundiales de cobre —en 2025 ocupaba el octavo o noveno lugar según la fuente—, con una producción nacional concentrada de forma extraordinaria en el estado de Sonora: en 2023, Sonora aportó el 80.2% de la producción nacional de cobre, y dentro de Sonora, los municipios de Cananea y Nacozari concentraron el 94% de la producción estatal. La producción minero-metalúrgica nacional de cobre fue de 699,118 toneladas en 2023 y de 717,332 toneladas en 2024 (un incremento de 2.6% según INEGI), aunque el dato de CAMIMEX para 2023 es de 508,804 toneladas medido bajo otra metodología, ilustrando la heterogeneidad de fuentes señalada en la nota metodológica de este informe.</w:t>
      </w:r>
    </w:p>
    <w:p w14:paraId="660585E6" w14:textId="77777777" w:rsidR="002425BC" w:rsidRDefault="00000000">
      <w:pPr>
        <w:pStyle w:val="Ttulo2"/>
      </w:pPr>
      <w:bookmarkStart w:id="28" w:name="_Toc232941830"/>
      <w:r>
        <w:t>6.2 De la privatización al monopolio casi absoluto de Grupo México (1990-2000)</w:t>
      </w:r>
      <w:bookmarkEnd w:id="28"/>
    </w:p>
    <w:p w14:paraId="7CEEC6BB" w14:textId="77777777" w:rsidR="002425BC" w:rsidRDefault="00000000">
      <w:pPr>
        <w:spacing w:after="160" w:line="276" w:lineRule="auto"/>
        <w:jc w:val="both"/>
      </w:pPr>
      <w:r>
        <w:t>El mercado del cobre mexicano es, de los diez analizados, el que exhibe el patrón de concentración más nítido y mejor documentado, y prácticamente el único en el que es posible reconstruir el precio exacto de la transacción fundacional. En 1989, el Estado canceló dos licitaciones para la Compañía Minera de Cananea en las que Protexa Monterrey e Industrias Peñoles habían ofrecido 975 y 650 millones de dólares respectivamente, y terminó adjudicando la empresa a Grupo México —entonces encabezado por Jorge Larrea— por apenas 175 millones de dólares, una cifra 3.7 veces inferior a la oferta de Protexa, obteniendo además la cancelación del contrato colectivo de trabajo a cambio de ceder 5% de las acciones de la compañía. Con esta operación, formalizada en 1990, Grupo México consolidó un dominio prácticamente monopólico sobre la minería de cobre en Sonora. Para el año 2000, esas operaciones —sumadas a La Caridad, incorporada también en los años noventa— llevaron a Grupo México a producir el 87.5% del cobre nacional, posicionándolo entre los tres mayores productores de cobre del mundo.</w:t>
      </w:r>
    </w:p>
    <w:p w14:paraId="6F4AEFA3" w14:textId="77777777" w:rsidR="002425BC" w:rsidRDefault="00000000">
      <w:pPr>
        <w:pStyle w:val="Ttulo2"/>
      </w:pPr>
      <w:bookmarkStart w:id="29" w:name="_Toc232941831"/>
      <w:r>
        <w:t>6.3 Internacionalización: la compra de ASARCO (2004)</w:t>
      </w:r>
      <w:bookmarkEnd w:id="29"/>
    </w:p>
    <w:p w14:paraId="28D83C39" w14:textId="77777777" w:rsidR="002425BC" w:rsidRDefault="00000000">
      <w:pPr>
        <w:spacing w:after="160" w:line="276" w:lineRule="auto"/>
        <w:jc w:val="both"/>
      </w:pPr>
      <w:r>
        <w:t>El hito que transformó a Grupo México de líder nacional a actor cuprífero de escala global fue la adquisición de ASARCO (Estados Unidos) y de su participación mayoritaria en Southern Peru Copper Corporation. Con esa operación, Grupo México tomó el control de las operaciones mineras de ASARCO en Estados Unidos y de SPCC en Perú, posicionándose como la primera compañía del mundo en reservas de cobre y el cuarto productor mundial tanto de cobre como de plata. Desde entonces, la operación mexicana de cobre —Buenavista del Cobre (la antigua Cananea) y La Caridad— forma parte de un portafolio integrado verticalmente (minería, fundición y refinación) que opera bajo la subsidiaria Americas Mining Corporation, con presencia en México, Perú, Estados Unidos y proyectos de exploración en Chile, Argentina, Ecuador y España.</w:t>
      </w:r>
    </w:p>
    <w:p w14:paraId="0A8B21DD" w14:textId="77777777" w:rsidR="002425BC" w:rsidRDefault="00000000">
      <w:pPr>
        <w:pStyle w:val="Ttulo2"/>
      </w:pPr>
      <w:bookmarkStart w:id="30" w:name="_Toc232941832"/>
      <w:r>
        <w:t>6.4 Extracción y refinación: el porcentaje exacto de Grupo México (2022-2024)</w:t>
      </w:r>
      <w:bookmarkEnd w:id="30"/>
    </w:p>
    <w:p w14:paraId="169ED5E2" w14:textId="77777777" w:rsidR="002425BC" w:rsidRDefault="00000000">
      <w:pPr>
        <w:spacing w:after="160" w:line="276" w:lineRule="auto"/>
        <w:jc w:val="both"/>
      </w:pPr>
      <w:r>
        <w:lastRenderedPageBreak/>
        <w:t>Las cifras más recientes permiten precisar, con un grado de exactitud poco común entre los minerales de este informe, la participación de mercado de Grupo México en la extracción de cobre mexicano. De acuerdo con datos compilados por la consultora Expert Market Research, Grupo México dominó la producción mexicana de cobre en 2022 con una participación de mercado de 73.3%, seguido por Minera Frisco, Santa María de la Paz y Anexas, Capstone Copper y Grupo Invecture. Para 2024, la Cámara Minera de México reportó que la participación de Grupo México había subido a 78%, seguida de Capstone Copper (empresa canadiense con el proyecto Cozamín, entre otros), Nemisa, Industrias Peñoles —cuya producción de cobre es subproducto de sus minas polimetálicas de zinc-plomo-cobre— y otros operadores menores. En la etapa de refinación, Grupo México mantiene una posición aún más dominante, al ser la única empresa mexicana con fundición y refinería electrolítica de cobre integradas dentro del Complejo Metalúrgico de Sonora, lo que en la práctica convierte a la refinación de cobre primario en un monopolio de facto del grupo dentro del territorio nacional.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425BC" w14:paraId="20DA60AC" w14:textId="77777777">
        <w:trPr>
          <w:tblHeader/>
        </w:trPr>
        <w:tc>
          <w:tcPr>
            <w:tcW w:w="30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667FF439" w14:textId="77777777" w:rsidR="002425BC" w:rsidRDefault="00000000">
            <w:r>
              <w:rPr>
                <w:b/>
                <w:bCs/>
                <w:color w:val="FFFFFF"/>
                <w:sz w:val="19"/>
                <w:szCs w:val="19"/>
              </w:rPr>
              <w:t>Año</w:t>
            </w:r>
          </w:p>
        </w:tc>
        <w:tc>
          <w:tcPr>
            <w:tcW w:w="63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55C92697" w14:textId="77777777" w:rsidR="002425BC" w:rsidRDefault="00000000">
            <w:r>
              <w:rPr>
                <w:b/>
                <w:bCs/>
                <w:color w:val="FFFFFF"/>
                <w:sz w:val="19"/>
                <w:szCs w:val="19"/>
              </w:rPr>
              <w:t>Participación de Grupo México en extracción de cobre</w:t>
            </w:r>
          </w:p>
        </w:tc>
      </w:tr>
      <w:tr w:rsidR="002425BC" w14:paraId="6555F809" w14:textId="77777777">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4BB7CF3" w14:textId="77777777" w:rsidR="002425BC" w:rsidRDefault="00000000">
            <w:r>
              <w:rPr>
                <w:sz w:val="19"/>
                <w:szCs w:val="19"/>
              </w:rPr>
              <w:t>2000</w:t>
            </w:r>
          </w:p>
        </w:tc>
        <w:tc>
          <w:tcPr>
            <w:tcW w:w="6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7B567A5" w14:textId="77777777" w:rsidR="002425BC" w:rsidRDefault="00000000">
            <w:r>
              <w:rPr>
                <w:sz w:val="19"/>
                <w:szCs w:val="19"/>
              </w:rPr>
              <w:t>≈87.5% de la producción nacional</w:t>
            </w:r>
          </w:p>
        </w:tc>
      </w:tr>
      <w:tr w:rsidR="002425BC" w14:paraId="35EB4342" w14:textId="77777777">
        <w:tc>
          <w:tcPr>
            <w:tcW w:w="3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E195BF8" w14:textId="77777777" w:rsidR="002425BC" w:rsidRDefault="00000000">
            <w:r>
              <w:rPr>
                <w:sz w:val="19"/>
                <w:szCs w:val="19"/>
              </w:rPr>
              <w:t>2018</w:t>
            </w:r>
          </w:p>
        </w:tc>
        <w:tc>
          <w:tcPr>
            <w:tcW w:w="63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1DEA05BF" w14:textId="77777777" w:rsidR="002425BC" w:rsidRDefault="00000000">
            <w:r>
              <w:rPr>
                <w:sz w:val="19"/>
                <w:szCs w:val="19"/>
              </w:rPr>
              <w:t>≈85% de la producción nacional (estimación académica)</w:t>
            </w:r>
          </w:p>
        </w:tc>
      </w:tr>
      <w:tr w:rsidR="002425BC" w14:paraId="68D7DBE0" w14:textId="77777777">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D8010C6" w14:textId="77777777" w:rsidR="002425BC" w:rsidRDefault="00000000">
            <w:r>
              <w:rPr>
                <w:sz w:val="19"/>
                <w:szCs w:val="19"/>
              </w:rPr>
              <w:t>2022</w:t>
            </w:r>
          </w:p>
        </w:tc>
        <w:tc>
          <w:tcPr>
            <w:tcW w:w="6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5102E95" w14:textId="77777777" w:rsidR="002425BC" w:rsidRDefault="00000000">
            <w:r>
              <w:rPr>
                <w:sz w:val="19"/>
                <w:szCs w:val="19"/>
              </w:rPr>
              <w:t>73.3% de la producción nacional</w:t>
            </w:r>
          </w:p>
        </w:tc>
      </w:tr>
      <w:tr w:rsidR="002425BC" w14:paraId="2DB4998C" w14:textId="77777777">
        <w:tc>
          <w:tcPr>
            <w:tcW w:w="3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3C1B00BC" w14:textId="77777777" w:rsidR="002425BC" w:rsidRDefault="00000000">
            <w:r>
              <w:rPr>
                <w:sz w:val="19"/>
                <w:szCs w:val="19"/>
              </w:rPr>
              <w:t>2024</w:t>
            </w:r>
          </w:p>
        </w:tc>
        <w:tc>
          <w:tcPr>
            <w:tcW w:w="63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2F7F666" w14:textId="77777777" w:rsidR="002425BC" w:rsidRDefault="00000000">
            <w:r>
              <w:rPr>
                <w:sz w:val="19"/>
                <w:szCs w:val="19"/>
              </w:rPr>
              <w:t>78% de la producción nacional</w:t>
            </w:r>
          </w:p>
        </w:tc>
      </w:tr>
    </w:tbl>
    <w:p w14:paraId="04735852" w14:textId="77777777" w:rsidR="002425BC" w:rsidRDefault="00000000">
      <w:pPr>
        <w:pStyle w:val="Ttulo2"/>
      </w:pPr>
      <w:bookmarkStart w:id="31" w:name="_Toc232941833"/>
      <w:r>
        <w:t>6.5 Destino de la producción: ¿cuánto se queda en México y cuánto se exporta?</w:t>
      </w:r>
      <w:bookmarkEnd w:id="31"/>
    </w:p>
    <w:p w14:paraId="580FE7B4" w14:textId="77777777" w:rsidR="002425BC" w:rsidRDefault="00000000">
      <w:pPr>
        <w:spacing w:after="160" w:line="276" w:lineRule="auto"/>
        <w:jc w:val="both"/>
      </w:pPr>
      <w:r>
        <w:t>El cobre mexicano se exporta mayoritariamente como concentrado o mineral sin refinar a procesos de fundición en el extranjero: en 2024, China fue por mucho el principal destino de las exportaciones mexicanas de minerales de cobre y sus concentrados, con 2,315 millones de dólares, seguida de Japón (532 millones), Filipinas (129 millones), Alemania (78.3 millones) y Taiwán (73 millones); el intercambio comercial total de este producto alcanzó 6,203 millones de dólares ese año, con Sonora como la entidad federativa exportadora dominante (3,147 millones de dólares). De acuerdo con cobertura periodística reciente basada en cifras oficiales, siete de cada diez pesos generados por las exportaciones mexicanas de cobre en 2024 tuvieron como destino China. Una porción relevante del cobre extraído en México sí se queda en el país: el estudio CIDE-CAMIMEX documenta que el cobre es, dentro del grupo de metales industriales no ferrosos, el de mayor volumen de producción (488,682 toneladas y 82,654 millones de pesos en 2024), y que la industria minera en su conjunto abastece directamente a sectores manufactureros nacionales —automotriz, eléctrico, construcción— a través de 123 ramas productivas con las que mantiene encadenamientos hacia adelante.</w:t>
      </w:r>
    </w:p>
    <w:p w14:paraId="7538BAC8" w14:textId="77777777" w:rsidR="002425BC" w:rsidRDefault="00000000">
      <w:pPr>
        <w:pStyle w:val="Ttulo2"/>
      </w:pPr>
      <w:bookmarkStart w:id="32" w:name="_Toc232941834"/>
      <w:r>
        <w:t>6.6 Impacto de la reforma a la Ley Minera de 2023</w:t>
      </w:r>
      <w:bookmarkEnd w:id="32"/>
    </w:p>
    <w:p w14:paraId="1C62750F" w14:textId="77777777" w:rsidR="002425BC" w:rsidRDefault="00000000">
      <w:pPr>
        <w:spacing w:after="160" w:line="276" w:lineRule="auto"/>
        <w:jc w:val="both"/>
      </w:pPr>
      <w:r>
        <w:t xml:space="preserve">El cobre, junto con la plata, es el mineral cuya cobertura periodística sobre los efectos de la reforma de 2023 resulta más extensa, dado el tamaño de Grupo México. La reforma redujo la vigencia máxima de las concesiones de 50 a 30 años (con una prórroga única de 25 años adicionales, para un total de 55), eliminó el carácter de "actividad preferente" de la minería frente </w:t>
      </w:r>
      <w:r>
        <w:lastRenderedPageBreak/>
        <w:t>a otros usos del suelo, y trasladó al Servicio Geológico Mexicano la exclusividad sobre la exploración de nuevas zonas. Para Grupo México en particular, el análisis detallado de sus concesiones muestra vigencias dispares: La Caridad Número 1, 2, 3, 4 y 6 vencen en enero de 2029, mientras que La Caridad Número 8 (fracciones 1 y 2) tienen vigencia hasta 2062, lo que en la práctica blinda buena parte de la operación cuprífera actual de Grupo México frente al nuevo régimen, al menos en el corto y mediano plazo, mientras que el verdadero efecto de la reforma recae sobre los proyectos de expansión y exploración que el grupo no ha podido tramitar desde 2023. La consultora Moody's advirtió, ya en 2023, que las limitaciones en la duración de las concesiones podrían dificultar el crecimiento del sector, y reportes especializados de 2025-2026 documentan que la exploración minera cayó 11.5% en 2024 y que el sistema de concesiones permanece, al cierre de este informe, en un "limbo judicial" mientras la Suprema Corte de Justicia de la Nación no resuelve la constitucionalidad de la reforma. Para Grupo México, el efecto observable hasta ahora ha sido más de freno a la expansión futura que de pérdida de control sobre la producción actual: la empresa reportó en 2024 una producción consolidada de cobre de 1,086,052 toneladas (incluyendo sus operaciones en Perú y Estados Unidos), un aumento de 5.5% respecto de 2023.</w:t>
      </w:r>
    </w:p>
    <w:p w14:paraId="0831713B" w14:textId="77777777" w:rsidR="002425BC" w:rsidRDefault="00000000">
      <w:pPr>
        <w:spacing w:after="160" w:line="276" w:lineRule="auto"/>
        <w:jc w:val="both"/>
      </w:pPr>
      <w:r>
        <w:rPr>
          <w:b/>
          <w:bCs/>
        </w:rPr>
        <w:t>Conclusión del mineral:</w:t>
      </w:r>
    </w:p>
    <w:p w14:paraId="6BD1A16C" w14:textId="77777777" w:rsidR="002425BC" w:rsidRDefault="00000000">
      <w:pPr>
        <w:spacing w:after="160" w:line="276" w:lineRule="auto"/>
        <w:jc w:val="both"/>
      </w:pPr>
      <w:r>
        <w:t>El mercado mexicano del cobre ha sido, durante todo el periodo 1990-2025, un cuasi-monopolio de Grupo México, cuya participación en la extracción nacional ha oscilado entre 73% y 87.5% según el año —78% en la medición más reciente de CAMIMEX para 2024—, consolidado mediante la integración vertical completa del proceso (mina-fundición-refinería) y reforzado internacionalmente por la compra de ASARCO en 2004. China concentra la mayor parte de las exportaciones de concentrado de cobre mexicano, mientras que una porción relevante de la producción se incorpora a la manufactura nacional a través de los encadenamientos productivos documentados por el estudio CIDE-CAMIMEX. La reforma de 2023 no ha desplazado a Grupo México de su posición dominante —sus concesiones más productivas tienen vigencias que se extienden hasta la década de 2060— pero sí ha introducido fricción regulatoria sobre la expansión futura del negocio, en un contexto de litigio constitucional aún sin resolver hacia mediados de 2026.</w:t>
      </w:r>
    </w:p>
    <w:p w14:paraId="642AA6E4" w14:textId="77777777" w:rsidR="002425BC" w:rsidRDefault="00000000">
      <w:pPr>
        <w:spacing w:before="40" w:after="240"/>
      </w:pPr>
      <w:r>
        <w:rPr>
          <w:i/>
          <w:iCs/>
          <w:color w:val="555555"/>
          <w:sz w:val="17"/>
          <w:szCs w:val="17"/>
        </w:rPr>
        <w:t>Fuente: CAMIMEX, Compendio Estadístico de la Industria Minero-Metalúrgica (2024); Expert Market Research, Mercado del Cobre en México (2024); PROmineria.com (agosto 2025); Infobae, "Ley Minera: cómo afecta la reforma..." (2023); Jones Day, Mining Reform in Mexico (2023); Minería en Línea, "El limbo judicial de las concesiones mineras" (mayo 2026); DataMéxico / Secretaría de Economía, perfil de Minerales de Cobre y sus Concentrados; PODER Latam (2025).</w:t>
      </w:r>
    </w:p>
    <w:p w14:paraId="53516001" w14:textId="77777777" w:rsidR="002425BC" w:rsidRDefault="00000000">
      <w:pPr>
        <w:pStyle w:val="Ttulo1"/>
        <w:pageBreakBefore/>
        <w:pBdr>
          <w:bottom w:val="single" w:sz="8" w:space="4" w:color="1F3B5C"/>
        </w:pBdr>
      </w:pPr>
      <w:bookmarkStart w:id="33" w:name="_Toc232941835"/>
      <w:r>
        <w:lastRenderedPageBreak/>
        <w:t>7. Fluorita</w:t>
      </w:r>
      <w:bookmarkEnd w:id="33"/>
    </w:p>
    <w:p w14:paraId="73DCE4C5" w14:textId="77777777" w:rsidR="002425BC" w:rsidRDefault="00000000">
      <w:pPr>
        <w:pStyle w:val="Ttulo2"/>
      </w:pPr>
      <w:bookmarkStart w:id="34" w:name="_Toc232941836"/>
      <w:r>
        <w:t>7.1 Contexto: el segundo productor mundial</w:t>
      </w:r>
      <w:bookmarkEnd w:id="34"/>
    </w:p>
    <w:p w14:paraId="7C4154AC" w14:textId="77777777" w:rsidR="002425BC" w:rsidRDefault="00000000">
      <w:pPr>
        <w:spacing w:after="160" w:line="276" w:lineRule="auto"/>
        <w:jc w:val="both"/>
      </w:pPr>
      <w:r>
        <w:t>México es el segundo productor mundial de fluorita, después de China, y posee la mayor reserva mundial del mineral (cerca del 20% de las reservas globales, por encima de China con 19% y Sudáfrica con 13%). Según el USGS, citado por el Compendio Estadístico de CAMIMEX, China aportó 65% de la producción mundial de fluorita en 2023 y México 11.4%. La fluorita es, además, uno de los minerales considerados críticos para la transición energética, al ser insumo del ácido fluorhídrico usado en semiconductores, baterías y refrigerantes.</w:t>
      </w:r>
    </w:p>
    <w:p w14:paraId="715A351B" w14:textId="77777777" w:rsidR="002425BC" w:rsidRDefault="00000000">
      <w:pPr>
        <w:pStyle w:val="Ttulo2"/>
      </w:pPr>
      <w:bookmarkStart w:id="35" w:name="_Toc232941837"/>
      <w:r>
        <w:t>7.2 Un monopolio geográfico y empresarial desde, al menos, los noventa</w:t>
      </w:r>
      <w:bookmarkEnd w:id="35"/>
    </w:p>
    <w:p w14:paraId="2CB438EE" w14:textId="77777777" w:rsidR="002425BC" w:rsidRDefault="00000000">
      <w:pPr>
        <w:spacing w:after="160" w:line="276" w:lineRule="auto"/>
        <w:jc w:val="both"/>
      </w:pPr>
      <w:r>
        <w:t>La estructura de mercado de la fluorita mexicana es excepcionalmente estable y concentrada: San Luis Potosí ha aportado, de forma sostenida, entre el 91% y el 98% de la producción nacional en cada año documentado desde mediados de la década de 2010 hasta 2025 (93.5% en 2015, 91.5% en 2016, 96% en 2018, 98% en enero de 2025), y la totalidad de esa producción potosina proviene de un único distrito minero, Las Cuevas (municipio de Villa de Zaragoza), explotado de forma ininterrumpida desde 1955 y catalogado oficialmente como la mina de fluorita más grande del mundo, con capacidad para cubrir cerca del 20% de la demanda mundial del mineral.</w:t>
      </w:r>
    </w:p>
    <w:p w14:paraId="18F8E080" w14:textId="77777777" w:rsidR="002425BC" w:rsidRDefault="00000000">
      <w:pPr>
        <w:pStyle w:val="Ttulo2"/>
      </w:pPr>
      <w:bookmarkStart w:id="36" w:name="_Toc232941838"/>
      <w:r>
        <w:t>7.3 De Mexichem a Orbia/Koura: continuidad del operador único (extracción y procesamiento)</w:t>
      </w:r>
      <w:bookmarkEnd w:id="36"/>
    </w:p>
    <w:p w14:paraId="1EC94068" w14:textId="77777777" w:rsidR="002425BC" w:rsidRDefault="00000000">
      <w:pPr>
        <w:spacing w:after="160" w:line="276" w:lineRule="auto"/>
        <w:jc w:val="both"/>
      </w:pPr>
      <w:r>
        <w:t>El operador de Las Cuevas ha cambiado de denominación corporativa pero no de identidad última: la mina fue operada bajo el nombre comercial Mexichem durante buena parte del periodo 1993-2018, y desde el cambio de marca corporativa del grupo en 2019-2020 opera como Koura, filial especializada en flúor de Orbia Advance Corporation (la multinacional mexicana antes llamada Mexichem). Como en el caso de la barita, no existe en la fluorita una etapa de "refinación" separada de la extracción comparable a la de los metales: Koura realiza directamente, en el mismo complejo de Las Cuevas, el beneficio del mineral hasta obtener fluorita grado metalúrgico y grado ácido (concentrado superior a 97% de fluoruro de calcio), de modo que la concentración de mercado en extracción y procesamiento es, en la práctica, la misma cifra. La operación mantiene 33 lotes mineros registrados desde 1978 (aunque la explotación del yacimiento se remonta a 1955) y atiende una cadena de suministro de flúor que abarca México, Estados Unidos, Canadá, Reino Unido, Japón y Taiwán. En Coahuila —segundo productor, con una participación residual de entre el 1% y el 8% según el año— operan dos empresas adicionales de fluorita grado concentrado, pero su peso conjunto nunca ha superado un dígito porcentual de la producción nacional.</w:t>
      </w:r>
    </w:p>
    <w:p w14:paraId="29B88836" w14:textId="77777777" w:rsidR="002425BC" w:rsidRDefault="00000000">
      <w:pPr>
        <w:pStyle w:val="Ttulo2"/>
      </w:pPr>
      <w:bookmarkStart w:id="37" w:name="_Toc232941839"/>
      <w:r>
        <w:t>7.4 Destino de la producción: Estados Unidos como comprador estructural</w:t>
      </w:r>
      <w:bookmarkEnd w:id="37"/>
    </w:p>
    <w:p w14:paraId="274E3C76" w14:textId="77777777" w:rsidR="002425BC" w:rsidRDefault="00000000">
      <w:pPr>
        <w:spacing w:after="160" w:line="276" w:lineRule="auto"/>
        <w:jc w:val="both"/>
      </w:pPr>
      <w:r>
        <w:t xml:space="preserve">La fluorita mexicana se exporta de forma abrumadoramente mayoritaria, dado que el consumo industrial interno (vidrio, cerámica, algo de química) es reducido frente a la capacidad productiva de Las Cuevas. Estados Unidos —que no produce fluorita de forma comercial— ha sido el comprador estructural: en 2018, Estados Unidos absorbió 39% de las exportaciones mexicanas </w:t>
      </w:r>
      <w:r>
        <w:lastRenderedPageBreak/>
        <w:t>de fluorita, seguido de Italia (21%), Países Bajos (10%), Túnez (6%), Japón (6%) y Brasil (4%); en el periodo 2014-2017, México cubrió 69% del total de las importaciones estadounidenses de fluorita, frente a 10% de Vietnam, 8% de Sudáfrica y 6% de China. Hacia 2025-2026, la dependencia estadounidense de la fluorita mexicana se intensificó: el Instituto Mexicano para la Competitividad reportó que México fue el proveedor de cerca de 70% de la fluorita importada por Estados Unidos en 2025, convirtiendo a este mineral en una de las piezas centrales de la negociación binacional sobre minerales críticos en el marco de la revisión del T-MEC.</w:t>
      </w:r>
    </w:p>
    <w:p w14:paraId="7F724139" w14:textId="77777777" w:rsidR="002425BC" w:rsidRDefault="00000000">
      <w:pPr>
        <w:pStyle w:val="Ttulo2"/>
      </w:pPr>
      <w:bookmarkStart w:id="38" w:name="_Toc232941840"/>
      <w:r>
        <w:t>7.5 Impacto de la reforma a la Ley Minera de 2023</w:t>
      </w:r>
      <w:bookmarkEnd w:id="38"/>
    </w:p>
    <w:p w14:paraId="5D3D170D" w14:textId="77777777" w:rsidR="002425BC" w:rsidRDefault="00000000">
      <w:pPr>
        <w:spacing w:after="160" w:line="276" w:lineRule="auto"/>
        <w:jc w:val="both"/>
      </w:pPr>
      <w:r>
        <w:t>Por tratarse de una operación consolidada desde hace siete décadas, con concesiones ya otorgadas y en producción continua, la fluorita de Las Cuevas no ha sido reportada como un caso de fricción regulatoria comparable al de los grandes proyectos de cobre u oro en expansión. El efecto más relevante de la reforma de 2023 sobre este mineral en particular es indirecto y de naturaleza geopolítica: al posicionarse el gobierno de Estados Unidos, desde 2025-2026, en la negociación de un plan de acción binacional sobre minerales críticos que incluye explícitamente a la fluorita, la certidumbre regulatoria del régimen mexicano de concesiones —hoy en "limbo judicial" mientras la Suprema Corte resuelve la constitucionalidad de la reforma— se ha convertido en un tema de interés directo para la diplomacia comercial entre ambos países, más allá del caso específico de Koura.</w:t>
      </w:r>
    </w:p>
    <w:p w14:paraId="0BAA2491" w14:textId="77777777" w:rsidR="002425BC" w:rsidRDefault="00000000">
      <w:pPr>
        <w:spacing w:after="160" w:line="276" w:lineRule="auto"/>
        <w:jc w:val="both"/>
      </w:pPr>
      <w:r>
        <w:rPr>
          <w:b/>
          <w:bCs/>
        </w:rPr>
        <w:t>Conclusión del mineral:</w:t>
      </w:r>
    </w:p>
    <w:p w14:paraId="19499629" w14:textId="77777777" w:rsidR="002425BC" w:rsidRDefault="00000000">
      <w:pPr>
        <w:spacing w:after="160" w:line="276" w:lineRule="auto"/>
        <w:jc w:val="both"/>
      </w:pPr>
      <w:r>
        <w:t>La fluorita mexicana ha sido, durante todo el periodo 1993-2025, un monopolio empresarial sostenido: toda la producción del estado líder (San Luis Potosí, 91% a 98% del total nacional según el año) proviene de una sola mina (Las Cuevas) operada de forma continua por el mismo grupo corporativo, que ha cambiado de nombre (Mexichem → Orbia/Koura) pero no de control accionarial último. Es, junto con el manganeso, el caso de concentración más extremo de los diez minerales analizados, con la particularidad de que, a diferencia del manganeso —cuyo mercado es esencialmente doméstico—, la fluorita mexicana se exporta de forma mayoritaria y ocupa una posición estratégica creciente en la relación comercial con Estados Unidos, que depende de México para cerca de 70% de sus importaciones del mineral.</w:t>
      </w:r>
    </w:p>
    <w:p w14:paraId="37126150" w14:textId="77777777" w:rsidR="002425BC" w:rsidRDefault="00000000">
      <w:pPr>
        <w:spacing w:before="40" w:after="240"/>
      </w:pPr>
      <w:r>
        <w:rPr>
          <w:i/>
          <w:iCs/>
          <w:color w:val="555555"/>
          <w:sz w:val="17"/>
          <w:szCs w:val="17"/>
        </w:rPr>
        <w:t>Fuente: Secretaría de Economía, Perfiles de Mercado de la Fluorita (ediciones 2014, 2017, 2018, 2020, 2021); Dialogue Earth (octubre 2025); Compendio Estadístico de la Industria Minero-Metalúrgica, CAMIMEX (2024); IMCO, "Los minerales críticos en la revisión del T-MEC" (abril 2026); Sedeco San Luis Potosí (abril 2025).</w:t>
      </w:r>
    </w:p>
    <w:p w14:paraId="572BF94D" w14:textId="77777777" w:rsidR="002425BC" w:rsidRDefault="00000000">
      <w:pPr>
        <w:pStyle w:val="Ttulo1"/>
        <w:pageBreakBefore/>
        <w:pBdr>
          <w:bottom w:val="single" w:sz="8" w:space="4" w:color="1F3B5C"/>
        </w:pBdr>
      </w:pPr>
      <w:bookmarkStart w:id="39" w:name="_Toc232941841"/>
      <w:r>
        <w:lastRenderedPageBreak/>
        <w:t>8. Grafito</w:t>
      </w:r>
      <w:bookmarkEnd w:id="39"/>
    </w:p>
    <w:p w14:paraId="4D07E480" w14:textId="77777777" w:rsidR="002425BC" w:rsidRDefault="00000000">
      <w:pPr>
        <w:pStyle w:val="Ttulo2"/>
      </w:pPr>
      <w:bookmarkStart w:id="40" w:name="_Toc232941842"/>
      <w:r>
        <w:t>8.1 Contexto: monopolio geográfico, mercado empresarial atomizado</w:t>
      </w:r>
      <w:bookmarkEnd w:id="40"/>
    </w:p>
    <w:p w14:paraId="42D5E10F" w14:textId="77777777" w:rsidR="002425BC" w:rsidRDefault="00000000">
      <w:pPr>
        <w:spacing w:after="160" w:line="276" w:lineRule="auto"/>
        <w:jc w:val="both"/>
      </w:pPr>
      <w:r>
        <w:t>El grafito mexicano presenta un caso particular dentro de este informe: existe una concentración geográfica absoluta —Sonora ha producido el 100% del grafito natural de México de forma sostenida desde, al menos, la década de 2010, ya que los yacimientos de Oaxaca (tipo cristalino, en la región de los Valles Centrales) están inactivos—, pero esa concentración geográfica no se traduce en un monopolio empresarial: la extracción y comercialización del grafito amorfo sonorense involucra a un número relativamente amplio de pequeños productores y comercializadoras (minas en la región de Tónichi, San José de Moradillas, San Bernardo y el área de Topiyeca, dentro de la Cuenca Carbonífera de Sonora), sin que ninguna empresa concentre una participación dominante documentada en fuentes públicas. México ocupaba en 2020 el undécimo lugar mundial en producción de grafito y el noveno en reservas (3.1 millones de toneladas).</w:t>
      </w:r>
    </w:p>
    <w:p w14:paraId="2227DF22" w14:textId="77777777" w:rsidR="002425BC" w:rsidRDefault="00000000">
      <w:pPr>
        <w:pStyle w:val="Ttulo2"/>
      </w:pPr>
      <w:bookmarkStart w:id="41" w:name="_Toc232941843"/>
      <w:r>
        <w:t>8.2 Extracción y procesamiento: ausencia de integración vertical dominante</w:t>
      </w:r>
      <w:bookmarkEnd w:id="41"/>
    </w:p>
    <w:p w14:paraId="6EA7D74B" w14:textId="77777777" w:rsidR="002425BC" w:rsidRDefault="00000000">
      <w:pPr>
        <w:spacing w:after="160" w:line="276" w:lineRule="auto"/>
        <w:jc w:val="both"/>
      </w:pPr>
      <w:r>
        <w:t>A diferencia de la fluorita o el manganeso, el grafito sonorense no tiene una sola empresa que controle simultáneamente extracción y procesamiento a escala industrial. El procesamiento consiste en secado, molienda y clasificación por contenido de carbón, tamaño y contenido de azufre, realizado en pequeñas plantas cercanas a las minas; el producto se empaca en bolsas de distintos tamaños o a granel para su envío a consumidores finales, mayoritariamente en Estados Unidos. Esta atomización explica por qué la estadística oficial mexicana reporta el grafito casi siempre a nivel agregado estatal (100% Sonora) sin desagregación por empresa, a diferencia del tratamiento que reciben cobre, oro, plata, zinc y plomo en los informes de CAMIMEX.</w:t>
      </w:r>
    </w:p>
    <w:p w14:paraId="37FB3E13" w14:textId="77777777" w:rsidR="002425BC" w:rsidRDefault="00000000">
      <w:pPr>
        <w:pStyle w:val="Ttulo2"/>
      </w:pPr>
      <w:bookmarkStart w:id="42" w:name="_Toc232941844"/>
      <w:r>
        <w:t>8.3 Un mercado pequeño y orientado casi en su totalidad a exportación</w:t>
      </w:r>
      <w:bookmarkEnd w:id="42"/>
    </w:p>
    <w:p w14:paraId="3C89330C" w14:textId="77777777" w:rsidR="002425BC" w:rsidRDefault="00000000">
      <w:pPr>
        <w:spacing w:after="160" w:line="276" w:lineRule="auto"/>
        <w:jc w:val="both"/>
      </w:pPr>
      <w:r>
        <w:t>El grafito es, en términos absolutos, el mercado más pequeño de los diez analizados en volumen de producción: la producción nacional ronda entre 700 y 7,300 toneladas anuales según el año (1,461 toneladas en 2020, con un valor de apenas 9.5 millones de pesos; 706 toneladas en 2024, según cifras citadas por La Jornada con base en el Informe Anual 2025 de CAMIMEX). Entre el 94.8% y el 98% de las exportaciones mexicanas de grafito natural tienen como destino Estados Unidos, que lo emplea en la fabricación de productos refractarios, fundición de acero y, de forma creciente desde la década de 2020, en la manufactura de baterías para vehículos eléctricos (el grafito es el material estándar del ánodo). En 2024, la producción de grafito retrocedió 34.4% según el Compendio CIDE-CAMIMEX y hasta 45.6% según otra medición del mismo estudio para periodos distintos, evidenciando la fuerte volatilidad de un mercado de escala reducida.</w:t>
      </w:r>
    </w:p>
    <w:p w14:paraId="76782C85" w14:textId="77777777" w:rsidR="002425BC" w:rsidRDefault="00000000">
      <w:pPr>
        <w:pStyle w:val="Ttulo2"/>
      </w:pPr>
      <w:bookmarkStart w:id="43" w:name="_Toc232941845"/>
      <w:r>
        <w:t>8.4 Impacto de la reforma a la Ley Minera de 2023</w:t>
      </w:r>
      <w:bookmarkEnd w:id="43"/>
    </w:p>
    <w:p w14:paraId="7B50F05C" w14:textId="77777777" w:rsidR="002425BC" w:rsidRDefault="00000000">
      <w:pPr>
        <w:spacing w:after="160" w:line="276" w:lineRule="auto"/>
        <w:jc w:val="both"/>
      </w:pPr>
      <w:r>
        <w:t xml:space="preserve">El grafito, por su escala reducida y la atomización de sus productores, no ha sido objeto de cobertura específica sobre los efectos de la reforma de 2023; sin embargo, comparte con el resto </w:t>
      </w:r>
      <w:r>
        <w:lastRenderedPageBreak/>
        <w:t>del sector el efecto general de la exclusividad del SGM sobre exploración de nuevas zonas, que en un mercado de pequeños productores con escaso acceso a financiamiento corporativo de gran escala podría representar una barrera de entrada proporcionalmente mayor que para los grandes grupos mineros. La creciente relevancia estratégica del grafito para baterías de vehículos eléctricos —señalada en el capítulo 4 de este informe con base en el marco del IGF— ha comenzado a atraer mayor atención de analistas e inversionistas hacia Sonora, aunque sin que ello se haya traducido todavía, hacia 2025-2026, en consolidación empresarial documentada.</w:t>
      </w:r>
    </w:p>
    <w:p w14:paraId="6B21F7F9" w14:textId="77777777" w:rsidR="002425BC" w:rsidRDefault="00000000">
      <w:pPr>
        <w:spacing w:after="160" w:line="276" w:lineRule="auto"/>
        <w:jc w:val="both"/>
      </w:pPr>
      <w:r>
        <w:rPr>
          <w:b/>
          <w:bCs/>
        </w:rPr>
        <w:t>Conclusión del mineral:</w:t>
      </w:r>
    </w:p>
    <w:p w14:paraId="113303B8" w14:textId="77777777" w:rsidR="002425BC" w:rsidRDefault="00000000">
      <w:pPr>
        <w:spacing w:after="160" w:line="276" w:lineRule="auto"/>
        <w:jc w:val="both"/>
      </w:pPr>
      <w:r>
        <w:t>El grafito mexicano combina concentración geográfica total (100% Sonora desde hace al menos una década, con Oaxaca inactiva pese a contar con reservas) con un mercado empresarial comparativamente atomizado, sin un productor dominante identificable en las fuentes oficiales —a diferencia de la fluorita o el manganeso, donde geografía y empresa coinciden en un monopolio único—. Es, junto con la sílice, el mercado donde el periodo 1993-2025 ha estado definido menos por movimientos de concentración corporativa que por la persistencia de una oferta pequeña, fragmentada y orientada casi en su totalidad a exportación hacia Estados Unidos.</w:t>
      </w:r>
    </w:p>
    <w:p w14:paraId="6D2271D9" w14:textId="77777777" w:rsidR="002425BC" w:rsidRDefault="00000000">
      <w:pPr>
        <w:spacing w:before="40" w:after="240"/>
      </w:pPr>
      <w:r>
        <w:rPr>
          <w:i/>
          <w:iCs/>
          <w:color w:val="555555"/>
          <w:sz w:val="17"/>
          <w:szCs w:val="17"/>
        </w:rPr>
        <w:t>Fuente: Secretaría de Economía, Perfil de Mercado del Grafito (ediciones 2012, 2021); La Jornada, "Proyecta el BM que la demanda de grafito se dispare 500% hacia 2050" (2021) y "México es clave en 10 minerales críticos para EU" (2026); Rompeviento.tv (2021); Expreso Sonora (2024); Compendio Estadístico CIDE-CAMIMEX (2025).</w:t>
      </w:r>
    </w:p>
    <w:p w14:paraId="5D768106" w14:textId="77777777" w:rsidR="002425BC" w:rsidRDefault="00000000">
      <w:pPr>
        <w:pStyle w:val="Ttulo1"/>
        <w:pageBreakBefore/>
        <w:pBdr>
          <w:bottom w:val="single" w:sz="8" w:space="4" w:color="1F3B5C"/>
        </w:pBdr>
      </w:pPr>
      <w:bookmarkStart w:id="44" w:name="_Toc232941846"/>
      <w:r>
        <w:lastRenderedPageBreak/>
        <w:t>9. Manganeso</w:t>
      </w:r>
      <w:bookmarkEnd w:id="44"/>
    </w:p>
    <w:p w14:paraId="2640B24D" w14:textId="77777777" w:rsidR="002425BC" w:rsidRDefault="00000000">
      <w:pPr>
        <w:pStyle w:val="Ttulo2"/>
      </w:pPr>
      <w:bookmarkStart w:id="45" w:name="_Toc232941847"/>
      <w:r>
        <w:t>9.1 Contexto: un monopolio natural por geología</w:t>
      </w:r>
      <w:bookmarkEnd w:id="45"/>
    </w:p>
    <w:p w14:paraId="1B04F5C3" w14:textId="77777777" w:rsidR="002425BC" w:rsidRDefault="00000000">
      <w:pPr>
        <w:spacing w:after="160" w:line="276" w:lineRule="auto"/>
        <w:jc w:val="both"/>
      </w:pPr>
      <w:r>
        <w:t>El manganeso mexicano presenta el caso de concentración más extremo y mejor documentado de todo este informe, por una razón estructural: el Distrito Manganesífero de Molango (Hidalgo), con 1,250 km² de extensión, es el único yacimiento de manganeso a escala industrial de todo Centro y Norteamérica, lo que confiere a su operador una posición de monopolio geológico, no solo comercial. México ocupa, según datos del USGS citados en el Anuario Estadístico de la Minería Mexicana 2023, la undécima posición mundial como productor de manganeso, con una participación de apenas 1.1% de la producción mundial: es, de los nueve minerales "consolidados" mexicanos descritos en el capítulo 2 de este informe, aquel en el que México pesa menos a escala global pero más a escala de mercado interno.</w:t>
      </w:r>
    </w:p>
    <w:p w14:paraId="2854FFC0" w14:textId="77777777" w:rsidR="002425BC" w:rsidRDefault="00000000">
      <w:pPr>
        <w:pStyle w:val="Ttulo2"/>
      </w:pPr>
      <w:bookmarkStart w:id="46" w:name="_Toc232941848"/>
      <w:r>
        <w:t>9.2 Compañía Minera Autlán: de fundación mexicana a privatización en 1993</w:t>
      </w:r>
      <w:bookmarkEnd w:id="46"/>
    </w:p>
    <w:p w14:paraId="5FE42E48" w14:textId="77777777" w:rsidR="002425BC" w:rsidRDefault="00000000">
      <w:pPr>
        <w:spacing w:after="160" w:line="276" w:lineRule="auto"/>
        <w:jc w:val="both"/>
      </w:pPr>
      <w:r>
        <w:t>Minera Autlán fue fundada en 1953 como la primera compañía minera administrada por mexicanos, inicialmente en el municipio de Autlán, Jalisco. En 1960 trasladó sus operaciones al Distrito de Molango, en Hidalgo, donde descubrió y desarrolló el yacimiento que sostiene su producción hasta hoy. El Panorama Minero del Instituto Geológico y Minero de España, que documentó el mercado mundial de manganeso a mediados de los noventa, confirma el dato central para el periodo de este informe: Compañía Minera Autlán fue privatizada en 1993 y adquirida en un 82.7% por el Grupo Ferrominero (hoy Autlán Holding), consolidándose desde entonces como el único productor mexicano de manganeso, con una producción de 141,398 toneladas de concentrados reportada para 1995.</w:t>
      </w:r>
    </w:p>
    <w:p w14:paraId="4FD06F93" w14:textId="77777777" w:rsidR="002425BC" w:rsidRDefault="00000000">
      <w:pPr>
        <w:pStyle w:val="Ttulo2"/>
      </w:pPr>
      <w:bookmarkStart w:id="47" w:name="_Toc232941849"/>
      <w:r>
        <w:t>9.3 Extracción y refinación: integración vertical completa en una sola empresa</w:t>
      </w:r>
      <w:bookmarkEnd w:id="47"/>
    </w:p>
    <w:p w14:paraId="0A553811" w14:textId="77777777" w:rsidR="002425BC" w:rsidRDefault="00000000">
      <w:pPr>
        <w:spacing w:after="160" w:line="276" w:lineRule="auto"/>
        <w:jc w:val="both"/>
      </w:pPr>
      <w:r>
        <w:t>A diferencia de prácticamente todos los demás minerales de este informe, el mercado mexicano de manganeso no ha registrado, en treinta años, la entrada de un segundo productor relevante, ni una separación entre extracción y procesamiento comparable a la de plata-Fresnillo o cobre-fundición. Autlán se autodefine y es reconocida en la industria como "el más grande productor de manganeso en Centro y Norteamérica" y "el único productor de nódulos de manganeso en el mundo" —un producto resultado de un proceso de nodulización patentado por la propia empresa para concentrar el mineral de Molango—. En la década de 2000, la empresa se integró verticalmente hacia la fabricación de ferroaleaciones de manganeso (plantas de Teziutlán, Tamós y Gómez Palacio), de modo que controla el 100% de la cadena: extracción, concentración (nodulización), y transformación en ferroaleaciones de alto valor agregado, sin que ello haya alterado su posición de productor único de manganeso en bruto dentro de México.</w:t>
      </w:r>
    </w:p>
    <w:p w14:paraId="0254999B" w14:textId="77777777" w:rsidR="002425BC" w:rsidRDefault="00000000">
      <w:pPr>
        <w:pStyle w:val="Ttulo2"/>
      </w:pPr>
      <w:bookmarkStart w:id="48" w:name="_Toc232941850"/>
      <w:r>
        <w:t>9.4 Destino de la producción: mercado interno siderúrgico</w:t>
      </w:r>
      <w:bookmarkEnd w:id="48"/>
    </w:p>
    <w:p w14:paraId="02956FFB" w14:textId="77777777" w:rsidR="002425BC" w:rsidRDefault="00000000">
      <w:pPr>
        <w:spacing w:after="160" w:line="276" w:lineRule="auto"/>
        <w:jc w:val="both"/>
      </w:pPr>
      <w:r>
        <w:t xml:space="preserve">A diferencia de la fluorita o la barita, el manganeso mexicano tiene un destino mayoritariamente doméstico: su principal consumidor histórico es la industria siderúrgica nacional, en particular </w:t>
      </w:r>
      <w:r>
        <w:lastRenderedPageBreak/>
        <w:t>Altos Hornos de México (AHMSA), dado que el manganeso es un insumo indispensable para la fabricación de acero (en una proporción histórica de alrededor de 12.5 kg de manganeso por tonelada de acero, según cifras de mediados de los setenta citadas en el Panorama Minero del IGME). El cierre de operaciones de AHMSA a finales de 2022 —documentado en el Compendio Estadístico de CAMIMEX, que señala que Coahuila no reportó producción de pellets de hierro en 2023 por este motivo— representa, en consecuencia, un riesgo de demanda directo para el mercado interno del manganeso de Autlán, distinto del riesgo de oferta que caracteriza a la mayoría de los demás minerales de este informe. La porción exportable de la producción de Autlán se dirige principalmente a mercados de Estados Unidos, Asia, Sudamérica y Europa, de acuerdo con información de la propia empresa, en forma de óxido manganoso para fertilizantes y micronutrientes animales, además de bióxido de manganeso natural grado batería.</w:t>
      </w:r>
    </w:p>
    <w:p w14:paraId="39F5AB28" w14:textId="77777777" w:rsidR="002425BC" w:rsidRDefault="00000000">
      <w:pPr>
        <w:pStyle w:val="Ttulo2"/>
      </w:pPr>
      <w:bookmarkStart w:id="49" w:name="_Toc232941851"/>
      <w:r>
        <w:t>9.5 Impacto de la reforma a la Ley Minera de 2023</w:t>
      </w:r>
      <w:bookmarkEnd w:id="49"/>
    </w:p>
    <w:p w14:paraId="20B3E622" w14:textId="77777777" w:rsidR="002425BC" w:rsidRDefault="00000000">
      <w:pPr>
        <w:spacing w:after="160" w:line="276" w:lineRule="auto"/>
        <w:jc w:val="both"/>
      </w:pPr>
      <w:r>
        <w:t>Por ser una operación consolidada desde hace más de seis décadas, con reservas probadas de largo plazo en el mismo distrito, el efecto de la reforma de 2023 sobre Autlán ha sido menor que sobre operadores con proyectos de expansión activa. El reporte de cobertura periodística no documenta a Autlán entre las empresas que han enfrentado litigios o congelamiento de proyectos relevantes derivados de la reforma, a diferencia de Grupo México o de las junior canadienses orientadas a metales preciosos. El principal riesgo regulatorio para Autlán parece concentrarse, más bien, en el lado de la demanda —la salud financiera de la industria siderúrgica nacional, especialmente tras el cierre de AHMSA— que en el lado de la oferta minera.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25BC" w14:paraId="76CE40F3" w14:textId="77777777">
        <w:tc>
          <w:tcPr>
            <w:tcW w:w="9360" w:type="dxa"/>
            <w:tcBorders>
              <w:top w:val="single" w:sz="4" w:space="0" w:color="2E5C8A"/>
              <w:left w:val="single" w:sz="18" w:space="0" w:color="2E5C8A"/>
              <w:bottom w:val="single" w:sz="4" w:space="0" w:color="2E5C8A"/>
              <w:right w:val="single" w:sz="4" w:space="0" w:color="2E5C8A"/>
            </w:tcBorders>
            <w:shd w:val="clear" w:color="auto" w:fill="EEF4FB"/>
            <w:tcMar>
              <w:top w:w="160" w:type="dxa"/>
              <w:left w:w="220" w:type="dxa"/>
              <w:bottom w:w="160" w:type="dxa"/>
              <w:right w:w="220" w:type="dxa"/>
            </w:tcMar>
          </w:tcPr>
          <w:p w14:paraId="309078EC" w14:textId="77777777" w:rsidR="002425BC" w:rsidRDefault="00000000">
            <w:pPr>
              <w:spacing w:after="80"/>
            </w:pPr>
            <w:r>
              <w:rPr>
                <w:b/>
                <w:bCs/>
                <w:color w:val="1F3B5C"/>
              </w:rPr>
              <w:t>Dato clave</w:t>
            </w:r>
          </w:p>
          <w:p w14:paraId="317BD605" w14:textId="77777777" w:rsidR="002425BC" w:rsidRDefault="00000000">
            <w:pPr>
              <w:spacing w:line="276" w:lineRule="auto"/>
            </w:pPr>
            <w:r>
              <w:rPr>
                <w:sz w:val="21"/>
                <w:szCs w:val="21"/>
              </w:rPr>
              <w:t>El SGM y la Secretaría de Economía documentan, en sus perfiles de mercado más recientes, que "el único productor mexicano [de manganeso] es la Cía Minera Autlán", situación que se mantiene sin cambios desde la privatización de 1993 hasta la actualidad (2024-2025).</w:t>
            </w:r>
          </w:p>
        </w:tc>
      </w:tr>
    </w:tbl>
    <w:p w14:paraId="619EA0E3" w14:textId="77777777" w:rsidR="002425BC" w:rsidRDefault="00000000">
      <w:pPr>
        <w:spacing w:after="160" w:line="276" w:lineRule="auto"/>
        <w:jc w:val="both"/>
      </w:pPr>
      <w:r>
        <w:rPr>
          <w:b/>
          <w:bCs/>
        </w:rPr>
        <w:t>Conclusión del mineral:</w:t>
      </w:r>
    </w:p>
    <w:p w14:paraId="1D8F12FD" w14:textId="77777777" w:rsidR="002425BC" w:rsidRDefault="00000000">
      <w:pPr>
        <w:spacing w:after="160" w:line="276" w:lineRule="auto"/>
        <w:jc w:val="both"/>
      </w:pPr>
      <w:r>
        <w:t>El manganeso es el ejemplo más limpio de monopolio sostenido en la minería mexicana entre 1993 y 2025: Compañía Minera Autlán, privatizada en 1993, ha sido y sigue siendo el único productor nacional de manganeso —en extracción, concentración y transformación en ferroaleaciones—, sin que haya existido en tres décadas competencia doméstica relevante. La concentración no es resultado de una estrategia anticompetitiva, sino de la combinación de un yacimiento único a escala continental (Molango) y de la tecnología de nodulización desarrollada en exclusiva por la empresa para procesarlo; el principal riesgo a futuro para este mercado proviene, no obstante, de la salud de su principal cliente doméstico, la industria siderúrgica nacional.</w:t>
      </w:r>
    </w:p>
    <w:p w14:paraId="14D82451" w14:textId="77777777" w:rsidR="002425BC" w:rsidRDefault="00000000">
      <w:pPr>
        <w:spacing w:before="40" w:after="240"/>
      </w:pPr>
      <w:r>
        <w:rPr>
          <w:i/>
          <w:iCs/>
          <w:color w:val="555555"/>
          <w:sz w:val="17"/>
          <w:szCs w:val="17"/>
        </w:rPr>
        <w:t>Fuente: Instituto Geológico y Minero de España, Panorama Minero 1994-95, sección Manganeso; Autlán, "Historia" y "Unidad Molango" (autlan.com.mx); Anuario Estadístico de la Minería Mexicana, edición 2024 (SGM); Compendio Estadístico CIDE-CAMIMEX (2024).</w:t>
      </w:r>
    </w:p>
    <w:p w14:paraId="42F5F7F0" w14:textId="77777777" w:rsidR="002425BC" w:rsidRDefault="00000000">
      <w:pPr>
        <w:pStyle w:val="Ttulo1"/>
        <w:pageBreakBefore/>
        <w:pBdr>
          <w:bottom w:val="single" w:sz="8" w:space="4" w:color="1F3B5C"/>
        </w:pBdr>
      </w:pPr>
      <w:bookmarkStart w:id="50" w:name="_Toc232941852"/>
      <w:r>
        <w:lastRenderedPageBreak/>
        <w:t>10. Oro</w:t>
      </w:r>
      <w:bookmarkEnd w:id="50"/>
    </w:p>
    <w:p w14:paraId="71359B16" w14:textId="77777777" w:rsidR="002425BC" w:rsidRDefault="00000000">
      <w:pPr>
        <w:pStyle w:val="Ttulo2"/>
      </w:pPr>
      <w:bookmarkStart w:id="51" w:name="_Toc232941853"/>
      <w:r>
        <w:t>10.1 Contexto: el mineral con mayor entrada de capital extranjero</w:t>
      </w:r>
      <w:bookmarkEnd w:id="51"/>
    </w:p>
    <w:p w14:paraId="308B8039" w14:textId="77777777" w:rsidR="002425BC" w:rsidRDefault="00000000">
      <w:pPr>
        <w:spacing w:after="160" w:line="276" w:lineRule="auto"/>
        <w:jc w:val="both"/>
      </w:pPr>
      <w:r>
        <w:t>El oro es, de los diez minerales analizados, el que registra la mayor diversificación de operadores y la mayor presencia de empresas canadienses y estadounidenses, producto directo de la apertura legal de 1992-1996: para 2019, la Secretaría de Economía identificaba 711 de 1,177 proyectos mineros activos en el país como orientados a metales preciosos, con Canadá aportando 153 de las 238 empresas de capital extranjero registradas. Sonora y Zacatecas son los principales estados productores en años recientes —en 2023, Zacatecas aportó 28.8% de la producción nacional y Sonora 25.7%—; México se posicionó en 2023 como el séptimo mayor productor mundial de oro, con 4.23 millones de onzas (más de 131 toneladas).</w:t>
      </w:r>
    </w:p>
    <w:p w14:paraId="72C2CD77" w14:textId="77777777" w:rsidR="002425BC" w:rsidRDefault="00000000">
      <w:pPr>
        <w:pStyle w:val="Ttulo2"/>
      </w:pPr>
      <w:bookmarkStart w:id="52" w:name="_Toc232941854"/>
      <w:r>
        <w:t>10.2 Extracción: un oligopolio de cinco grandes operadores con cifras exactas por empresa</w:t>
      </w:r>
      <w:bookmarkEnd w:id="52"/>
    </w:p>
    <w:p w14:paraId="3651485D" w14:textId="77777777" w:rsidR="002425BC" w:rsidRDefault="00000000">
      <w:pPr>
        <w:spacing w:after="160" w:line="276" w:lineRule="auto"/>
        <w:jc w:val="both"/>
      </w:pPr>
      <w:r>
        <w:t>El oro es, junto con el cobre, el mineral de este informe en el que es posible reconstruir con mayor precisión la participación porcentual de cada empresa individual. Con cifras de 2022, Fresnillo plc fue el mayor productor nacional de oro, seguido de Newmont, Torex Gold, First Majestic Silver y Agnico Eagle Mines; en conjunto, estas cinco empresas participaron con 42.4% de la producción total de ese año. Con datos de 2023 desagregados por mina individual, el orden cambió: Torex Gold lideró la extracción gracias a su complejo El Limón-Guajes (Guerrero), con 453,800 onzas, seguida de Fresnillo plc con su mina La Herradura (Sonora, 355,500 onzas), Alamos Gold con Mulatos (Sonora, 212,800 onzas, un salto de 58.2% respecto del año anterior), Equinox Gold con Los Filos (Guerrero, 159,100 onzas) y Newmont con Peñasquito (Zacatecas, 143,000 onzas, una caída de 74.7% por una huelga laboral de cuatro meses).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1900"/>
        <w:gridCol w:w="1960"/>
      </w:tblGrid>
      <w:tr w:rsidR="002425BC" w14:paraId="7F939914" w14:textId="77777777">
        <w:trPr>
          <w:tblHeader/>
        </w:trPr>
        <w:tc>
          <w:tcPr>
            <w:tcW w:w="33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6751F49F" w14:textId="77777777" w:rsidR="002425BC" w:rsidRDefault="00000000">
            <w:r>
              <w:rPr>
                <w:b/>
                <w:bCs/>
                <w:color w:val="FFFFFF"/>
                <w:sz w:val="19"/>
                <w:szCs w:val="19"/>
              </w:rPr>
              <w:t>Empresa (mina principal)</w:t>
            </w:r>
          </w:p>
        </w:tc>
        <w:tc>
          <w:tcPr>
            <w:tcW w:w="2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4E2253A0" w14:textId="77777777" w:rsidR="002425BC" w:rsidRDefault="00000000">
            <w:r>
              <w:rPr>
                <w:b/>
                <w:bCs/>
                <w:color w:val="FFFFFF"/>
                <w:sz w:val="19"/>
                <w:szCs w:val="19"/>
              </w:rPr>
              <w:t>Origen</w:t>
            </w:r>
          </w:p>
        </w:tc>
        <w:tc>
          <w:tcPr>
            <w:tcW w:w="19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15EEEF21" w14:textId="77777777" w:rsidR="002425BC" w:rsidRDefault="00000000">
            <w:r>
              <w:rPr>
                <w:b/>
                <w:bCs/>
                <w:color w:val="FFFFFF"/>
                <w:sz w:val="19"/>
                <w:szCs w:val="19"/>
              </w:rPr>
              <w:t>Producción 2023 (oz)</w:t>
            </w:r>
          </w:p>
        </w:tc>
        <w:tc>
          <w:tcPr>
            <w:tcW w:w="19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0A587BD7" w14:textId="77777777" w:rsidR="002425BC" w:rsidRDefault="00000000">
            <w:r>
              <w:rPr>
                <w:b/>
                <w:bCs/>
                <w:color w:val="FFFFFF"/>
                <w:sz w:val="19"/>
                <w:szCs w:val="19"/>
              </w:rPr>
              <w:t>Participación aprox. en el top-5</w:t>
            </w:r>
          </w:p>
        </w:tc>
      </w:tr>
      <w:tr w:rsidR="002425BC" w14:paraId="2368E33A" w14:textId="77777777">
        <w:tc>
          <w:tcPr>
            <w:tcW w:w="33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C649A63" w14:textId="77777777" w:rsidR="002425BC" w:rsidRDefault="00000000">
            <w:r>
              <w:rPr>
                <w:sz w:val="19"/>
                <w:szCs w:val="19"/>
              </w:rPr>
              <w:t>Torex Gold (El Limón-Guajes)</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A83A734" w14:textId="77777777" w:rsidR="002425BC" w:rsidRDefault="00000000">
            <w:r>
              <w:rPr>
                <w:sz w:val="19"/>
                <w:szCs w:val="19"/>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7B22432" w14:textId="77777777" w:rsidR="002425BC" w:rsidRDefault="00000000">
            <w:r>
              <w:rPr>
                <w:sz w:val="19"/>
                <w:szCs w:val="19"/>
              </w:rPr>
              <w:t>453,800</w:t>
            </w:r>
          </w:p>
        </w:tc>
        <w:tc>
          <w:tcPr>
            <w:tcW w:w="19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82375BF" w14:textId="77777777" w:rsidR="002425BC" w:rsidRDefault="00000000">
            <w:r>
              <w:rPr>
                <w:sz w:val="19"/>
                <w:szCs w:val="19"/>
              </w:rPr>
              <w:t>≈35%</w:t>
            </w:r>
          </w:p>
        </w:tc>
      </w:tr>
      <w:tr w:rsidR="002425BC" w14:paraId="3817F86C" w14:textId="77777777">
        <w:tc>
          <w:tcPr>
            <w:tcW w:w="33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9E1DC73" w14:textId="77777777" w:rsidR="002425BC" w:rsidRDefault="00000000">
            <w:r>
              <w:rPr>
                <w:sz w:val="19"/>
                <w:szCs w:val="19"/>
              </w:rPr>
              <w:t>Fresnillo plc (La Herradura)</w:t>
            </w:r>
          </w:p>
        </w:tc>
        <w:tc>
          <w:tcPr>
            <w:tcW w:w="2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38D2D9FB" w14:textId="77777777" w:rsidR="002425BC" w:rsidRDefault="00000000">
            <w:r>
              <w:rPr>
                <w:sz w:val="19"/>
                <w:szCs w:val="19"/>
              </w:rPr>
              <w:t>México / Reino Unido</w:t>
            </w:r>
          </w:p>
        </w:tc>
        <w:tc>
          <w:tcPr>
            <w:tcW w:w="1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C01407D" w14:textId="77777777" w:rsidR="002425BC" w:rsidRDefault="00000000">
            <w:r>
              <w:rPr>
                <w:sz w:val="19"/>
                <w:szCs w:val="19"/>
              </w:rPr>
              <w:t>355,500</w:t>
            </w:r>
          </w:p>
        </w:tc>
        <w:tc>
          <w:tcPr>
            <w:tcW w:w="19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713A7C5" w14:textId="77777777" w:rsidR="002425BC" w:rsidRDefault="00000000">
            <w:r>
              <w:rPr>
                <w:sz w:val="19"/>
                <w:szCs w:val="19"/>
              </w:rPr>
              <w:t>≈27%</w:t>
            </w:r>
          </w:p>
        </w:tc>
      </w:tr>
      <w:tr w:rsidR="002425BC" w14:paraId="0E133DBE" w14:textId="77777777">
        <w:tc>
          <w:tcPr>
            <w:tcW w:w="33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AA2287F" w14:textId="77777777" w:rsidR="002425BC" w:rsidRDefault="00000000">
            <w:r>
              <w:rPr>
                <w:sz w:val="19"/>
                <w:szCs w:val="19"/>
              </w:rPr>
              <w:t>Alamos Gold (Mulatos)</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9F83AC6" w14:textId="77777777" w:rsidR="002425BC" w:rsidRDefault="00000000">
            <w:r>
              <w:rPr>
                <w:sz w:val="19"/>
                <w:szCs w:val="19"/>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2F37EF8" w14:textId="77777777" w:rsidR="002425BC" w:rsidRDefault="00000000">
            <w:r>
              <w:rPr>
                <w:sz w:val="19"/>
                <w:szCs w:val="19"/>
              </w:rPr>
              <w:t>212,800</w:t>
            </w:r>
          </w:p>
        </w:tc>
        <w:tc>
          <w:tcPr>
            <w:tcW w:w="19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225ABD0C" w14:textId="77777777" w:rsidR="002425BC" w:rsidRDefault="00000000">
            <w:r>
              <w:rPr>
                <w:sz w:val="19"/>
                <w:szCs w:val="19"/>
              </w:rPr>
              <w:t>≈16%</w:t>
            </w:r>
          </w:p>
        </w:tc>
      </w:tr>
      <w:tr w:rsidR="002425BC" w14:paraId="75FCD604" w14:textId="77777777">
        <w:tc>
          <w:tcPr>
            <w:tcW w:w="33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13346756" w14:textId="77777777" w:rsidR="002425BC" w:rsidRDefault="00000000">
            <w:r>
              <w:rPr>
                <w:sz w:val="19"/>
                <w:szCs w:val="19"/>
              </w:rPr>
              <w:t>Equinox Gold (Los Filos)</w:t>
            </w:r>
          </w:p>
        </w:tc>
        <w:tc>
          <w:tcPr>
            <w:tcW w:w="2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5C6D0264" w14:textId="77777777" w:rsidR="002425BC" w:rsidRDefault="00000000">
            <w:r>
              <w:rPr>
                <w:sz w:val="19"/>
                <w:szCs w:val="19"/>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5D01A05A" w14:textId="77777777" w:rsidR="002425BC" w:rsidRDefault="00000000">
            <w:r>
              <w:rPr>
                <w:sz w:val="19"/>
                <w:szCs w:val="19"/>
              </w:rPr>
              <w:t>159,100</w:t>
            </w:r>
          </w:p>
        </w:tc>
        <w:tc>
          <w:tcPr>
            <w:tcW w:w="19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271775C" w14:textId="77777777" w:rsidR="002425BC" w:rsidRDefault="00000000">
            <w:r>
              <w:rPr>
                <w:sz w:val="19"/>
                <w:szCs w:val="19"/>
              </w:rPr>
              <w:t>≈12%</w:t>
            </w:r>
          </w:p>
        </w:tc>
      </w:tr>
      <w:tr w:rsidR="002425BC" w14:paraId="328E9737" w14:textId="77777777">
        <w:tc>
          <w:tcPr>
            <w:tcW w:w="33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FAB503C" w14:textId="77777777" w:rsidR="002425BC" w:rsidRDefault="00000000">
            <w:r>
              <w:rPr>
                <w:sz w:val="19"/>
                <w:szCs w:val="19"/>
              </w:rPr>
              <w:t>Newmont (Peñasquito)</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A320681" w14:textId="77777777" w:rsidR="002425BC" w:rsidRDefault="00000000">
            <w:r>
              <w:rPr>
                <w:sz w:val="19"/>
                <w:szCs w:val="19"/>
              </w:rPr>
              <w:t>Estados Unidos</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C3074AF" w14:textId="77777777" w:rsidR="002425BC" w:rsidRDefault="00000000">
            <w:r>
              <w:rPr>
                <w:sz w:val="19"/>
                <w:szCs w:val="19"/>
              </w:rPr>
              <w:t>143,000</w:t>
            </w:r>
          </w:p>
        </w:tc>
        <w:tc>
          <w:tcPr>
            <w:tcW w:w="19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9F90DAF" w14:textId="77777777" w:rsidR="002425BC" w:rsidRDefault="00000000">
            <w:r>
              <w:rPr>
                <w:sz w:val="19"/>
                <w:szCs w:val="19"/>
              </w:rPr>
              <w:t>≈11%</w:t>
            </w:r>
          </w:p>
        </w:tc>
      </w:tr>
    </w:tbl>
    <w:p w14:paraId="234BEC01" w14:textId="77777777" w:rsidR="002425BC" w:rsidRDefault="00000000">
      <w:pPr>
        <w:pStyle w:val="Ttulo2"/>
      </w:pPr>
      <w:bookmarkStart w:id="53" w:name="_Toc232941855"/>
      <w:r>
        <w:t>10.3 La consolidación de Goldcorp en Newmont (2019) y el peso de Peñasquito</w:t>
      </w:r>
      <w:bookmarkEnd w:id="53"/>
    </w:p>
    <w:p w14:paraId="32A99FBB" w14:textId="77777777" w:rsidR="002425BC" w:rsidRDefault="00000000">
      <w:pPr>
        <w:spacing w:after="160" w:line="276" w:lineRule="auto"/>
        <w:jc w:val="both"/>
      </w:pPr>
      <w:r>
        <w:t xml:space="preserve">El movimiento corporativo más relevante del oro mexicano en el periodo reciente fue la adquisición de Goldcorp por parte de Newmont en 2019, que trasladó a un solo grupo —ya el mayor productor de oro del mundo— el control de Peñasquito (Zacatecas), desarrollado originalmente por Goldcorp tras comprar Glamis Gold en 2006 y que inició producción comercial en 2010. La concentración de la producción nacional de oro en manos de grupos mexicanos (Fresnillo plc/Peñoles) se estimaba en 31% en 2018, según literatura académica citada en la </w:t>
      </w:r>
      <w:r>
        <w:lastRenderedPageBreak/>
        <w:t>primera edición de este informe, frente a un complemento mayoritario en manos de operadores extranjeros (Newmont, Torex Gold, Agnico Eagle, Alamos Gold), lo que hace del oro el mineral con mayor participación de capital no mexicano entre los diez analizados. A nivel corporativo agregado, datos de 2023-2024 ubican a Grupo México, Met-Mex Peñoles (Industrias Peñoles) y Fresnillo plc como los tres principales productores mineros de México por valor de mercado, representando en conjunto 82% del valor de mercado del sector minero listado en bolsa.</w:t>
      </w:r>
    </w:p>
    <w:p w14:paraId="306199B5" w14:textId="77777777" w:rsidR="002425BC" w:rsidRDefault="00000000">
      <w:pPr>
        <w:pStyle w:val="Ttulo2"/>
      </w:pPr>
      <w:bookmarkStart w:id="54" w:name="_Toc232941856"/>
      <w:r>
        <w:t>10.4 Refinación: el papel de Peñoles como afinador líder en Latinoamérica</w:t>
      </w:r>
      <w:bookmarkEnd w:id="54"/>
    </w:p>
    <w:p w14:paraId="2B528740" w14:textId="77777777" w:rsidR="002425BC" w:rsidRDefault="00000000">
      <w:pPr>
        <w:spacing w:after="160" w:line="276" w:lineRule="auto"/>
        <w:jc w:val="both"/>
      </w:pPr>
      <w:r>
        <w:t>A diferencia de la extracción —repartida entre múltiples operadores mexicanos y extranjeros—, la refinación de oro primario en México está mucho más concentrada: Industrias Peñoles se presenta como "líder latinoamericano en la producción de oro y plomo afinados", operando la refinería de Met-Mex Peñoles en Torreón, uno de los complejos metalúrgicos no ferrosos más grandes de América Latina. Buena parte del oro extraído por otras compañías (incluidas algunas junior sin capacidad de refinación propia) se procesa a través de doré (aleación semirrefinada de oro y plata) que después se exporta para refinación final fuera de México o se vende a refinadores especializados, de modo que la concentración en la etapa de refinación de alta pureza es considerablemente mayor que en la etapa de extracción.</w:t>
      </w:r>
    </w:p>
    <w:p w14:paraId="181B7B91" w14:textId="77777777" w:rsidR="002425BC" w:rsidRDefault="00000000">
      <w:pPr>
        <w:pStyle w:val="Ttulo2"/>
      </w:pPr>
      <w:bookmarkStart w:id="55" w:name="_Toc232941857"/>
      <w:r>
        <w:t>10.5 Destino de la producción: exportación mayoritaria, mercado de inversión y joyería interno reducido</w:t>
      </w:r>
      <w:bookmarkEnd w:id="55"/>
    </w:p>
    <w:p w14:paraId="716030EE" w14:textId="77777777" w:rsidR="002425BC" w:rsidRDefault="00000000">
      <w:pPr>
        <w:spacing w:after="160" w:line="276" w:lineRule="auto"/>
        <w:jc w:val="both"/>
      </w:pPr>
      <w:r>
        <w:t>El oro mexicano se exporta de forma mayoritaria, principalmente en forma de doré o metal refinado, hacia mercados de Estados Unidos, Canadá y Asia para su uso como reserva de valor, insumo de la industria electrónica y joyería de exportación; el consumo interno mexicano (joyería nacional, inversión en monedas) representa una fracción menor del total producido. En 2024, el oro generó 96,050 millones de pesos de valor de producción, con un volumen de 68 toneladas —una caída de 2.9% en volumen respecto de 2023 compensada por un alza de precios de 23.9%—, y aportó 30.7% del valor minero-metalúrgico total del país, consolidándose como el mineral de mayor valor económico de la canasta minera mexicana pese a no ser el de mayor volumen físico.</w:t>
      </w:r>
    </w:p>
    <w:p w14:paraId="124210B3" w14:textId="77777777" w:rsidR="002425BC" w:rsidRDefault="00000000">
      <w:pPr>
        <w:pStyle w:val="Ttulo2"/>
      </w:pPr>
      <w:bookmarkStart w:id="56" w:name="_Toc232941858"/>
      <w:r>
        <w:t>10.6 Impacto de la reforma a la Ley Minera de 2023</w:t>
      </w:r>
      <w:bookmarkEnd w:id="56"/>
    </w:p>
    <w:p w14:paraId="0B876EC9" w14:textId="77777777" w:rsidR="002425BC" w:rsidRDefault="00000000">
      <w:pPr>
        <w:spacing w:after="160" w:line="276" w:lineRule="auto"/>
        <w:jc w:val="both"/>
      </w:pPr>
      <w:r>
        <w:t>El oro, junto con la plata, concentra buena parte de los proyectos de exploración paralizados por la reforma de 2023: la Cámara Minera de México registró, a finales de 2024, que en 2025 habría apenas cinco proyectos de oro y plata iniciando operaciones, frente a un ritmo históricamente mayor de nuevos desarrollos en la década de 2010, cuando la ola de inversión junior canadiense estaba en su punto más activo. Sonora y Zacatecas, los dos estados líderes en oro, concentran también buena parte del impacto del congelamiento de nuevas concesiones documentado en este informe, dado que ambos dependen de un flujo constante de nuevos proyectos de exploración para sostener el ritmo de producción una vez que las minas existentes (Peñasquito, La Herradura, El Limón-Guajes) maduran o enfrentan caídas de ley mineral.</w:t>
      </w:r>
    </w:p>
    <w:p w14:paraId="65B1BAA2" w14:textId="77777777" w:rsidR="002425BC" w:rsidRDefault="00000000">
      <w:pPr>
        <w:spacing w:after="160" w:line="276" w:lineRule="auto"/>
        <w:jc w:val="both"/>
      </w:pPr>
      <w:r>
        <w:rPr>
          <w:b/>
          <w:bCs/>
        </w:rPr>
        <w:t>Conclusión del mineral:</w:t>
      </w:r>
    </w:p>
    <w:p w14:paraId="6E51B9BB" w14:textId="77777777" w:rsidR="002425BC" w:rsidRDefault="00000000">
      <w:pPr>
        <w:spacing w:after="160" w:line="276" w:lineRule="auto"/>
        <w:jc w:val="both"/>
      </w:pPr>
      <w:r>
        <w:lastRenderedPageBreak/>
        <w:t>El oro mexicano combina dos lógicas de concentración: por un lado, un núcleo duro de cinco grandes operadores (Torex Gold, Fresnillo plc, Alamos Gold, Equinox Gold y Newmont) que en conjunto explican entre 40% y 45% de la producción nacional según el año, sin que ninguno supere individualmente el 30-35% del segmento de gran minería; por otro, sigue siendo, de los metales preciosos y base, el que conserva mayor pluralidad de actores medianos y mayor participación de capital extranjero, reflejo directo de la ola de inversión junior canadiense posterior al TLCAN. La fusión Newmont-Goldcorp de 2019 es el evento de concentración más significativo del oro mexicano en el periodo reciente, equiparable en importancia a la compra de ASARCO por Grupo México en el cobre, mientras que la reforma de 2023 ha frenado de forma documentable el ritmo de nuevos proyectos que sostenía la pluralidad de operadores característica de este mineral.</w:t>
      </w:r>
    </w:p>
    <w:p w14:paraId="504F35D1" w14:textId="77777777" w:rsidR="002425BC" w:rsidRDefault="00000000">
      <w:pPr>
        <w:spacing w:before="40" w:after="240"/>
      </w:pPr>
      <w:r>
        <w:rPr>
          <w:i/>
          <w:iCs/>
          <w:color w:val="555555"/>
          <w:sz w:val="17"/>
          <w:szCs w:val="17"/>
        </w:rPr>
        <w:t>Fuente: BNamericas / CAMIMEX, boletín sobre mayores mineras de oro de México (2021); Outletminero, "Las 15 principales minas de oro en México" (2023); Expansión, "Estas son las 5 mineras que más extraen oro en México" (julio 2025); Anuario Estadístico de la Minería Mexicana, edición 2024 (SGM); Compendio Estadístico CIDE-CAMIMEX (2025); inep.org, "Las 10 mineras que dominan la riqueza de México" (abril 2026).</w:t>
      </w:r>
    </w:p>
    <w:p w14:paraId="09D06893" w14:textId="77777777" w:rsidR="002425BC" w:rsidRDefault="00000000">
      <w:pPr>
        <w:pStyle w:val="Ttulo1"/>
        <w:pageBreakBefore/>
        <w:pBdr>
          <w:bottom w:val="single" w:sz="8" w:space="4" w:color="1F3B5C"/>
        </w:pBdr>
      </w:pPr>
      <w:bookmarkStart w:id="57" w:name="_Toc232941859"/>
      <w:r>
        <w:lastRenderedPageBreak/>
        <w:t>11. Plata</w:t>
      </w:r>
      <w:bookmarkEnd w:id="57"/>
    </w:p>
    <w:p w14:paraId="1B48741F" w14:textId="77777777" w:rsidR="002425BC" w:rsidRDefault="00000000">
      <w:pPr>
        <w:pStyle w:val="Ttulo2"/>
      </w:pPr>
      <w:bookmarkStart w:id="58" w:name="_Toc232941860"/>
      <w:r>
        <w:t>11.1 Contexto: liderazgo mundial sostenido</w:t>
      </w:r>
      <w:bookmarkEnd w:id="58"/>
    </w:p>
    <w:p w14:paraId="459B7CE3" w14:textId="77777777" w:rsidR="002425BC" w:rsidRDefault="00000000">
      <w:pPr>
        <w:spacing w:after="160" w:line="276" w:lineRule="auto"/>
        <w:jc w:val="both"/>
      </w:pPr>
      <w:r>
        <w:t>México ha sido el primer productor mundial de plata durante dieciséis años consecutivos hasta 2024, posición que mantiene desde mediados de la década de 2000. La producción se concentra geográficamente en Zacatecas (39% de la producción nacional en 2020, 33% en mediciones de 2026), Durango y Chihuahua. La producción minero-metalúrgica de plata fue de 115.5 millones de onzas en 2023 (8.8% por debajo de 2022) y de 126.75 millones de onzas según otra medición del mismo año; en 2024 la producción repuntó 13.5% hasta 4,078 toneladas, de acuerdo con el estudio CIDE-CAMIMEX.</w:t>
      </w:r>
    </w:p>
    <w:p w14:paraId="7912F012" w14:textId="77777777" w:rsidR="002425BC" w:rsidRDefault="00000000">
      <w:pPr>
        <w:pStyle w:val="Ttulo2"/>
      </w:pPr>
      <w:bookmarkStart w:id="59" w:name="_Toc232941861"/>
      <w:r>
        <w:t>11.2 Dos negocios distintos que conviene no confundir: extracción y refinación</w:t>
      </w:r>
      <w:bookmarkEnd w:id="59"/>
    </w:p>
    <w:p w14:paraId="6690DA0C" w14:textId="77777777" w:rsidR="002425BC" w:rsidRDefault="00000000">
      <w:pPr>
        <w:spacing w:after="160" w:line="276" w:lineRule="auto"/>
        <w:jc w:val="both"/>
      </w:pPr>
      <w:r>
        <w:t>Es importante distinguir con precisión dos cifras de concentración que, en la primera versión de este informe, podían prestarse a confusión por aparecer mencionadas juntas sin suficiente contexto: la participación de mercado de Fresnillo plc en la extracción de plata (mineral en bruto) y la participación de Industrias Peñoles en la refinación de plata (metal afinado, listo para uso industrial o de inversión). Son dos eslabones distintos de la misma cadena de valor, controlados por dos entidades jurídicamente separadas —aunque pertenecientes al mismo grupo controlador, Grupo BAL— y las cifras no son comparables entre sí ni se contradicen.</w:t>
      </w:r>
    </w:p>
    <w:p w14:paraId="5E09F3C5" w14:textId="77777777" w:rsidR="002425BC" w:rsidRDefault="00000000">
      <w:pPr>
        <w:pStyle w:val="Ttulo3"/>
      </w:pPr>
      <w:r>
        <w:t>11.2.1 Extracción: Fresnillo plc lidera con cerca de 30% del mercado</w:t>
      </w:r>
    </w:p>
    <w:p w14:paraId="3ED9BE9C" w14:textId="77777777" w:rsidR="002425BC" w:rsidRDefault="00000000">
      <w:pPr>
        <w:spacing w:after="160" w:line="276" w:lineRule="auto"/>
        <w:jc w:val="both"/>
      </w:pPr>
      <w:r>
        <w:t>En la etapa de extracción —es decir, cuánta plata en bruto sale de las minas mexicanas y de qué empresa—, Fresnillo plc se consolidó como el principal productor individual de plata en México hacia 2020, con 29.4% de la producción nacional, seguido por Newmont, Grupo México, Industrias Peñoles (directamente, vía sus operaciones de metales base que también arrastran contenido argentífero) y First Majestic Silver, empresa canadiense especializada en plata. Las minas individuales más grandes del país —Peñasquito (Newmont) y Saucito, San Julián y Fresnillo (todas de Fresnillo plc)— se ubican en Zacatecas y Chihuahua y por sí solas representan una porción sustancial de la producción nacional: en 2020, Peñasquito produjo 27.8 millones de onzas y Saucito 15.5 millones, sobre un total nacional de 180.2 millones de onzas.</w:t>
      </w:r>
    </w:p>
    <w:p w14:paraId="42722BAE" w14:textId="77777777" w:rsidR="002425BC" w:rsidRDefault="00000000">
      <w:pPr>
        <w:pStyle w:val="Ttulo3"/>
      </w:pPr>
      <w:r>
        <w:t>11.2.2 Refinación: Peñoles procesa 89% de la plata afinada del país</w:t>
      </w:r>
    </w:p>
    <w:p w14:paraId="31029737" w14:textId="77777777" w:rsidR="002425BC" w:rsidRDefault="00000000">
      <w:pPr>
        <w:spacing w:after="160" w:line="276" w:lineRule="auto"/>
        <w:jc w:val="both"/>
      </w:pPr>
      <w:r>
        <w:t xml:space="preserve">En la etapa de refinación —es decir, qué proporción de toda la plata mexicana (la extraída por Fresnillo plc, mas la extraída por Newmont, Grupo México, First Majestic y cualquier otro productor) se convierte en metal afinado dentro de territorio nacional, y en la planta de qué empresa— Industrias Peñoles concentra el 89% de la plata afinada del país a través de su complejo metalúrgico Met-Mex Peñoles en Torreón, Coahuila. Esta cifra no compite con el 29.4% de Fresnillo plc en extracción: son, de hecho, complementarias y en gran medida correspondientes a la misma cadena de producción, porque buena parte de la plata que Fresnillo plc extrae de sus propias minas —Fresnillo, Saucito, San Julián— se procesa, en última instancia, en las instalaciones de refinación de su empresa matriz, Peñoles, dado que ambas compañías, aunque cotizan por separado desde 2008, comparten accionista de control (Grupo </w:t>
      </w:r>
      <w:r>
        <w:lastRenderedPageBreak/>
        <w:t>BAL, familia Baillères). En otras palabras: Fresnillo plc extrae cerca de 30 de cada 100 onzas de plata mexicana, mientras que Peñoles refina cerca de 89 de cada 100 onzas de plata mexicana —incluyendo, en gran medida, las que extrajo su propia subsidiaria Fresnillo plc— gracias a ser, desde hace décadas, prácticamente la única gran refinería de plata del país.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2425BC" w14:paraId="3CEC1A1A" w14:textId="77777777">
        <w:trPr>
          <w:tblHeader/>
        </w:trPr>
        <w:tc>
          <w:tcPr>
            <w:tcW w:w="26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4B6FED20" w14:textId="77777777" w:rsidR="002425BC" w:rsidRDefault="00000000">
            <w:r>
              <w:rPr>
                <w:b/>
                <w:bCs/>
                <w:color w:val="FFFFFF"/>
                <w:sz w:val="19"/>
                <w:szCs w:val="19"/>
              </w:rPr>
              <w:t>Etapa de la cadena</w:t>
            </w:r>
          </w:p>
        </w:tc>
        <w:tc>
          <w:tcPr>
            <w:tcW w:w="2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1FE8BDCB" w14:textId="77777777" w:rsidR="002425BC" w:rsidRDefault="00000000">
            <w:r>
              <w:rPr>
                <w:b/>
                <w:bCs/>
                <w:color w:val="FFFFFF"/>
                <w:sz w:val="19"/>
                <w:szCs w:val="19"/>
              </w:rPr>
              <w:t>Empresa líder</w:t>
            </w:r>
          </w:p>
        </w:tc>
        <w:tc>
          <w:tcPr>
            <w:tcW w:w="2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3EC5CE11" w14:textId="77777777" w:rsidR="002425BC" w:rsidRDefault="00000000">
            <w:r>
              <w:rPr>
                <w:b/>
                <w:bCs/>
                <w:color w:val="FFFFFF"/>
                <w:sz w:val="19"/>
                <w:szCs w:val="19"/>
              </w:rPr>
              <w:t>Participación de mercado</w:t>
            </w:r>
          </w:p>
        </w:tc>
        <w:tc>
          <w:tcPr>
            <w:tcW w:w="23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457F3A4B" w14:textId="77777777" w:rsidR="002425BC" w:rsidRDefault="00000000">
            <w:r>
              <w:rPr>
                <w:b/>
                <w:bCs/>
                <w:color w:val="FFFFFF"/>
                <w:sz w:val="19"/>
                <w:szCs w:val="19"/>
              </w:rPr>
              <w:t>Qué mide exactamente</w:t>
            </w:r>
          </w:p>
        </w:tc>
      </w:tr>
      <w:tr w:rsidR="002425BC" w14:paraId="2539E116" w14:textId="77777777">
        <w:tc>
          <w:tcPr>
            <w:tcW w:w="26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8B21C87" w14:textId="77777777" w:rsidR="002425BC" w:rsidRDefault="00000000">
            <w:r>
              <w:rPr>
                <w:sz w:val="19"/>
                <w:szCs w:val="19"/>
              </w:rPr>
              <w:t>Extracción (mineral en bruto)</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3FD5303" w14:textId="77777777" w:rsidR="002425BC" w:rsidRDefault="00000000">
            <w:r>
              <w:rPr>
                <w:sz w:val="19"/>
                <w:szCs w:val="19"/>
              </w:rPr>
              <w:t>Fresnillo plc</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866907A" w14:textId="77777777" w:rsidR="002425BC" w:rsidRDefault="00000000">
            <w:r>
              <w:rPr>
                <w:sz w:val="19"/>
                <w:szCs w:val="19"/>
              </w:rPr>
              <w:t>≈29-30% (2020)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1C171DB" w14:textId="77777777" w:rsidR="002425BC" w:rsidRDefault="00000000">
            <w:r>
              <w:rPr>
                <w:sz w:val="19"/>
                <w:szCs w:val="19"/>
              </w:rPr>
              <w:t>Onzas de plata extraídas de minas propiedad de Fresnillo plc, frente al total nacional extraído por todas las empresas</w:t>
            </w:r>
          </w:p>
        </w:tc>
      </w:tr>
      <w:tr w:rsidR="002425BC" w14:paraId="10B42C5F" w14:textId="77777777">
        <w:tc>
          <w:tcPr>
            <w:tcW w:w="26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387CCCA7" w14:textId="77777777" w:rsidR="002425BC" w:rsidRDefault="00000000">
            <w:r>
              <w:rPr>
                <w:sz w:val="19"/>
                <w:szCs w:val="19"/>
              </w:rPr>
              <w:t>Refinación (metal afinado)</w:t>
            </w:r>
          </w:p>
        </w:tc>
        <w:tc>
          <w:tcPr>
            <w:tcW w:w="2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6C3FD55" w14:textId="77777777" w:rsidR="002425BC" w:rsidRDefault="00000000">
            <w:r>
              <w:rPr>
                <w:sz w:val="19"/>
                <w:szCs w:val="19"/>
              </w:rPr>
              <w:t>Industrias Peñoles</w:t>
            </w:r>
          </w:p>
        </w:tc>
        <w:tc>
          <w:tcPr>
            <w:tcW w:w="2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7DA777A" w14:textId="77777777" w:rsidR="002425BC" w:rsidRDefault="00000000">
            <w:r>
              <w:rPr>
                <w:sz w:val="19"/>
                <w:szCs w:val="19"/>
              </w:rPr>
              <w:t>≈89%</w:t>
            </w:r>
          </w:p>
        </w:tc>
        <w:tc>
          <w:tcPr>
            <w:tcW w:w="23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32655BE" w14:textId="77777777" w:rsidR="002425BC" w:rsidRDefault="00000000">
            <w:r>
              <w:rPr>
                <w:sz w:val="19"/>
                <w:szCs w:val="19"/>
              </w:rPr>
              <w:t>Onzas de plata afinada (de cualquier origen, incluida la de Fresnillo plc y otros productores) procesadas en la refinería Met-Mex Peñoles de Torreón</w:t>
            </w:r>
          </w:p>
        </w:tc>
      </w:tr>
    </w:tbl>
    <w:p w14:paraId="6B1703E3" w14:textId="77777777" w:rsidR="002425BC" w:rsidRDefault="00000000">
      <w:pPr>
        <w:pStyle w:val="Ttulo2"/>
      </w:pPr>
      <w:bookmarkStart w:id="60" w:name="_Toc232941862"/>
      <w:r>
        <w:t>11.3 De Peñoles integrado a la escisión de Fresnillo plc (2008)</w:t>
      </w:r>
      <w:bookmarkEnd w:id="60"/>
    </w:p>
    <w:p w14:paraId="6CFD1153" w14:textId="77777777" w:rsidR="002425BC" w:rsidRDefault="00000000">
      <w:pPr>
        <w:spacing w:after="160" w:line="276" w:lineRule="auto"/>
        <w:jc w:val="both"/>
      </w:pPr>
      <w:r>
        <w:t>Hasta 2008, las operaciones de plata y oro de Industrias Peñoles estaban integradas dentro del mismo corporativo que sus metales base (zinc, plomo, cobre). Ese año, la administración de Peñoles decidió reestructurar el grupo, separando las operaciones de metales preciosos en una nueva entidad, Fresnillo plc, que debutó en la Bolsa de Valores de Londres convirtiéndose en la primera empresa mexicana en cotizar ahí y en integrar el índice FTSE100. Peñoles conservó una participación mayoritaria (77.1% en el momento de la salida a bolsa, 74.99% en años recientes), de modo que, aunque jurídicamente separadas, ambas compañías permanecen bajo el control del mismo grupo familiar.</w:t>
      </w:r>
    </w:p>
    <w:p w14:paraId="438E92B7" w14:textId="77777777" w:rsidR="002425BC" w:rsidRDefault="00000000">
      <w:pPr>
        <w:pStyle w:val="Ttulo2"/>
      </w:pPr>
      <w:bookmarkStart w:id="61" w:name="_Toc232941863"/>
      <w:r>
        <w:t>11.4 La estructura de mercado 2019-2024: cinco grandes productores</w:t>
      </w:r>
      <w:bookmarkEnd w:id="61"/>
    </w:p>
    <w:p w14:paraId="4F9F502B" w14:textId="77777777" w:rsidR="002425BC" w:rsidRDefault="00000000">
      <w:pPr>
        <w:spacing w:after="160" w:line="276" w:lineRule="auto"/>
        <w:jc w:val="both"/>
      </w:pPr>
      <w:r>
        <w:t>Hacia 2020, la Cámara Minera de México identificaba cinco grandes productores —Fresnillo plc, Newmont, Grupo México, Peñoles y First Majestic— como el núcleo de la oferta nacional de plata. Newmont opera Peñasquito, originalmente desarrollado por Goldcorp tras la compra de Glamis Gold en 2006, con Newmont tomando el control total en 2019 mediante la adquisición de Goldcorp.</w:t>
      </w:r>
    </w:p>
    <w:p w14:paraId="2DD36BB9" w14:textId="77777777" w:rsidR="002425BC" w:rsidRDefault="00000000">
      <w:pPr>
        <w:pStyle w:val="Ttulo2"/>
      </w:pPr>
      <w:bookmarkStart w:id="62" w:name="_Toc232941864"/>
      <w:r>
        <w:t>11.5 Destino de la producción: el destino paradójico de la plata mexicana</w:t>
      </w:r>
      <w:bookmarkEnd w:id="62"/>
    </w:p>
    <w:p w14:paraId="22D8537A" w14:textId="77777777" w:rsidR="002425BC" w:rsidRDefault="00000000">
      <w:pPr>
        <w:spacing w:after="160" w:line="276" w:lineRule="auto"/>
        <w:jc w:val="both"/>
      </w:pPr>
      <w:r>
        <w:t xml:space="preserve">El comercio exterior de la plata mexicana revela un patrón llamativo: en 2024, el principal destino de las exportaciones mexicanas de minerales de plata y sus concentrados (mineral sin refinar) fue China, con 87 millones de dólares, seguido de Canadá (28.2 millones) y Alemania (10.3 millones), reflejo de que el concentrado argentífero sin procesar se envía a fundiciones extranjeras especializadas. En cambio, cuando se trata de plata ya refinada ("en bruto, semilabrada o en polvo"), el destino dominante cambia por completo: Estados Unidos concentró 2,587 millones de dólares de las exportaciones mexicanas en 2024, muy por encima de Japón </w:t>
      </w:r>
      <w:r>
        <w:lastRenderedPageBreak/>
        <w:t>(374 millones) y Brasil (33 millones), con Coahuila —sede de la refinería Met-Mex Peñoles— como la entidad federativa exportadora dominante (2,103 millones de dólares), seguida de Sonora, Ciudad de México y Chihuahua. En el contexto global, México fue en 2022 el principal exportador mundial de plata en bruto, semilabrada o en polvo, con 2,584 millones de dólares, solo por detrás de China.</w:t>
      </w:r>
    </w:p>
    <w:p w14:paraId="60073CCB" w14:textId="77777777" w:rsidR="002425BC" w:rsidRDefault="00000000">
      <w:pPr>
        <w:pStyle w:val="Ttulo2"/>
      </w:pPr>
      <w:bookmarkStart w:id="63" w:name="_Toc232941865"/>
      <w:r>
        <w:t>11.6 Impacto de la reforma a la Ley Minera de 2023</w:t>
      </w:r>
      <w:bookmarkEnd w:id="63"/>
    </w:p>
    <w:p w14:paraId="10B430E9" w14:textId="77777777" w:rsidR="002425BC" w:rsidRDefault="00000000">
      <w:pPr>
        <w:spacing w:after="160" w:line="276" w:lineRule="auto"/>
        <w:jc w:val="both"/>
      </w:pPr>
      <w:r>
        <w:t>Los activos más productivos de Peñoles y Fresnillo plc cuentan con concesiones de muy largo plazo, anteriores a la reforma: las concesiones de Peñoles vencen hasta 2065, y la mina Saucito —la segunda productora de plata más grande del mundo— tiene como fecha límite el 26 de agosto de 2052, aunque algunas concesiones específicas, como las de Apolo 9, 10 y 11 o Unificación Proaño (que incluye un lote llamado, no por casualidad, "Manganeso"), vencen ya en 2031. Esto sitúa a Peñoles y Fresnillo plc en una posición similar a la de Grupo México en cobre: relativamente protegidos en el corto y mediano plazo por concesiones de larga duración previas a 2023, pero expuestos en el largo plazo a la incertidumbre sobre el nuevo régimen de licitaciones públicas para cualquier expansión o nuevo proyecto. Zacatecas, el estado líder en plata, concentra de forma particular el impacto del freno a la exploración: junto con Sonora, es uno de los dos estados donde el congelamiento de concesiones golpea con mayor fuerza, de acuerdo con análisis de 2026, no porque las operaciones existentes —Saucito y Juanicipio de Fresnillo/MAG Silver, Peñasquito de Newmont— estén en riesgo inmediato, sino porque el conjunto de proyectos de exploración que alimentaría la producción de la próxima década permanece paralizado.</w:t>
      </w:r>
    </w:p>
    <w:p w14:paraId="6BC5031A" w14:textId="77777777" w:rsidR="002425BC" w:rsidRDefault="00000000">
      <w:pPr>
        <w:spacing w:after="160" w:line="276" w:lineRule="auto"/>
        <w:jc w:val="both"/>
      </w:pPr>
      <w:r>
        <w:rPr>
          <w:b/>
          <w:bCs/>
        </w:rPr>
        <w:t>Conclusión del mineral:</w:t>
      </w:r>
    </w:p>
    <w:p w14:paraId="0014FFF3" w14:textId="77777777" w:rsidR="002425BC" w:rsidRDefault="00000000">
      <w:pPr>
        <w:spacing w:after="160" w:line="276" w:lineRule="auto"/>
        <w:jc w:val="both"/>
      </w:pPr>
      <w:r>
        <w:t>El mercado mexicano de plata muestra una concentración moderada-alta y dos caras distintas según la etapa de la cadena: en extracción, cinco empresas (Fresnillo plc con cerca de 30%, seguida de Newmont, Grupo México, Peñoles y First Majestic) explican la amplia mayoría de la producción nacional desde al menos 2019; en refinación, Industrias Peñoles concentra 89% de toda la plata afinada del país, una cifra mucho más alta porque corresponde a un cuello de botella industrial distinto —y en gran medida complementario, no contradictorio— al de la extracción. El periodo 1993-2025 registró un cambio estructural relevante en 2008 con la escisión de Fresnillo plc de Peñoles, y la consolidación de Goldcorp dentro de Newmont en 2019 trasladó el control de una de las minas de plata más grandes del mundo (Peñasquito) a la mayor minera de oro del planeta.</w:t>
      </w:r>
    </w:p>
    <w:p w14:paraId="40ABB85D" w14:textId="77777777" w:rsidR="002425BC" w:rsidRDefault="00000000">
      <w:pPr>
        <w:spacing w:before="40" w:after="240"/>
      </w:pPr>
      <w:r>
        <w:rPr>
          <w:i/>
          <w:iCs/>
          <w:color w:val="555555"/>
          <w:sz w:val="17"/>
          <w:szCs w:val="17"/>
        </w:rPr>
        <w:t>Fuente: Cámara Minera de México, "Las 10 principales minas de plata de México en 2020"; LET-UNAM, "La política de concesiones a los grupos mineros de México" (2021); Industrias Peñoles, "Nuestra Historia" (penoles.com.mx); Heraldo de México, "Industrias Peñoles, gigante mundial de la plata" (junio 2026); Infobae, "Ley Minera: cómo afecta la reforma..." (2023); DataMéxico, perfiles de Minerales de Plata y de Plata en Bruto, Semilabrada o en Polvo; Minería en Línea (mayo 2026).</w:t>
      </w:r>
    </w:p>
    <w:p w14:paraId="16CC8C46" w14:textId="77777777" w:rsidR="002425BC" w:rsidRDefault="00000000">
      <w:pPr>
        <w:pStyle w:val="Ttulo1"/>
        <w:pageBreakBefore/>
        <w:pBdr>
          <w:bottom w:val="single" w:sz="8" w:space="4" w:color="1F3B5C"/>
        </w:pBdr>
      </w:pPr>
      <w:bookmarkStart w:id="64" w:name="_Toc232941866"/>
      <w:r>
        <w:lastRenderedPageBreak/>
        <w:t>12. Plomo</w:t>
      </w:r>
      <w:bookmarkEnd w:id="64"/>
    </w:p>
    <w:p w14:paraId="402E1B4B" w14:textId="77777777" w:rsidR="002425BC" w:rsidRDefault="00000000">
      <w:pPr>
        <w:pStyle w:val="Ttulo2"/>
      </w:pPr>
      <w:bookmarkStart w:id="65" w:name="_Toc232941867"/>
      <w:r>
        <w:t>12.1 Contexto</w:t>
      </w:r>
      <w:bookmarkEnd w:id="65"/>
    </w:p>
    <w:p w14:paraId="43D9D91F" w14:textId="77777777" w:rsidR="002425BC" w:rsidRDefault="00000000">
      <w:pPr>
        <w:spacing w:after="160" w:line="276" w:lineRule="auto"/>
        <w:jc w:val="both"/>
      </w:pPr>
      <w:r>
        <w:t>México mantiene una posición destacada en plomo a nivel mundial: cuarto productor mundial según cifras de 2023 citadas por el Compendio Estadístico de CAMIMEX (China lidera con 42% de la participación mundial), y quinto lugar global según otras mediciones de 2020. Como el zinc, lo extrae predominantemente como subproducto de yacimientos polimetálicos de plata-plomo-zinc, en estados como Zacatecas, Chihuahua y Durango; en 2024, Zacatecas concentró 65.1% de la producción nacional de plomo, seguido por Durango con 10.2%.</w:t>
      </w:r>
    </w:p>
    <w:p w14:paraId="176B620A" w14:textId="77777777" w:rsidR="002425BC" w:rsidRDefault="00000000">
      <w:pPr>
        <w:pStyle w:val="Ttulo2"/>
      </w:pPr>
      <w:bookmarkStart w:id="66" w:name="_Toc232941868"/>
      <w:r>
        <w:t>12.2 Monopolio de refinación: Peñoles al 100%</w:t>
      </w:r>
      <w:bookmarkEnd w:id="66"/>
    </w:p>
    <w:p w14:paraId="0D9CE311" w14:textId="77777777" w:rsidR="002425BC" w:rsidRDefault="00000000">
      <w:pPr>
        <w:spacing w:after="160" w:line="276" w:lineRule="auto"/>
        <w:jc w:val="both"/>
      </w:pPr>
      <w:r>
        <w:t>El plomo es, de los metales base analizados en este informe, el que exhibe la concentración más extrema en su etapa de refinación: Industrias Peñoles refina el 100% del plomo afinado producido en México, a través de su Refinería de Plomo-Plata, operativa desde los años en que Peñoles consolidó su complejo metalúrgico de Torreón (Met-Mex Peñoles), considerado el complejo metalúrgico no ferroso más grande de América Latina. Esta posición de monopolio en refinación se ha mantenido sin cambios relevantes durante todo el periodo 1993-2025, y la propia empresa se identifica públicamente como "líder latinoamericano en la producción de oro y plomo afinados". Peñoles opera, además, la mina Naica, identificada como la mina productora de plomo más grande de México.</w:t>
      </w:r>
    </w:p>
    <w:p w14:paraId="56BFB6F3" w14:textId="77777777" w:rsidR="002425BC" w:rsidRDefault="00000000">
      <w:pPr>
        <w:pStyle w:val="Ttulo2"/>
      </w:pPr>
      <w:bookmarkStart w:id="67" w:name="_Toc232941869"/>
      <w:r>
        <w:t>12.3 Extracción: oligopolio entre Peñoles, Grupo México y Minera Frisco</w:t>
      </w:r>
      <w:bookmarkEnd w:id="67"/>
    </w:p>
    <w:p w14:paraId="13DA75D3" w14:textId="77777777" w:rsidR="002425BC" w:rsidRDefault="00000000">
      <w:pPr>
        <w:spacing w:after="160" w:line="276" w:lineRule="auto"/>
        <w:jc w:val="both"/>
      </w:pPr>
      <w:r>
        <w:t>A nivel de extracción, el plomo se reparte entre los mismos grandes grupos que dominan plata y zinc —Peñoles, Grupo México y, en menor medida, Minera Frisco (Grupo Carso, de Carlos Slim), que produce concentrados de plomo-plata, zinc y cobre—, sin que se haya registrado la consolidación de un competidor especializado de escala nacional. La producción de plomo, a diferencia de otros minerales de este informe, mostró un repunte notable en 2024: creció 89.2% interanual en algunos meses de 2024 reportados por la Cámara Minera de México, alcanzando 12,485 toneladas en junio de ese año, frente a 6,599 toneladas el año anterior. El precio internacional del plomo, como el de otros metales base, ha sido un factor más determinante de la rentabilidad del sector que los cambios en su estructura de propiedad: en 2023, por ejemplo, el precio promedio cayó 8% interanual.</w:t>
      </w:r>
    </w:p>
    <w:p w14:paraId="3EE6E88F" w14:textId="77777777" w:rsidR="002425BC" w:rsidRDefault="00000000">
      <w:pPr>
        <w:pStyle w:val="Ttulo2"/>
      </w:pPr>
      <w:bookmarkStart w:id="68" w:name="_Toc232941870"/>
      <w:r>
        <w:t>12.4 Destino de la producción: principalmente mercado interno y de baterías</w:t>
      </w:r>
      <w:bookmarkEnd w:id="68"/>
    </w:p>
    <w:p w14:paraId="3B7485AC" w14:textId="77777777" w:rsidR="002425BC" w:rsidRDefault="00000000">
      <w:pPr>
        <w:spacing w:after="160" w:line="276" w:lineRule="auto"/>
        <w:jc w:val="both"/>
      </w:pPr>
      <w:r>
        <w:t xml:space="preserve">El plomo refinado mexicano se destina, en buena medida, a la fabricación de baterías de plomo-ácido —tanto para arranque, iluminación y encendido de automóviles como para baterías industriales de respaldo en redes informáticas y de telecomunicaciones, de acuerdo con el Grupo Internacional de Estudio del Plomo y del Zinc—, un mercado con fuerte presencia de manufactura automotriz instalada en territorio mexicano. A diferencia del cobre o la plata, las cifras de comercio exterior del plomo no muestran un destino de exportación único dominante: la producción secundaria (proveniente de reciclaje de chatarra y baterías usadas) ha cobrado peso </w:t>
      </w:r>
      <w:r>
        <w:lastRenderedPageBreak/>
        <w:t>creciente a nivel mundial, con un incremento de 8% en 2023 según el Grupo Internacional de Estudio del Plomo y del Zinc, una tendencia que también se observa en México y que reduce, con el tiempo, la dependencia del mercado de baterías respecto de la extracción minera primaria.</w:t>
      </w:r>
    </w:p>
    <w:p w14:paraId="0038FB85" w14:textId="77777777" w:rsidR="002425BC" w:rsidRDefault="00000000">
      <w:pPr>
        <w:pStyle w:val="Ttulo2"/>
      </w:pPr>
      <w:bookmarkStart w:id="69" w:name="_Toc232941871"/>
      <w:r>
        <w:t>12.5 Impacto de la reforma a la Ley Minera de 2023</w:t>
      </w:r>
      <w:bookmarkEnd w:id="69"/>
    </w:p>
    <w:p w14:paraId="2515BD3D" w14:textId="77777777" w:rsidR="002425BC" w:rsidRDefault="00000000">
      <w:pPr>
        <w:spacing w:after="160" w:line="276" w:lineRule="auto"/>
        <w:jc w:val="both"/>
      </w:pPr>
      <w:r>
        <w:t>El plomo, al producirse casi siempre como subproducto de minas de plata y zinc, comparte el mismo perfil de exposición a la reforma de 2023 que esos dos minerales: las operaciones existentes de Peñoles, Grupo México y Minera Frisco cuentan con concesiones de largo plazo —algunas hasta la década de 2060— que las protegen relativamente en el corto plazo, mientras que el verdadero efecto de la reforma recae sobre la posibilidad de desarrollar nuevos yacimientos polimetálicos plomo-zinc-plata, función ahora reservada en exclusiva al Servicio Geológico Mexicano. No se han documentado, en las fuentes consultadas para este informe, litigios o congelamientos de proyectos específicamente atribuidos al plomo como mineral aislado, dado que su producción está casi siempre entrelazada con la de zinc y plata en los mismos expedientes de concesión.</w:t>
      </w:r>
    </w:p>
    <w:p w14:paraId="4E098F2C" w14:textId="77777777" w:rsidR="002425BC" w:rsidRDefault="00000000">
      <w:pPr>
        <w:spacing w:after="160" w:line="276" w:lineRule="auto"/>
        <w:jc w:val="both"/>
      </w:pPr>
      <w:r>
        <w:rPr>
          <w:b/>
          <w:bCs/>
        </w:rPr>
        <w:t>Conclusión del mineral:</w:t>
      </w:r>
    </w:p>
    <w:p w14:paraId="5FC6742F" w14:textId="77777777" w:rsidR="002425BC" w:rsidRDefault="00000000">
      <w:pPr>
        <w:spacing w:after="160" w:line="276" w:lineRule="auto"/>
        <w:jc w:val="both"/>
      </w:pPr>
      <w:r>
        <w:t>El plomo mexicano combina dos niveles de concentración: refinación monopólica absoluta (100% en manos de Peñoles desde los noventa) y extracción oligopólica (Peñoles, Grupo México, Minera Frisco), con escasa entrada de nuevos competidores en treinta años. Es, junto con la fluorita y el manganeso, uno de los mercados mineros mexicanos donde el grado de concentración no solo se mantuvo sino que se consolidó entre 1993 y 2025, y su destino es, a diferencia de la mayoría de los demás minerales de este informe, mayoritariamente interno, ligado a la industria nacional y regional de baterías de plomo-ácido.</w:t>
      </w:r>
    </w:p>
    <w:p w14:paraId="5B6409D0" w14:textId="77777777" w:rsidR="002425BC" w:rsidRDefault="00000000">
      <w:pPr>
        <w:spacing w:before="40" w:after="240"/>
      </w:pPr>
      <w:r>
        <w:rPr>
          <w:i/>
          <w:iCs/>
          <w:color w:val="555555"/>
          <w:sz w:val="17"/>
          <w:szCs w:val="17"/>
        </w:rPr>
        <w:t>Fuente: Industrias Peñoles, "Madero" y "Unidades Mineras" (penoles.com.mx); Wikipedia, "Industrias Peñoles"; Revista Geomimet (agosto 2024); Anuario Estadístico de la Minería Mexicana, edición 2023 (SGM); Compendio Estadístico CIDE-CAMIMEX (2024); Boletín Estadístico de la Industria Minero-Metalúrgica, Secretaría de Economía (julio 2024).</w:t>
      </w:r>
    </w:p>
    <w:p w14:paraId="27D94921" w14:textId="77777777" w:rsidR="002425BC" w:rsidRDefault="00000000">
      <w:pPr>
        <w:pStyle w:val="Ttulo1"/>
        <w:pageBreakBefore/>
        <w:pBdr>
          <w:bottom w:val="single" w:sz="8" w:space="4" w:color="1F3B5C"/>
        </w:pBdr>
      </w:pPr>
      <w:bookmarkStart w:id="70" w:name="_Toc232941872"/>
      <w:r>
        <w:lastRenderedPageBreak/>
        <w:t>13. Sílice (arena sílica)</w:t>
      </w:r>
      <w:bookmarkEnd w:id="70"/>
    </w:p>
    <w:p w14:paraId="55D7454A" w14:textId="77777777" w:rsidR="002425BC" w:rsidRDefault="00000000">
      <w:pPr>
        <w:pStyle w:val="Ttulo2"/>
      </w:pPr>
      <w:bookmarkStart w:id="71" w:name="_Toc232941873"/>
      <w:r>
        <w:t>13.1 Contexto: un commodity de uso difundido</w:t>
      </w:r>
      <w:bookmarkEnd w:id="71"/>
    </w:p>
    <w:p w14:paraId="3E89FA9B" w14:textId="77777777" w:rsidR="002425BC" w:rsidRDefault="00000000">
      <w:pPr>
        <w:spacing w:after="160" w:line="276" w:lineRule="auto"/>
        <w:jc w:val="both"/>
      </w:pPr>
      <w:r>
        <w:t>A diferencia de los nueve minerales restantes, el sílice (cuarzo / dióxido de silicio, SiO₂) en México no es un mineral de yacimientos escasos sino un recurso relativamente abundante, con depósitos documentados en Coahuila, Durango, Jalisco, San Luis Potosí y Guanajuato, entre otros estados, y aplicaciones que van desde la industria del vidrio y la fundición hasta la filtración de agua, la fracturación hidráulica y, más recientemente, la manufactura de semiconductores y fibra óptica. Como se discutió en el capítulo 2 de este informe, el silicio elemental no figura en las listas cerradas de minerales críticos de la Unión Europea o Estados Unidos, pero la cobertura mexicana reciente sí incluye al "silicio industrial" entre la oferta nacional relevante para Estados Unidos.</w:t>
      </w:r>
    </w:p>
    <w:p w14:paraId="4E5FD42A" w14:textId="77777777" w:rsidR="002425BC" w:rsidRDefault="00000000">
      <w:pPr>
        <w:pStyle w:val="Ttulo2"/>
      </w:pPr>
      <w:bookmarkStart w:id="72" w:name="_Toc232941874"/>
      <w:r>
        <w:t>13.2 El mercado más fragmentado de los diez analizados</w:t>
      </w:r>
      <w:bookmarkEnd w:id="72"/>
    </w:p>
    <w:p w14:paraId="4D5B3084" w14:textId="77777777" w:rsidR="002425BC" w:rsidRDefault="00000000">
      <w:pPr>
        <w:spacing w:after="160" w:line="276" w:lineRule="auto"/>
        <w:jc w:val="both"/>
      </w:pPr>
      <w:r>
        <w:t>La estructura empresarial del sílice mexicano es la más atomizada de todo este informe: directorios industriales especializados (QuimiNet, Cosmos) listan decenas de proveedores activos a lo largo del país —en Nuevo León, Jalisco, Estado de México, Guanajuato, Veracruz, Durango y otros estados—, sin que exista, en fuentes oficiales (SGM, Secretaría de Economía), identificación de un productor o grupo de productores dominante a escala nacional, en contraste marcado con la fluorita o el manganeso. La mina San Emilio, en Lagos de Moreno (Jalisco), se documenta como uno de los yacimientos de cuarzo de mayor calidad y reservas del país, pero opera en un mercado donde coexisten numerosas empresas medianas y pequeñas sin que ninguna concentre una cuota de mercado documentada de forma pública.</w:t>
      </w:r>
    </w:p>
    <w:p w14:paraId="3E6108F3" w14:textId="77777777" w:rsidR="002425BC" w:rsidRDefault="00000000">
      <w:pPr>
        <w:pStyle w:val="Ttulo2"/>
      </w:pPr>
      <w:bookmarkStart w:id="73" w:name="_Toc232941875"/>
      <w:r>
        <w:t>13.3 Un mercado norteamericano y latinoamericano en expansión</w:t>
      </w:r>
      <w:bookmarkEnd w:id="73"/>
    </w:p>
    <w:p w14:paraId="2BA139AE" w14:textId="77777777" w:rsidR="002425BC" w:rsidRDefault="00000000">
      <w:pPr>
        <w:spacing w:after="160" w:line="276" w:lineRule="auto"/>
        <w:jc w:val="both"/>
      </w:pPr>
      <w:r>
        <w:t>El mercado mexicano de arena de sílice forma parte de un mercado norteamericano más amplio, donde los actores globales (Sibelco, U.S. Silica, Covia Holdings, Mitsubishi Corporation) tienen presencia relevante en Estados Unidos y Canadá pero una penetración mucho menor —y no dominante— dentro de México, donde la oferta sigue mayoritariamente en manos de productores nacionales de tamaño medio y pequeño. Hacia 2023-2025, la demanda mexicana de sílice ha crecido ligada al auge de la industria del vidrio para envases (cerveza, licores y bebidas mexicanas de exportación), la manufactura automotriz y, en menor medida, el nearshoring de industria electrónica y de paneles solares.</w:t>
      </w:r>
    </w:p>
    <w:p w14:paraId="632E9529" w14:textId="77777777" w:rsidR="002425BC" w:rsidRDefault="00000000">
      <w:pPr>
        <w:pStyle w:val="Ttulo2"/>
      </w:pPr>
      <w:bookmarkStart w:id="74" w:name="_Toc232941876"/>
      <w:r>
        <w:t>13.4 Destino de la producción: consumo interno mayoritario</w:t>
      </w:r>
      <w:bookmarkEnd w:id="74"/>
    </w:p>
    <w:p w14:paraId="0D1D34A4" w14:textId="77777777" w:rsidR="002425BC" w:rsidRDefault="00000000">
      <w:pPr>
        <w:spacing w:after="160" w:line="276" w:lineRule="auto"/>
        <w:jc w:val="both"/>
      </w:pPr>
      <w:r>
        <w:t xml:space="preserve">A diferencia de la fluorita, el grafito o la barita —cuya producción se exporta de forma mayoritaria—, el sílice mexicano se consume en proporción muy alta dentro del propio mercado interno, dado su uso intensivo en industrias instaladas en México: vidrio para envases de bebidas, fundición de piezas automotrices y construcción. El estudio CIDE-CAMIMEX confirma este patrón al señalar que minerales no metálicos como "la fluorita, la sílice y el yeso" pasan por ciclos de producción que terminan convertidos en insumos finales para segmentos como la construcción, la manufactura de equipo electrónico y la industria química dentro del propio </w:t>
      </w:r>
      <w:r>
        <w:lastRenderedPageBreak/>
        <w:t>territorio nacional, en contraste con el patrón mayoritariamente exportador de otros minerales de este informe.</w:t>
      </w:r>
    </w:p>
    <w:p w14:paraId="34793CE3" w14:textId="77777777" w:rsidR="002425BC" w:rsidRDefault="00000000">
      <w:pPr>
        <w:pStyle w:val="Ttulo2"/>
      </w:pPr>
      <w:bookmarkStart w:id="75" w:name="_Toc232941877"/>
      <w:r>
        <w:t>13.5 Impacto de la reforma a la Ley Minera de 2023</w:t>
      </w:r>
      <w:bookmarkEnd w:id="75"/>
    </w:p>
    <w:p w14:paraId="2A21AAFB" w14:textId="77777777" w:rsidR="002425BC" w:rsidRDefault="00000000">
      <w:pPr>
        <w:spacing w:after="160" w:line="276" w:lineRule="auto"/>
        <w:jc w:val="both"/>
      </w:pPr>
      <w:r>
        <w:t>El mercado fragmentado de la sílice ilustra, quizás mejor que ningún otro mineral de este informe, un efecto de la reforma de 2023 que la cobertura periodística rara vez discute: el congelamiento del sistema de concesiones y la exclusividad del SGM sobre la exploración afectan de forma desproporcionada a productores pequeños y medianos sin departamentos legales o de relaciones gubernamentales dedicados, en comparación con los grandes grupos (Grupo México, Peñoles, Fresnillo plc) que cuentan con bancos de concesiones de muy largo plazo y capacidad de litigar o negociar directamente con la Secretaría de Economía. No existe, sin embargo, evidencia documentada de que esto haya producido hasta ahora una consolidación del mercado de sílice en manos de actores mayores; la atomización descrita en este capítulo se ha mantenido.</w:t>
      </w:r>
    </w:p>
    <w:p w14:paraId="68A922D7" w14:textId="77777777" w:rsidR="002425BC" w:rsidRDefault="00000000">
      <w:pPr>
        <w:spacing w:after="160" w:line="276" w:lineRule="auto"/>
        <w:jc w:val="both"/>
      </w:pPr>
      <w:r>
        <w:rPr>
          <w:b/>
          <w:bCs/>
        </w:rPr>
        <w:t>Conclusión del mineral:</w:t>
      </w:r>
    </w:p>
    <w:p w14:paraId="3BAA9322" w14:textId="77777777" w:rsidR="002425BC" w:rsidRDefault="00000000">
      <w:pPr>
        <w:spacing w:after="160" w:line="276" w:lineRule="auto"/>
        <w:jc w:val="both"/>
      </w:pPr>
      <w:r>
        <w:t>El sílice es el mercado menos concentrado de los diez minerales analizados en este informe: ni geográfica ni empresarialmente existe un actor dominante comparable a los identificados en cobre, manganeso o fluorita. Su estructura —numerosos productores medianos y pequeños distribuidos en varios estados, sin operaciones de fusión o consolidación relevantes documentadas entre 1993 y 2025, y con un destino mayoritariamente interno en lugar de exportador— contrasta de forma deliberada con el patrón de concentración extrema observado en la mayoría de los demás minerales de este informe, y sirve, como se explicó en el capítulo 2, como punto de referencia para dimensionar cuán atípica es, en el contexto minero mexicano, la estructura monopólica u oligopólica del resto de la canasta.</w:t>
      </w:r>
    </w:p>
    <w:p w14:paraId="19DB50F3" w14:textId="77777777" w:rsidR="002425BC" w:rsidRDefault="00000000">
      <w:pPr>
        <w:spacing w:before="40" w:after="240"/>
      </w:pPr>
      <w:r>
        <w:rPr>
          <w:i/>
          <w:iCs/>
          <w:color w:val="555555"/>
          <w:sz w:val="17"/>
          <w:szCs w:val="17"/>
        </w:rPr>
        <w:t>Fuente: Secretaría de Economía, Perfil de Mercado del Sílice (2021); QuimiNet, directorios de proveedores de arena sílica; Mordor Intelligence, "Análisis del mercado de arena de sílice de América del Norte" (2025); Compendio Estadístico CIDE-CAMIMEX (2025).</w:t>
      </w:r>
    </w:p>
    <w:p w14:paraId="0DBD4CB4" w14:textId="77777777" w:rsidR="002425BC" w:rsidRDefault="00000000">
      <w:pPr>
        <w:pStyle w:val="Ttulo1"/>
        <w:pageBreakBefore/>
        <w:pBdr>
          <w:bottom w:val="single" w:sz="8" w:space="4" w:color="1F3B5C"/>
        </w:pBdr>
      </w:pPr>
      <w:bookmarkStart w:id="76" w:name="_Toc232941878"/>
      <w:r>
        <w:lastRenderedPageBreak/>
        <w:t>14. Zinc</w:t>
      </w:r>
      <w:bookmarkEnd w:id="76"/>
    </w:p>
    <w:p w14:paraId="32344160" w14:textId="77777777" w:rsidR="002425BC" w:rsidRDefault="00000000">
      <w:pPr>
        <w:pStyle w:val="Ttulo2"/>
      </w:pPr>
      <w:bookmarkStart w:id="77" w:name="_Toc232941879"/>
      <w:r>
        <w:t>14.1 Contexto y posición internacional</w:t>
      </w:r>
      <w:bookmarkEnd w:id="77"/>
    </w:p>
    <w:p w14:paraId="19BCCB41" w14:textId="77777777" w:rsidR="002425BC" w:rsidRDefault="00000000">
      <w:pPr>
        <w:spacing w:after="160" w:line="276" w:lineRule="auto"/>
        <w:jc w:val="both"/>
      </w:pPr>
      <w:r>
        <w:t>México se ubicaba en sexto lugar mundial en producción de zinc hacia 2023-2026, según cifras del Compendio Estadístico de CAMIMEX, que ubica a China como líder mundial con cerca de 33% del total. El zinc se produce casi siempre como subproducto o coproducto de yacimientos polimetálicos (junto a plomo, plata y cobre), lo que vincula su estructura de mercado a la de esos otros metales, como se explicó en el capítulo 3 de este informe. La producción nacional de zinc fue de 773,189 toneladas en 2024, con Zacatecas (63.2%), Durango (14.8%) y Sonora (8.3%, gracias a la nueva unidad Buenavista Zinc de Grupo México) como los tres estados líderes.</w:t>
      </w:r>
    </w:p>
    <w:p w14:paraId="7ACE4C1C" w14:textId="77777777" w:rsidR="002425BC" w:rsidRDefault="00000000">
      <w:pPr>
        <w:pStyle w:val="Ttulo2"/>
      </w:pPr>
      <w:bookmarkStart w:id="78" w:name="_Toc232941880"/>
      <w:r>
        <w:t>14.2 Extracción: de Newmont en primer lugar a un cuarteto histórico de Peñoles, Fresnillo, Grupo México y Frisco</w:t>
      </w:r>
      <w:bookmarkEnd w:id="78"/>
    </w:p>
    <w:p w14:paraId="574AC3A9" w14:textId="77777777" w:rsidR="002425BC" w:rsidRDefault="00000000">
      <w:pPr>
        <w:spacing w:after="160" w:line="276" w:lineRule="auto"/>
        <w:jc w:val="both"/>
      </w:pPr>
      <w:r>
        <w:t>Las cifras de participación de mercado en la extracción de zinc han cambiado de liderazgo en los últimos años, lo cual conviene precisar con exactitud para evitar confusiones entre mediciones de distintos años. En 2018, las cuatro compañías de origen nacional más importantes en este metal —Industrias Peñoles, Fresnillo plc, Grupo México y Minera Frisco— concentraban en conjunto 60% del total nacional, con Peñoles en primer lugar (su mina Velardeña como la de mayor producción) y Goldcorp en segundo lugar gracias a Peñasquito, con aproximadamente 21% de participación individual ese año. En 2017, una medición ligeramente distinta agrupaba a Peñoles, Goldcorp, Grupo México y Fresnillo plc con 77% del total nacional. Con cifras más recientes de 2024, el orden de mercado cambió: Newmont (la empresa que absorbió a Goldcorp en 2019) se convirtió en el mayor productor nacional de zinc, con una participación de 33.4%, seguida de Industrias Peñoles, Grupo México, Fresnillo plc y Minera Frisco, en ese orden, de acuerdo con el boletín más reciente de la Cámara Minera de México. La mina Peñasquito, de Newmont, se mantiene como la unidad individual de mayor aportación de zinc del país.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100"/>
        <w:gridCol w:w="2400"/>
        <w:gridCol w:w="2260"/>
      </w:tblGrid>
      <w:tr w:rsidR="002425BC" w14:paraId="514C2442" w14:textId="77777777">
        <w:trPr>
          <w:tblHeader/>
        </w:trPr>
        <w:tc>
          <w:tcPr>
            <w:tcW w:w="16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6A40FD0A" w14:textId="77777777" w:rsidR="002425BC" w:rsidRDefault="00000000">
            <w:r>
              <w:rPr>
                <w:b/>
                <w:bCs/>
                <w:color w:val="FFFFFF"/>
                <w:sz w:val="19"/>
                <w:szCs w:val="19"/>
              </w:rPr>
              <w:t>Año</w:t>
            </w:r>
          </w:p>
        </w:tc>
        <w:tc>
          <w:tcPr>
            <w:tcW w:w="31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5A384FE2" w14:textId="77777777" w:rsidR="002425BC" w:rsidRDefault="00000000">
            <w:r>
              <w:rPr>
                <w:b/>
                <w:bCs/>
                <w:color w:val="FFFFFF"/>
                <w:sz w:val="19"/>
                <w:szCs w:val="19"/>
              </w:rPr>
              <w:t>Mayor productor individual</w:t>
            </w:r>
          </w:p>
        </w:tc>
        <w:tc>
          <w:tcPr>
            <w:tcW w:w="2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3D5D767B" w14:textId="77777777" w:rsidR="002425BC" w:rsidRDefault="00000000">
            <w:r>
              <w:rPr>
                <w:b/>
                <w:bCs/>
                <w:color w:val="FFFFFF"/>
                <w:sz w:val="19"/>
                <w:szCs w:val="19"/>
              </w:rPr>
              <w:t>Participación</w:t>
            </w:r>
          </w:p>
        </w:tc>
        <w:tc>
          <w:tcPr>
            <w:tcW w:w="22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45971D4E" w14:textId="77777777" w:rsidR="002425BC" w:rsidRDefault="00000000">
            <w:r>
              <w:rPr>
                <w:b/>
                <w:bCs/>
                <w:color w:val="FFFFFF"/>
                <w:sz w:val="19"/>
                <w:szCs w:val="19"/>
              </w:rPr>
              <w:t>Top-4 conjunto</w:t>
            </w:r>
          </w:p>
        </w:tc>
      </w:tr>
      <w:tr w:rsidR="002425BC" w14:paraId="5DCEC239" w14:textId="77777777">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117D988" w14:textId="77777777" w:rsidR="002425BC" w:rsidRDefault="00000000">
            <w:r>
              <w:rPr>
                <w:sz w:val="19"/>
                <w:szCs w:val="19"/>
              </w:rPr>
              <w:t>2017</w:t>
            </w:r>
          </w:p>
        </w:tc>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B012347" w14:textId="77777777" w:rsidR="002425BC" w:rsidRDefault="00000000">
            <w:r>
              <w:rPr>
                <w:sz w:val="19"/>
                <w:szCs w:val="19"/>
              </w:rPr>
              <w:t>Industrias Peñoles</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5B331C9" w14:textId="77777777" w:rsidR="002425BC" w:rsidRDefault="00000000">
            <w:r>
              <w:rPr>
                <w:sz w:val="19"/>
                <w:szCs w:val="19"/>
              </w:rPr>
              <w:t>n.d.</w:t>
            </w:r>
          </w:p>
        </w:tc>
        <w:tc>
          <w:tcPr>
            <w:tcW w:w="2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689C170" w14:textId="77777777" w:rsidR="002425BC" w:rsidRDefault="00000000">
            <w:r>
              <w:rPr>
                <w:sz w:val="19"/>
                <w:szCs w:val="19"/>
              </w:rPr>
              <w:t>≈77% (Peñoles, Goldcorp, Grupo México, Fresnillo plc)</w:t>
            </w:r>
          </w:p>
        </w:tc>
      </w:tr>
      <w:tr w:rsidR="002425BC" w14:paraId="2D8DD19E" w14:textId="77777777">
        <w:tc>
          <w:tcPr>
            <w:tcW w:w="16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5FFDEB0F" w14:textId="77777777" w:rsidR="002425BC" w:rsidRDefault="00000000">
            <w:r>
              <w:rPr>
                <w:sz w:val="19"/>
                <w:szCs w:val="19"/>
              </w:rPr>
              <w:t>2018</w:t>
            </w:r>
          </w:p>
        </w:tc>
        <w:tc>
          <w:tcPr>
            <w:tcW w:w="31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B2F7CEF" w14:textId="77777777" w:rsidR="002425BC" w:rsidRDefault="00000000">
            <w:r>
              <w:rPr>
                <w:sz w:val="19"/>
                <w:szCs w:val="19"/>
              </w:rPr>
              <w:t>Industrias Peñoles (Velardeña)</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57D8B889" w14:textId="77777777" w:rsidR="002425BC" w:rsidRDefault="00000000">
            <w:r>
              <w:rPr>
                <w:sz w:val="19"/>
                <w:szCs w:val="19"/>
              </w:rPr>
              <w:t>n.d. (Goldcorp ≈21% vía Peñasquito)</w:t>
            </w:r>
          </w:p>
        </w:tc>
        <w:tc>
          <w:tcPr>
            <w:tcW w:w="2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302C4633" w14:textId="77777777" w:rsidR="002425BC" w:rsidRDefault="00000000">
            <w:r>
              <w:rPr>
                <w:sz w:val="19"/>
                <w:szCs w:val="19"/>
              </w:rPr>
              <w:t>≈60% (Peñoles, Fresnillo plc, Grupo México, Frisco)</w:t>
            </w:r>
          </w:p>
        </w:tc>
      </w:tr>
      <w:tr w:rsidR="002425BC" w14:paraId="529D826E" w14:textId="77777777">
        <w:tc>
          <w:tcPr>
            <w:tcW w:w="16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4AF71FE" w14:textId="77777777" w:rsidR="002425BC" w:rsidRDefault="00000000">
            <w:r>
              <w:rPr>
                <w:sz w:val="19"/>
                <w:szCs w:val="19"/>
              </w:rPr>
              <w:t>2024</w:t>
            </w:r>
          </w:p>
        </w:tc>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9B4DDB6" w14:textId="77777777" w:rsidR="002425BC" w:rsidRDefault="00000000">
            <w:r>
              <w:rPr>
                <w:sz w:val="19"/>
                <w:szCs w:val="19"/>
              </w:rPr>
              <w:t>Newmont (Peñasquito)</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AAA710D" w14:textId="77777777" w:rsidR="002425BC" w:rsidRDefault="00000000">
            <w:r>
              <w:rPr>
                <w:sz w:val="19"/>
                <w:szCs w:val="19"/>
              </w:rPr>
              <w:t>33.4%</w:t>
            </w:r>
          </w:p>
        </w:tc>
        <w:tc>
          <w:tcPr>
            <w:tcW w:w="2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7BFC2B6" w14:textId="77777777" w:rsidR="002425BC" w:rsidRDefault="00000000">
            <w:r>
              <w:rPr>
                <w:sz w:val="19"/>
                <w:szCs w:val="19"/>
              </w:rPr>
              <w:t>n.d. (Newmont, Peñoles, Grupo México, Fresnillo plc, Frisco)</w:t>
            </w:r>
          </w:p>
        </w:tc>
      </w:tr>
    </w:tbl>
    <w:p w14:paraId="7FA18648" w14:textId="77777777" w:rsidR="002425BC" w:rsidRDefault="00000000">
      <w:pPr>
        <w:pStyle w:val="Ttulo2"/>
      </w:pPr>
      <w:bookmarkStart w:id="79" w:name="_Toc232941881"/>
      <w:r>
        <w:t>14.3 Refinación: la hegemonía de Peñoles desde los años noventa</w:t>
      </w:r>
      <w:bookmarkEnd w:id="79"/>
    </w:p>
    <w:p w14:paraId="72A96D91" w14:textId="77777777" w:rsidR="002425BC" w:rsidRDefault="00000000">
      <w:pPr>
        <w:spacing w:after="160" w:line="276" w:lineRule="auto"/>
        <w:jc w:val="both"/>
      </w:pPr>
      <w:r>
        <w:t xml:space="preserve">A diferencia de la extracción —donde el liderazgo ha rotado entre Peñoles y, más recientemente, Newmont/Goldcorp—, el zinc mexicano exhibe una concentración particularmente marcada y estable en la etapa de refinación: Industrias Peñoles ha mantenido, de forma sostenida desde </w:t>
      </w:r>
      <w:r>
        <w:lastRenderedPageBreak/>
        <w:t>los años noventa, la hegemonía nacional en refinación primaria de zinc, controlando en torno al 69% del zinc afinado del país. Peñoles opera, además, la mina subterránea de zinc más grande de México (Francisco I. Madero, hoy suspendida temporalmente desde mayo de 2020 por baja rentabilidad) y cuenta, desde fines de los setenta, con una Refinería Electrolítica de Zinc en Torreón, ampliada en 2019 con el objetivo de alcanzar 370,000 toneladas anuales de capacidad —meta que en la práctica se ha mantenido por debajo, en alrededor de 270,000 toneladas en 2023-2024 debido a la caída de precios internacionales del metal—. La mayor parte de la producción de la planta de zinc de Torreón se destina al mercado de Estados Unidos, y el resto a Europa.</w:t>
      </w:r>
    </w:p>
    <w:p w14:paraId="68DD45CA" w14:textId="77777777" w:rsidR="002425BC" w:rsidRDefault="00000000">
      <w:pPr>
        <w:pStyle w:val="Ttulo2"/>
      </w:pPr>
      <w:bookmarkStart w:id="80" w:name="_Toc232941882"/>
      <w:r>
        <w:t>14.4 Destino de la producción: mayoritariamente exportador, con Asia como comprador creciente</w:t>
      </w:r>
      <w:bookmarkEnd w:id="80"/>
    </w:p>
    <w:p w14:paraId="0BCB48CD" w14:textId="77777777" w:rsidR="002425BC" w:rsidRDefault="00000000">
      <w:pPr>
        <w:spacing w:after="160" w:line="276" w:lineRule="auto"/>
        <w:jc w:val="both"/>
      </w:pPr>
      <w:r>
        <w:t>El comercio exterior del zinc mexicano muestra, como en el caso de la plata, una diferencia relevante entre mineral en bruto y producto refinado. En 2024, los principales destinos comerciales de minerales de zinc y sus concentrados (sin refinar) fueron Corea del Sur (382 millones de dólares), España (220 millones), Bélgica (119 millones), China (85.3 millones) y Canadá (52.9 millones), con un intercambio comercial total de 1,292 millones de dólares; Ciudad de México (sede administrativa de las grandes exportadoras) y San Luis Potosí concentraron la mayor parte de las exportaciones por entidad federativa. Aunque la planta de Peñoles en Torreón orienta la mayor parte de su zinc refinado hacia Estados Unidos, una porción creciente de los concentrados sin refinar se dirige a fundiciones asiáticas, reflejo de la capacidad de procesamiento instalada en esa región.</w:t>
      </w:r>
    </w:p>
    <w:p w14:paraId="10B4A1F7" w14:textId="77777777" w:rsidR="002425BC" w:rsidRDefault="00000000">
      <w:pPr>
        <w:pStyle w:val="Ttulo2"/>
      </w:pPr>
      <w:bookmarkStart w:id="81" w:name="_Toc232941883"/>
      <w:r>
        <w:t>14.5 Impacto de la reforma a la Ley Minera de 2023</w:t>
      </w:r>
      <w:bookmarkEnd w:id="81"/>
    </w:p>
    <w:p w14:paraId="7CB62AC3" w14:textId="77777777" w:rsidR="002425BC" w:rsidRDefault="00000000">
      <w:pPr>
        <w:spacing w:after="160" w:line="276" w:lineRule="auto"/>
        <w:jc w:val="both"/>
      </w:pPr>
      <w:r>
        <w:t>El proyecto más relevante de expansión reciente en zinc —Buenavista Zinc, de Grupo México en Sonora, que llevó la participación de ese estado de 3.4% a 8.3% de la producción nacional entre 2023 y 2024— fue desarrollado bajo concesiones obtenidas antes de la reforma de 2023, lo que ilustra el mismo patrón observado en cobre y plata: los proyectos ya autorizados antes de la reforma continúan su desarrollo con relativa normalidad, mientras que los nuevos proyectos de exploración de zinc enfrentan la misma exclusividad del SGM y el mismo congelamiento de nuevas concesiones documentado para el resto del sector. La suspensión de la mina Francisco I. Madero de Peñoles en 2020 —antes de la reforma, por razones de rentabilidad y no regulatorias— ilustra además que, en el caso del zinc, los precios internacionales del metal han sido, igual que en plomo, un factor de cierre de operaciones más determinante hasta ahora que la reforma legal.</w:t>
      </w:r>
    </w:p>
    <w:p w14:paraId="73937738" w14:textId="77777777" w:rsidR="002425BC" w:rsidRDefault="00000000">
      <w:pPr>
        <w:spacing w:after="160" w:line="276" w:lineRule="auto"/>
        <w:jc w:val="both"/>
      </w:pPr>
      <w:r>
        <w:rPr>
          <w:b/>
          <w:bCs/>
        </w:rPr>
        <w:t>Conclusión del mineral:</w:t>
      </w:r>
    </w:p>
    <w:p w14:paraId="7B518D43" w14:textId="77777777" w:rsidR="002425BC" w:rsidRDefault="00000000">
      <w:pPr>
        <w:spacing w:after="160" w:line="276" w:lineRule="auto"/>
        <w:jc w:val="both"/>
      </w:pPr>
      <w:r>
        <w:t xml:space="preserve">El mercado del zinc en México presenta una concentración alta y estable desde 1993, aunque con un matiz importante respecto de la primera edición de este informe: el liderazgo en extracción ha rotado de Industrias Peñoles (hasta 2018-2019) a Newmont —heredero de Goldcorp y su mina Peñasquito— con 33.4% de la producción nacional en la medición más reciente disponible (2024), mientras que Peñoles mantiene de forma mucho más estable su dominio en refinación (≈69% del zinc afinado nacional) desde hace tres décadas. El zinc es, junto con el plomo, un </w:t>
      </w:r>
      <w:r>
        <w:lastRenderedPageBreak/>
        <w:t>ejemplo claro de un mercado cuya concentración deriva directamente de la integración vertical lograda por los grandes grupos mineros mexicanos durante el proceso de privatización de 1988-1993, aunque la entrada de capital extranjero vía la fusión Newmont-Goldcorp ha matizado ese dominio puramente mexicano en la etapa de extracción.</w:t>
      </w:r>
    </w:p>
    <w:p w14:paraId="02A52F2A" w14:textId="77777777" w:rsidR="002425BC" w:rsidRDefault="00000000">
      <w:pPr>
        <w:spacing w:before="40" w:after="240"/>
      </w:pPr>
      <w:r>
        <w:rPr>
          <w:i/>
          <w:iCs/>
          <w:color w:val="555555"/>
          <w:sz w:val="17"/>
          <w:szCs w:val="17"/>
        </w:rPr>
        <w:t>Fuente: Cámara Minera de México, "Sonora ya figura en producción de zinc" (boletín 2025) y "Peñoles y Goldcorp encabezan producción de zinc en México" (Mexico Mining Center, 2018); Industrias Peñoles, "Unidades Mineras" y "Madero" (penoles.com.mx); Milenio y Mining México, "Peñoles prevé producción de 270 mil toneladas de zinc" (julio 2024); DataMéxico, perfil de Minerales de Cinc y sus Concentrados; Compendio Estadístico CIDE-CAMIMEX (2024).</w:t>
      </w:r>
    </w:p>
    <w:p w14:paraId="160F206C" w14:textId="77777777" w:rsidR="002425BC" w:rsidRDefault="00000000">
      <w:pPr>
        <w:pStyle w:val="Ttulo1"/>
        <w:pageBreakBefore/>
        <w:pBdr>
          <w:bottom w:val="single" w:sz="8" w:space="4" w:color="1F3B5C"/>
        </w:pBdr>
      </w:pPr>
      <w:bookmarkStart w:id="82" w:name="_Toc232941884"/>
      <w:r>
        <w:lastRenderedPageBreak/>
        <w:t>15. Síntesis comparativa: el espectro de concentración 1993-2025</w:t>
      </w:r>
      <w:bookmarkEnd w:id="82"/>
    </w:p>
    <w:p w14:paraId="5D5B919F" w14:textId="77777777" w:rsidR="002425BC" w:rsidRDefault="00000000">
      <w:pPr>
        <w:spacing w:after="160" w:line="276" w:lineRule="auto"/>
        <w:jc w:val="both"/>
      </w:pPr>
      <w:r>
        <w:t>La tabla siguiente ordena los diez minerales analizados de mayor a menor concentración de mercado, combinando la evidencia de concentración empresarial (número de productores relevantes, con porcentajes de mercado cuando están documentados) con la concentración geográfica reunida en los capítulos anteriores.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742"/>
        <w:gridCol w:w="2963"/>
        <w:gridCol w:w="3422"/>
      </w:tblGrid>
      <w:tr w:rsidR="002425BC" w14:paraId="4725FF2A" w14:textId="77777777">
        <w:trPr>
          <w:tblHeader/>
        </w:trPr>
        <w:tc>
          <w:tcPr>
            <w:tcW w:w="115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1CEE6F0F" w14:textId="77777777" w:rsidR="002425BC" w:rsidRDefault="00000000">
            <w:r>
              <w:rPr>
                <w:b/>
                <w:bCs/>
                <w:color w:val="FFFFFF"/>
                <w:sz w:val="19"/>
                <w:szCs w:val="19"/>
              </w:rPr>
              <w:t>Mineral</w:t>
            </w:r>
          </w:p>
        </w:tc>
        <w:tc>
          <w:tcPr>
            <w:tcW w:w="175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02275451" w14:textId="77777777" w:rsidR="002425BC" w:rsidRDefault="00000000">
            <w:r>
              <w:rPr>
                <w:b/>
                <w:bCs/>
                <w:color w:val="FFFFFF"/>
                <w:sz w:val="19"/>
                <w:szCs w:val="19"/>
              </w:rPr>
              <w:t>Grado de concentración</w:t>
            </w:r>
          </w:p>
        </w:tc>
        <w:tc>
          <w:tcPr>
            <w:tcW w:w="30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39DA4DF1" w14:textId="77777777" w:rsidR="002425BC" w:rsidRDefault="00000000">
            <w:r>
              <w:rPr>
                <w:b/>
                <w:bCs/>
                <w:color w:val="FFFFFF"/>
                <w:sz w:val="19"/>
                <w:szCs w:val="19"/>
              </w:rPr>
              <w:t>Actor(es) dominante(s) y % de mercado</w:t>
            </w:r>
          </w:p>
        </w:tc>
        <w:tc>
          <w:tcPr>
            <w:tcW w:w="34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06ECD7F8" w14:textId="77777777" w:rsidR="002425BC" w:rsidRDefault="00000000">
            <w:r>
              <w:rPr>
                <w:b/>
                <w:bCs/>
                <w:color w:val="FFFFFF"/>
                <w:sz w:val="19"/>
                <w:szCs w:val="19"/>
              </w:rPr>
              <w:t>Hito de concentración 1993-2025</w:t>
            </w:r>
          </w:p>
        </w:tc>
      </w:tr>
      <w:tr w:rsidR="002425BC" w14:paraId="06714BF0" w14:textId="77777777">
        <w:tc>
          <w:tcPr>
            <w:tcW w:w="115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7BABF55" w14:textId="77777777" w:rsidR="002425BC" w:rsidRDefault="00000000">
            <w:r>
              <w:rPr>
                <w:sz w:val="19"/>
                <w:szCs w:val="19"/>
              </w:rPr>
              <w:t>Manganeso</w:t>
            </w:r>
          </w:p>
        </w:tc>
        <w:tc>
          <w:tcPr>
            <w:tcW w:w="175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24AE7E2" w14:textId="77777777" w:rsidR="002425BC" w:rsidRDefault="00000000">
            <w:r>
              <w:rPr>
                <w:sz w:val="19"/>
                <w:szCs w:val="19"/>
              </w:rPr>
              <w:t>Monopolio absoluto</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EAEB84C" w14:textId="77777777" w:rsidR="002425BC" w:rsidRDefault="00000000">
            <w:r>
              <w:rPr>
                <w:sz w:val="19"/>
                <w:szCs w:val="19"/>
              </w:rPr>
              <w:t>Cía. Minera Autlán: 100% de la extracción y transformación nacional</w:t>
            </w:r>
          </w:p>
        </w:tc>
        <w:tc>
          <w:tcPr>
            <w:tcW w:w="34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FE1045D" w14:textId="77777777" w:rsidR="002425BC" w:rsidRDefault="00000000">
            <w:r>
              <w:rPr>
                <w:sz w:val="19"/>
                <w:szCs w:val="19"/>
              </w:rPr>
              <w:t>Privatización 1993; sin entrada de competidores en 30 años</w:t>
            </w:r>
          </w:p>
        </w:tc>
      </w:tr>
      <w:tr w:rsidR="002425BC" w14:paraId="047F6D44" w14:textId="77777777">
        <w:tc>
          <w:tcPr>
            <w:tcW w:w="115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37AFC19" w14:textId="77777777" w:rsidR="002425BC" w:rsidRDefault="00000000">
            <w:r>
              <w:rPr>
                <w:sz w:val="19"/>
                <w:szCs w:val="19"/>
              </w:rPr>
              <w:t>Fluorita</w:t>
            </w:r>
          </w:p>
        </w:tc>
        <w:tc>
          <w:tcPr>
            <w:tcW w:w="175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026109D" w14:textId="77777777" w:rsidR="002425BC" w:rsidRDefault="00000000">
            <w:r>
              <w:rPr>
                <w:sz w:val="19"/>
                <w:szCs w:val="19"/>
              </w:rPr>
              <w:t>Monopolio casi absoluto</w:t>
            </w:r>
          </w:p>
        </w:tc>
        <w:tc>
          <w:tcPr>
            <w:tcW w:w="3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F584674" w14:textId="77777777" w:rsidR="002425BC" w:rsidRDefault="00000000">
            <w:r>
              <w:rPr>
                <w:sz w:val="19"/>
                <w:szCs w:val="19"/>
              </w:rPr>
              <w:t>Mexichem / Orbia-Koura: 91-98% nacional desde la mina Las Cuevas (SLP)</w:t>
            </w:r>
          </w:p>
        </w:tc>
        <w:tc>
          <w:tcPr>
            <w:tcW w:w="34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893ADCD" w14:textId="77777777" w:rsidR="002425BC" w:rsidRDefault="00000000">
            <w:r>
              <w:rPr>
                <w:sz w:val="19"/>
                <w:szCs w:val="19"/>
              </w:rPr>
              <w:t>Cambio de marca Mexichem→Orbia/Koura, 2019-20</w:t>
            </w:r>
          </w:p>
        </w:tc>
      </w:tr>
      <w:tr w:rsidR="002425BC" w14:paraId="34E3D9A3" w14:textId="77777777">
        <w:tc>
          <w:tcPr>
            <w:tcW w:w="115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278F6A60" w14:textId="77777777" w:rsidR="002425BC" w:rsidRDefault="00000000">
            <w:r>
              <w:rPr>
                <w:sz w:val="19"/>
                <w:szCs w:val="19"/>
              </w:rPr>
              <w:t>Cobre</w:t>
            </w:r>
          </w:p>
        </w:tc>
        <w:tc>
          <w:tcPr>
            <w:tcW w:w="175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3F09FD8" w14:textId="77777777" w:rsidR="002425BC" w:rsidRDefault="00000000">
            <w:r>
              <w:rPr>
                <w:sz w:val="19"/>
                <w:szCs w:val="19"/>
              </w:rPr>
              <w:t>Cuasi-monopolio</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130F970" w14:textId="77777777" w:rsidR="002425BC" w:rsidRDefault="00000000">
            <w:r>
              <w:rPr>
                <w:sz w:val="19"/>
                <w:szCs w:val="19"/>
              </w:rPr>
              <w:t>Grupo México: 73-87.5% de la extracción según el año (78% en 2024)</w:t>
            </w:r>
          </w:p>
        </w:tc>
        <w:tc>
          <w:tcPr>
            <w:tcW w:w="34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EDDFA9B" w14:textId="77777777" w:rsidR="002425BC" w:rsidRDefault="00000000">
            <w:r>
              <w:rPr>
                <w:sz w:val="19"/>
                <w:szCs w:val="19"/>
              </w:rPr>
              <w:t>Compra de ASARCO (2004); concesiones clave hasta 2062</w:t>
            </w:r>
          </w:p>
        </w:tc>
      </w:tr>
      <w:tr w:rsidR="002425BC" w14:paraId="009B0045" w14:textId="77777777">
        <w:tc>
          <w:tcPr>
            <w:tcW w:w="115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421128A" w14:textId="77777777" w:rsidR="002425BC" w:rsidRDefault="00000000">
            <w:r>
              <w:rPr>
                <w:sz w:val="19"/>
                <w:szCs w:val="19"/>
              </w:rPr>
              <w:t>Plomo</w:t>
            </w:r>
          </w:p>
        </w:tc>
        <w:tc>
          <w:tcPr>
            <w:tcW w:w="175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3D1072F" w14:textId="77777777" w:rsidR="002425BC" w:rsidRDefault="00000000">
            <w:r>
              <w:rPr>
                <w:sz w:val="19"/>
                <w:szCs w:val="19"/>
              </w:rPr>
              <w:t>Monopolio en refinación / oligopolio en extracción</w:t>
            </w:r>
          </w:p>
        </w:tc>
        <w:tc>
          <w:tcPr>
            <w:tcW w:w="3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50D61C1" w14:textId="77777777" w:rsidR="002425BC" w:rsidRDefault="00000000">
            <w:r>
              <w:rPr>
                <w:sz w:val="19"/>
                <w:szCs w:val="19"/>
              </w:rPr>
              <w:t>Peñoles: 100% de refinación; Peñoles, Grupo México, Frisco en extracción</w:t>
            </w:r>
          </w:p>
        </w:tc>
        <w:tc>
          <w:tcPr>
            <w:tcW w:w="34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D6BEE20" w14:textId="77777777" w:rsidR="002425BC" w:rsidRDefault="00000000">
            <w:r>
              <w:rPr>
                <w:sz w:val="19"/>
                <w:szCs w:val="19"/>
              </w:rPr>
              <w:t>Sin cambios estructurales relevantes 1993-2025</w:t>
            </w:r>
          </w:p>
        </w:tc>
      </w:tr>
      <w:tr w:rsidR="002425BC" w14:paraId="76163067" w14:textId="77777777">
        <w:tc>
          <w:tcPr>
            <w:tcW w:w="115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56604D9" w14:textId="77777777" w:rsidR="002425BC" w:rsidRDefault="00000000">
            <w:r>
              <w:rPr>
                <w:sz w:val="19"/>
                <w:szCs w:val="19"/>
              </w:rPr>
              <w:t>Zinc</w:t>
            </w:r>
          </w:p>
        </w:tc>
        <w:tc>
          <w:tcPr>
            <w:tcW w:w="175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5D4D1FF" w14:textId="77777777" w:rsidR="002425BC" w:rsidRDefault="00000000">
            <w:r>
              <w:rPr>
                <w:sz w:val="19"/>
                <w:szCs w:val="19"/>
              </w:rPr>
              <w:t>Oligopolio concentrado, liderazgo rotado</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0890ECA" w14:textId="77777777" w:rsidR="002425BC" w:rsidRDefault="00000000">
            <w:r>
              <w:rPr>
                <w:sz w:val="19"/>
                <w:szCs w:val="19"/>
              </w:rPr>
              <w:t>Peñoles: ≈69% refinación; Newmont 33.4% extracción (2024, antes Peñoles)</w:t>
            </w:r>
          </w:p>
        </w:tc>
        <w:tc>
          <w:tcPr>
            <w:tcW w:w="34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509051D" w14:textId="77777777" w:rsidR="002425BC" w:rsidRDefault="00000000">
            <w:r>
              <w:rPr>
                <w:sz w:val="19"/>
                <w:szCs w:val="19"/>
              </w:rPr>
              <w:t>Newmont absorbe Goldcorp/Peñasquito (2019)</w:t>
            </w:r>
          </w:p>
        </w:tc>
      </w:tr>
      <w:tr w:rsidR="002425BC" w14:paraId="00D6F7DC" w14:textId="77777777">
        <w:tc>
          <w:tcPr>
            <w:tcW w:w="115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C4BDDD2" w14:textId="77777777" w:rsidR="002425BC" w:rsidRDefault="00000000">
            <w:r>
              <w:rPr>
                <w:sz w:val="19"/>
                <w:szCs w:val="19"/>
              </w:rPr>
              <w:t>Barita</w:t>
            </w:r>
          </w:p>
        </w:tc>
        <w:tc>
          <w:tcPr>
            <w:tcW w:w="175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1589AB9D" w14:textId="77777777" w:rsidR="002425BC" w:rsidRDefault="00000000">
            <w:r>
              <w:rPr>
                <w:sz w:val="19"/>
                <w:szCs w:val="19"/>
              </w:rPr>
              <w:t>Oligopolio (4 empresas)</w:t>
            </w:r>
          </w:p>
        </w:tc>
        <w:tc>
          <w:tcPr>
            <w:tcW w:w="3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5D897635" w14:textId="77777777" w:rsidR="002425BC" w:rsidRDefault="00000000">
            <w:r>
              <w:rPr>
                <w:sz w:val="19"/>
                <w:szCs w:val="19"/>
              </w:rPr>
              <w:t>4 productoras (SE); liderazgo de Nuevo León (89%, 2019)</w:t>
            </w:r>
          </w:p>
        </w:tc>
        <w:tc>
          <w:tcPr>
            <w:tcW w:w="34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D88B6BA" w14:textId="77777777" w:rsidR="002425BC" w:rsidRDefault="00000000">
            <w:r>
              <w:rPr>
                <w:sz w:val="19"/>
                <w:szCs w:val="19"/>
              </w:rPr>
              <w:t>Alta variabilidad geográfica; sin fusiones documentadas</w:t>
            </w:r>
          </w:p>
        </w:tc>
      </w:tr>
      <w:tr w:rsidR="002425BC" w14:paraId="59DCF0F9" w14:textId="77777777">
        <w:tc>
          <w:tcPr>
            <w:tcW w:w="115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1EF50D1" w14:textId="77777777" w:rsidR="002425BC" w:rsidRDefault="00000000">
            <w:r>
              <w:rPr>
                <w:sz w:val="19"/>
                <w:szCs w:val="19"/>
              </w:rPr>
              <w:t>Plata</w:t>
            </w:r>
          </w:p>
        </w:tc>
        <w:tc>
          <w:tcPr>
            <w:tcW w:w="175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4FC4DF9" w14:textId="77777777" w:rsidR="002425BC" w:rsidRDefault="00000000">
            <w:r>
              <w:rPr>
                <w:sz w:val="19"/>
                <w:szCs w:val="19"/>
              </w:rPr>
              <w:t>Oligopolio moderado (5 grandes), dos cifras distintas</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E482BEA" w14:textId="77777777" w:rsidR="002425BC" w:rsidRDefault="00000000">
            <w:r>
              <w:rPr>
                <w:sz w:val="19"/>
                <w:szCs w:val="19"/>
              </w:rPr>
              <w:t>Fresnillo plc ≈30% extracción; Peñoles 89% refinación</w:t>
            </w:r>
          </w:p>
        </w:tc>
        <w:tc>
          <w:tcPr>
            <w:tcW w:w="34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1C97D68" w14:textId="77777777" w:rsidR="002425BC" w:rsidRDefault="00000000">
            <w:r>
              <w:rPr>
                <w:sz w:val="19"/>
                <w:szCs w:val="19"/>
              </w:rPr>
              <w:t>Escisión de Fresnillo plc de Peñoles (2008)</w:t>
            </w:r>
          </w:p>
        </w:tc>
      </w:tr>
      <w:tr w:rsidR="002425BC" w14:paraId="42CA34CC" w14:textId="77777777">
        <w:tc>
          <w:tcPr>
            <w:tcW w:w="115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C155368" w14:textId="77777777" w:rsidR="002425BC" w:rsidRDefault="00000000">
            <w:r>
              <w:rPr>
                <w:sz w:val="19"/>
                <w:szCs w:val="19"/>
              </w:rPr>
              <w:t>Oro</w:t>
            </w:r>
          </w:p>
        </w:tc>
        <w:tc>
          <w:tcPr>
            <w:tcW w:w="175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92D732E" w14:textId="77777777" w:rsidR="002425BC" w:rsidRDefault="00000000">
            <w:r>
              <w:rPr>
                <w:sz w:val="19"/>
                <w:szCs w:val="19"/>
              </w:rPr>
              <w:t>Oligopolio moderado-bajo (5 grandes)</w:t>
            </w:r>
          </w:p>
        </w:tc>
        <w:tc>
          <w:tcPr>
            <w:tcW w:w="3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FA8809B" w14:textId="77777777" w:rsidR="002425BC" w:rsidRDefault="00000000">
            <w:r>
              <w:rPr>
                <w:sz w:val="19"/>
                <w:szCs w:val="19"/>
              </w:rPr>
              <w:t>Torex Gold, Fresnillo plc, Alamos, Equinox, Newmont: 42-45% conjunto</w:t>
            </w:r>
          </w:p>
        </w:tc>
        <w:tc>
          <w:tcPr>
            <w:tcW w:w="34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E5A8C6F" w14:textId="77777777" w:rsidR="002425BC" w:rsidRDefault="00000000">
            <w:r>
              <w:rPr>
                <w:sz w:val="19"/>
                <w:szCs w:val="19"/>
              </w:rPr>
              <w:t>Fusión Newmont-Goldcorp (2019)</w:t>
            </w:r>
          </w:p>
        </w:tc>
      </w:tr>
      <w:tr w:rsidR="002425BC" w14:paraId="656F100C" w14:textId="77777777">
        <w:tc>
          <w:tcPr>
            <w:tcW w:w="115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25851F8" w14:textId="77777777" w:rsidR="002425BC" w:rsidRDefault="00000000">
            <w:r>
              <w:rPr>
                <w:sz w:val="19"/>
                <w:szCs w:val="19"/>
              </w:rPr>
              <w:t>Grafito</w:t>
            </w:r>
          </w:p>
        </w:tc>
        <w:tc>
          <w:tcPr>
            <w:tcW w:w="175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14D8B74" w14:textId="77777777" w:rsidR="002425BC" w:rsidRDefault="00000000">
            <w:r>
              <w:rPr>
                <w:sz w:val="19"/>
                <w:szCs w:val="19"/>
              </w:rPr>
              <w:t>Monopolio geográfico / mercado atomizado</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6EBE4B7" w14:textId="77777777" w:rsidR="002425BC" w:rsidRDefault="00000000">
            <w:r>
              <w:rPr>
                <w:sz w:val="19"/>
                <w:szCs w:val="19"/>
              </w:rPr>
              <w:t>Sin productor dominante; 100% Sonora</w:t>
            </w:r>
          </w:p>
        </w:tc>
        <w:tc>
          <w:tcPr>
            <w:tcW w:w="34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2B218D2" w14:textId="77777777" w:rsidR="002425BC" w:rsidRDefault="00000000">
            <w:r>
              <w:rPr>
                <w:sz w:val="19"/>
                <w:szCs w:val="19"/>
              </w:rPr>
              <w:t>Sin consolidación empresarial documentada</w:t>
            </w:r>
          </w:p>
        </w:tc>
      </w:tr>
      <w:tr w:rsidR="002425BC" w14:paraId="6B953750" w14:textId="77777777">
        <w:tc>
          <w:tcPr>
            <w:tcW w:w="115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0C77B71" w14:textId="77777777" w:rsidR="002425BC" w:rsidRDefault="00000000">
            <w:r>
              <w:rPr>
                <w:sz w:val="19"/>
                <w:szCs w:val="19"/>
              </w:rPr>
              <w:t>Sílice</w:t>
            </w:r>
          </w:p>
        </w:tc>
        <w:tc>
          <w:tcPr>
            <w:tcW w:w="175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FD78B26" w14:textId="77777777" w:rsidR="002425BC" w:rsidRDefault="00000000">
            <w:r>
              <w:rPr>
                <w:sz w:val="19"/>
                <w:szCs w:val="19"/>
              </w:rPr>
              <w:t>Mercado fragmentado</w:t>
            </w:r>
          </w:p>
        </w:tc>
        <w:tc>
          <w:tcPr>
            <w:tcW w:w="3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B01F643" w14:textId="77777777" w:rsidR="002425BC" w:rsidRDefault="00000000">
            <w:r>
              <w:rPr>
                <w:sz w:val="19"/>
                <w:szCs w:val="19"/>
              </w:rPr>
              <w:t>Sin productor dominante; numerosos productores medianos/pequeños</w:t>
            </w:r>
          </w:p>
        </w:tc>
        <w:tc>
          <w:tcPr>
            <w:tcW w:w="34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155150CB" w14:textId="77777777" w:rsidR="002425BC" w:rsidRDefault="00000000">
            <w:r>
              <w:rPr>
                <w:sz w:val="19"/>
                <w:szCs w:val="19"/>
              </w:rPr>
              <w:t>Sin consolidación empresarial documentada</w:t>
            </w:r>
          </w:p>
        </w:tc>
      </w:tr>
    </w:tbl>
    <w:p w14:paraId="5677E169" w14:textId="77777777" w:rsidR="002425BC" w:rsidRDefault="00000000">
      <w:pPr>
        <w:pStyle w:val="Ttulo2"/>
      </w:pPr>
      <w:bookmarkStart w:id="83" w:name="_Toc232941885"/>
      <w:r>
        <w:t>15.1 Tres patrones distintos de concentración</w:t>
      </w:r>
      <w:bookmarkEnd w:id="83"/>
    </w:p>
    <w:p w14:paraId="500F61F8" w14:textId="77777777" w:rsidR="002425BC" w:rsidRDefault="00000000">
      <w:pPr>
        <w:spacing w:after="160" w:line="276" w:lineRule="auto"/>
        <w:jc w:val="both"/>
      </w:pPr>
      <w:r>
        <w:t>La evidencia reunida permite distinguir tres patrones de concentración de mercado cualitativamente diferentes dentro de la minería mexicana del periodo 1993-2025:</w:t>
      </w:r>
    </w:p>
    <w:p w14:paraId="792E455A" w14:textId="77777777" w:rsidR="002425BC" w:rsidRDefault="00000000">
      <w:pPr>
        <w:pStyle w:val="Prrafodelista"/>
        <w:numPr>
          <w:ilvl w:val="0"/>
          <w:numId w:val="2"/>
        </w:numPr>
        <w:spacing w:after="80"/>
      </w:pPr>
      <w:r>
        <w:lastRenderedPageBreak/>
        <w:t>Monopolio por geología única: manganeso (Molango) y, en menor medida, fluorita (Las Cuevas) deben su concentración a la existencia de un yacimiento de escala industrial sin competidor doméstico comparable, no a una estrategia comercial deliberada de exclusión.</w:t>
      </w:r>
    </w:p>
    <w:p w14:paraId="7F277ADD" w14:textId="77777777" w:rsidR="002425BC" w:rsidRDefault="00000000">
      <w:pPr>
        <w:pStyle w:val="Prrafodelista"/>
        <w:numPr>
          <w:ilvl w:val="0"/>
          <w:numId w:val="2"/>
        </w:numPr>
        <w:spacing w:after="80"/>
      </w:pPr>
      <w:r>
        <w:t>Concentración por integración vertical post-privatización: cobre, zinc y plomo deben su concentración al proceso de privatización 1988-1993, que entregó el control de las reservas federales y de la capacidad de fundición y refinación a Grupo México y Peñoles, posición que ambos grupos han defendido y profundizado durante tres décadas mediante integración vertical (Grupo México) o liderazgo en refinación (Peñoles), aunque en zinc esa posición ha sido recientemente matizada por la entrada de Newmont vía la compra de Goldcorp.</w:t>
      </w:r>
    </w:p>
    <w:p w14:paraId="28A16327" w14:textId="77777777" w:rsidR="002425BC" w:rsidRDefault="00000000">
      <w:pPr>
        <w:pStyle w:val="Prrafodelista"/>
        <w:numPr>
          <w:ilvl w:val="0"/>
          <w:numId w:val="2"/>
        </w:numPr>
        <w:spacing w:after="80"/>
      </w:pPr>
      <w:r>
        <w:t>Mercados abiertos a la entrada extranjera: oro y plata son los minerales donde la apertura de 1992-1996 sí permitió la entrada sostenida de nuevos competidores —sobre todo canadienses y, más recientemente, fusiones protagonizadas por estadounidenses como Newmont—, de modo que su estructura de mercado, aunque concentrada, exhibe mayor movilidad y cambios corporativos documentables que cobre, zinc o plomo.</w:t>
      </w:r>
    </w:p>
    <w:p w14:paraId="5265942D" w14:textId="77777777" w:rsidR="002425BC" w:rsidRDefault="00000000">
      <w:pPr>
        <w:pStyle w:val="Prrafodelista"/>
        <w:numPr>
          <w:ilvl w:val="0"/>
          <w:numId w:val="2"/>
        </w:numPr>
        <w:spacing w:after="80"/>
      </w:pPr>
      <w:r>
        <w:t>Mercados sin concentración relevante: grafito, sílice y, en menor medida, barita corresponden a minerales de menor valor unitario y mercados más pequeños o atomizados, donde ni la privatización de los noventa ni la inversión extranjera posterior produjeron consolidación empresarial documentada.</w:t>
      </w:r>
    </w:p>
    <w:p w14:paraId="1DF2675A" w14:textId="77777777" w:rsidR="002425BC" w:rsidRDefault="00000000">
      <w:pPr>
        <w:pStyle w:val="Ttulo2"/>
      </w:pPr>
      <w:bookmarkStart w:id="84" w:name="_Toc232941886"/>
      <w:r>
        <w:t>15.2 Destino de la producción: un segundo eje de comparación</w:t>
      </w:r>
      <w:bookmarkEnd w:id="84"/>
    </w:p>
    <w:p w14:paraId="7773BBD6" w14:textId="77777777" w:rsidR="002425BC" w:rsidRDefault="00000000">
      <w:pPr>
        <w:spacing w:after="160" w:line="276" w:lineRule="auto"/>
        <w:jc w:val="both"/>
      </w:pPr>
      <w:r>
        <w:t>Más allá de la concentración empresarial, los diez minerales de este informe también se diferencian con claridad por la proporción de su producción que se queda en México frente a la que se exporta, y a qué destino. La tabla siguiente resume este segundo eje, desarrollado con mayor detalle en cada capítulo mineral.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960"/>
      </w:tblGrid>
      <w:tr w:rsidR="002425BC" w14:paraId="6B20526E" w14:textId="77777777">
        <w:trPr>
          <w:tblHeader/>
        </w:trPr>
        <w:tc>
          <w:tcPr>
            <w:tcW w:w="17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2DFA0046" w14:textId="77777777" w:rsidR="002425BC" w:rsidRDefault="00000000">
            <w:r>
              <w:rPr>
                <w:b/>
                <w:bCs/>
                <w:color w:val="FFFFFF"/>
                <w:sz w:val="19"/>
                <w:szCs w:val="19"/>
              </w:rPr>
              <w:t>Mineral</w:t>
            </w:r>
          </w:p>
        </w:tc>
        <w:tc>
          <w:tcPr>
            <w:tcW w:w="37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6AE936E6" w14:textId="77777777" w:rsidR="002425BC" w:rsidRDefault="00000000">
            <w:r>
              <w:rPr>
                <w:b/>
                <w:bCs/>
                <w:color w:val="FFFFFF"/>
                <w:sz w:val="19"/>
                <w:szCs w:val="19"/>
              </w:rPr>
              <w:t>Patrón de destino</w:t>
            </w:r>
          </w:p>
        </w:tc>
        <w:tc>
          <w:tcPr>
            <w:tcW w:w="39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0FEBFB9C" w14:textId="77777777" w:rsidR="002425BC" w:rsidRDefault="00000000">
            <w:r>
              <w:rPr>
                <w:b/>
                <w:bCs/>
                <w:color w:val="FFFFFF"/>
                <w:sz w:val="19"/>
                <w:szCs w:val="19"/>
              </w:rPr>
              <w:t>Principal destino de exportación</w:t>
            </w:r>
          </w:p>
        </w:tc>
      </w:tr>
      <w:tr w:rsidR="002425BC" w14:paraId="3D27DDEE" w14:textId="77777777">
        <w:tc>
          <w:tcPr>
            <w:tcW w:w="17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2074018" w14:textId="77777777" w:rsidR="002425BC" w:rsidRDefault="00000000">
            <w:r>
              <w:rPr>
                <w:sz w:val="19"/>
                <w:szCs w:val="19"/>
              </w:rPr>
              <w:t>Cobre</w:t>
            </w:r>
          </w:p>
        </w:tc>
        <w:tc>
          <w:tcPr>
            <w:tcW w:w="37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B32B58D" w14:textId="77777777" w:rsidR="002425BC" w:rsidRDefault="00000000">
            <w:r>
              <w:rPr>
                <w:sz w:val="19"/>
                <w:szCs w:val="19"/>
              </w:rPr>
              <w:t>Mayoritariamente exportado como concentrado</w:t>
            </w:r>
          </w:p>
        </w:tc>
        <w:tc>
          <w:tcPr>
            <w:tcW w:w="39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36BE472" w14:textId="77777777" w:rsidR="002425BC" w:rsidRDefault="00000000">
            <w:r>
              <w:rPr>
                <w:sz w:val="19"/>
                <w:szCs w:val="19"/>
              </w:rPr>
              <w:t>China (37% de las exportaciones de concentrado en 2024)</w:t>
            </w:r>
          </w:p>
        </w:tc>
      </w:tr>
      <w:tr w:rsidR="002425BC" w14:paraId="65A55D20" w14:textId="77777777">
        <w:tc>
          <w:tcPr>
            <w:tcW w:w="17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3D79B83F" w14:textId="77777777" w:rsidR="002425BC" w:rsidRDefault="00000000">
            <w:r>
              <w:rPr>
                <w:sz w:val="19"/>
                <w:szCs w:val="19"/>
              </w:rPr>
              <w:t>Plata (concentrado)</w:t>
            </w:r>
          </w:p>
        </w:tc>
        <w:tc>
          <w:tcPr>
            <w:tcW w:w="37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19E18FD" w14:textId="77777777" w:rsidR="002425BC" w:rsidRDefault="00000000">
            <w:r>
              <w:rPr>
                <w:sz w:val="19"/>
                <w:szCs w:val="19"/>
              </w:rPr>
              <w:t>Exportado para fundición externa</w:t>
            </w:r>
          </w:p>
        </w:tc>
        <w:tc>
          <w:tcPr>
            <w:tcW w:w="39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9315C0E" w14:textId="77777777" w:rsidR="002425BC" w:rsidRDefault="00000000">
            <w:r>
              <w:rPr>
                <w:sz w:val="19"/>
                <w:szCs w:val="19"/>
              </w:rPr>
              <w:t>China</w:t>
            </w:r>
          </w:p>
        </w:tc>
      </w:tr>
      <w:tr w:rsidR="002425BC" w14:paraId="15B2DA83" w14:textId="77777777">
        <w:tc>
          <w:tcPr>
            <w:tcW w:w="17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3F28A61" w14:textId="77777777" w:rsidR="002425BC" w:rsidRDefault="00000000">
            <w:r>
              <w:rPr>
                <w:sz w:val="19"/>
                <w:szCs w:val="19"/>
              </w:rPr>
              <w:t>Plata (refinada)</w:t>
            </w:r>
          </w:p>
        </w:tc>
        <w:tc>
          <w:tcPr>
            <w:tcW w:w="37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AB35CB1" w14:textId="77777777" w:rsidR="002425BC" w:rsidRDefault="00000000">
            <w:r>
              <w:rPr>
                <w:sz w:val="19"/>
                <w:szCs w:val="19"/>
              </w:rPr>
              <w:t>Exportada como metal afinado</w:t>
            </w:r>
          </w:p>
        </w:tc>
        <w:tc>
          <w:tcPr>
            <w:tcW w:w="39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2DF7C7A5" w14:textId="77777777" w:rsidR="002425BC" w:rsidRDefault="00000000">
            <w:r>
              <w:rPr>
                <w:sz w:val="19"/>
                <w:szCs w:val="19"/>
              </w:rPr>
              <w:t>Estados Unidos</w:t>
            </w:r>
          </w:p>
        </w:tc>
      </w:tr>
      <w:tr w:rsidR="002425BC" w14:paraId="522EB405" w14:textId="77777777">
        <w:tc>
          <w:tcPr>
            <w:tcW w:w="17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97597B4" w14:textId="77777777" w:rsidR="002425BC" w:rsidRDefault="00000000">
            <w:r>
              <w:rPr>
                <w:sz w:val="19"/>
                <w:szCs w:val="19"/>
              </w:rPr>
              <w:t>Oro</w:t>
            </w:r>
          </w:p>
        </w:tc>
        <w:tc>
          <w:tcPr>
            <w:tcW w:w="37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F498C22" w14:textId="77777777" w:rsidR="002425BC" w:rsidRDefault="00000000">
            <w:r>
              <w:rPr>
                <w:sz w:val="19"/>
                <w:szCs w:val="19"/>
              </w:rPr>
              <w:t>Mayoritariamente exportado (doré / refinado)</w:t>
            </w:r>
          </w:p>
        </w:tc>
        <w:tc>
          <w:tcPr>
            <w:tcW w:w="39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391F9F3" w14:textId="77777777" w:rsidR="002425BC" w:rsidRDefault="00000000">
            <w:r>
              <w:rPr>
                <w:sz w:val="19"/>
                <w:szCs w:val="19"/>
              </w:rPr>
              <w:t>Estados Unidos, Canadá, Asia</w:t>
            </w:r>
          </w:p>
        </w:tc>
      </w:tr>
      <w:tr w:rsidR="002425BC" w14:paraId="44FB4D19" w14:textId="77777777">
        <w:tc>
          <w:tcPr>
            <w:tcW w:w="17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4BD0E5D" w14:textId="77777777" w:rsidR="002425BC" w:rsidRDefault="00000000">
            <w:r>
              <w:rPr>
                <w:sz w:val="19"/>
                <w:szCs w:val="19"/>
              </w:rPr>
              <w:t>Zinc (concentrado)</w:t>
            </w:r>
          </w:p>
        </w:tc>
        <w:tc>
          <w:tcPr>
            <w:tcW w:w="37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3DCEADD" w14:textId="77777777" w:rsidR="002425BC" w:rsidRDefault="00000000">
            <w:r>
              <w:rPr>
                <w:sz w:val="19"/>
                <w:szCs w:val="19"/>
              </w:rPr>
              <w:t>Mayoritariamente exportado</w:t>
            </w:r>
          </w:p>
        </w:tc>
        <w:tc>
          <w:tcPr>
            <w:tcW w:w="39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D2AFB67" w14:textId="77777777" w:rsidR="002425BC" w:rsidRDefault="00000000">
            <w:r>
              <w:rPr>
                <w:sz w:val="19"/>
                <w:szCs w:val="19"/>
              </w:rPr>
              <w:t>Corea del Sur, España, Bélgica</w:t>
            </w:r>
          </w:p>
        </w:tc>
      </w:tr>
      <w:tr w:rsidR="002425BC" w14:paraId="0E6255EA" w14:textId="77777777">
        <w:tc>
          <w:tcPr>
            <w:tcW w:w="17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7C99823" w14:textId="77777777" w:rsidR="002425BC" w:rsidRDefault="00000000">
            <w:r>
              <w:rPr>
                <w:sz w:val="19"/>
                <w:szCs w:val="19"/>
              </w:rPr>
              <w:t>Plomo</w:t>
            </w:r>
          </w:p>
        </w:tc>
        <w:tc>
          <w:tcPr>
            <w:tcW w:w="37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BDE71AD" w14:textId="77777777" w:rsidR="002425BC" w:rsidRDefault="00000000">
            <w:r>
              <w:rPr>
                <w:sz w:val="19"/>
                <w:szCs w:val="19"/>
              </w:rPr>
              <w:t>Mayoritariamente consumo interno (baterías)</w:t>
            </w:r>
          </w:p>
        </w:tc>
        <w:tc>
          <w:tcPr>
            <w:tcW w:w="39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FBBB02B" w14:textId="77777777" w:rsidR="002425BC" w:rsidRDefault="00000000">
            <w:r>
              <w:rPr>
                <w:sz w:val="19"/>
                <w:szCs w:val="19"/>
              </w:rPr>
              <w:t>Mercado norteamericano regional</w:t>
            </w:r>
          </w:p>
        </w:tc>
      </w:tr>
      <w:tr w:rsidR="002425BC" w14:paraId="42020D08" w14:textId="77777777">
        <w:tc>
          <w:tcPr>
            <w:tcW w:w="17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D86A1E2" w14:textId="77777777" w:rsidR="002425BC" w:rsidRDefault="00000000">
            <w:r>
              <w:rPr>
                <w:sz w:val="19"/>
                <w:szCs w:val="19"/>
              </w:rPr>
              <w:t>Manganeso</w:t>
            </w:r>
          </w:p>
        </w:tc>
        <w:tc>
          <w:tcPr>
            <w:tcW w:w="37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0FD5DED" w14:textId="77777777" w:rsidR="002425BC" w:rsidRDefault="00000000">
            <w:r>
              <w:rPr>
                <w:sz w:val="19"/>
                <w:szCs w:val="19"/>
              </w:rPr>
              <w:t>Mayoritariamente consumo interno (siderurgia)</w:t>
            </w:r>
          </w:p>
        </w:tc>
        <w:tc>
          <w:tcPr>
            <w:tcW w:w="39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3092CA1" w14:textId="77777777" w:rsidR="002425BC" w:rsidRDefault="00000000">
            <w:r>
              <w:rPr>
                <w:sz w:val="19"/>
                <w:szCs w:val="19"/>
              </w:rPr>
              <w:t>Exportación parcial a EE.UU., Asia, Europa, Sudamérica</w:t>
            </w:r>
          </w:p>
        </w:tc>
      </w:tr>
      <w:tr w:rsidR="002425BC" w14:paraId="0181BE7E" w14:textId="77777777">
        <w:tc>
          <w:tcPr>
            <w:tcW w:w="17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3BABF26" w14:textId="77777777" w:rsidR="002425BC" w:rsidRDefault="00000000">
            <w:r>
              <w:rPr>
                <w:sz w:val="19"/>
                <w:szCs w:val="19"/>
              </w:rPr>
              <w:t>Fluorita</w:t>
            </w:r>
          </w:p>
        </w:tc>
        <w:tc>
          <w:tcPr>
            <w:tcW w:w="37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E440D71" w14:textId="77777777" w:rsidR="002425BC" w:rsidRDefault="00000000">
            <w:r>
              <w:rPr>
                <w:sz w:val="19"/>
                <w:szCs w:val="19"/>
              </w:rPr>
              <w:t>Mayoritariamente exportada</w:t>
            </w:r>
          </w:p>
        </w:tc>
        <w:tc>
          <w:tcPr>
            <w:tcW w:w="39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3C46C75" w14:textId="77777777" w:rsidR="002425BC" w:rsidRDefault="00000000">
            <w:r>
              <w:rPr>
                <w:sz w:val="19"/>
                <w:szCs w:val="19"/>
              </w:rPr>
              <w:t>Estados Unidos (≈70% de sus importaciones)</w:t>
            </w:r>
          </w:p>
        </w:tc>
      </w:tr>
      <w:tr w:rsidR="002425BC" w14:paraId="561CB20E" w14:textId="77777777">
        <w:tc>
          <w:tcPr>
            <w:tcW w:w="17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9759028" w14:textId="77777777" w:rsidR="002425BC" w:rsidRDefault="00000000">
            <w:r>
              <w:rPr>
                <w:sz w:val="19"/>
                <w:szCs w:val="19"/>
              </w:rPr>
              <w:t>Barita</w:t>
            </w:r>
          </w:p>
        </w:tc>
        <w:tc>
          <w:tcPr>
            <w:tcW w:w="37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E284B10" w14:textId="77777777" w:rsidR="002425BC" w:rsidRDefault="00000000">
            <w:r>
              <w:rPr>
                <w:sz w:val="19"/>
                <w:szCs w:val="19"/>
              </w:rPr>
              <w:t>Mayoritariamente consumo interno (petróleo)</w:t>
            </w:r>
          </w:p>
        </w:tc>
        <w:tc>
          <w:tcPr>
            <w:tcW w:w="39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AD485C5" w14:textId="77777777" w:rsidR="002425BC" w:rsidRDefault="00000000">
            <w:r>
              <w:rPr>
                <w:sz w:val="19"/>
                <w:szCs w:val="19"/>
              </w:rPr>
              <w:t>Estados Unidos (exportable remanente)</w:t>
            </w:r>
          </w:p>
        </w:tc>
      </w:tr>
      <w:tr w:rsidR="002425BC" w14:paraId="0B8CADBA" w14:textId="77777777">
        <w:tc>
          <w:tcPr>
            <w:tcW w:w="17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5E7949C" w14:textId="77777777" w:rsidR="002425BC" w:rsidRDefault="00000000">
            <w:r>
              <w:rPr>
                <w:sz w:val="19"/>
                <w:szCs w:val="19"/>
              </w:rPr>
              <w:t>Grafito</w:t>
            </w:r>
          </w:p>
        </w:tc>
        <w:tc>
          <w:tcPr>
            <w:tcW w:w="37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03CF020" w14:textId="77777777" w:rsidR="002425BC" w:rsidRDefault="00000000">
            <w:r>
              <w:rPr>
                <w:sz w:val="19"/>
                <w:szCs w:val="19"/>
              </w:rPr>
              <w:t>Casi totalmente exportado</w:t>
            </w:r>
          </w:p>
        </w:tc>
        <w:tc>
          <w:tcPr>
            <w:tcW w:w="39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CD4D217" w14:textId="77777777" w:rsidR="002425BC" w:rsidRDefault="00000000">
            <w:r>
              <w:rPr>
                <w:sz w:val="19"/>
                <w:szCs w:val="19"/>
              </w:rPr>
              <w:t>Estados Unidos (94.8%-98%)</w:t>
            </w:r>
          </w:p>
        </w:tc>
      </w:tr>
      <w:tr w:rsidR="002425BC" w14:paraId="525D85A9" w14:textId="77777777">
        <w:tc>
          <w:tcPr>
            <w:tcW w:w="17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2EF1654E" w14:textId="77777777" w:rsidR="002425BC" w:rsidRDefault="00000000">
            <w:r>
              <w:rPr>
                <w:sz w:val="19"/>
                <w:szCs w:val="19"/>
              </w:rPr>
              <w:lastRenderedPageBreak/>
              <w:t>Sílice</w:t>
            </w:r>
          </w:p>
        </w:tc>
        <w:tc>
          <w:tcPr>
            <w:tcW w:w="37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DC825AB" w14:textId="77777777" w:rsidR="002425BC" w:rsidRDefault="00000000">
            <w:r>
              <w:rPr>
                <w:sz w:val="19"/>
                <w:szCs w:val="19"/>
              </w:rPr>
              <w:t>Mayoritariamente consumo interno</w:t>
            </w:r>
          </w:p>
        </w:tc>
        <w:tc>
          <w:tcPr>
            <w:tcW w:w="39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25A0424" w14:textId="77777777" w:rsidR="002425BC" w:rsidRDefault="00000000">
            <w:r>
              <w:rPr>
                <w:sz w:val="19"/>
                <w:szCs w:val="19"/>
              </w:rPr>
              <w:t>Mercado norteamericano regional (exportable menor)</w:t>
            </w:r>
          </w:p>
        </w:tc>
      </w:tr>
    </w:tbl>
    <w:p w14:paraId="68DD8128" w14:textId="77777777" w:rsidR="002425BC" w:rsidRDefault="00000000">
      <w:pPr>
        <w:pStyle w:val="Ttulo2"/>
      </w:pPr>
      <w:bookmarkStart w:id="85" w:name="_Toc232941887"/>
      <w:r>
        <w:t>15.3 El periodo reciente (2023-2025): reforma legal sin ruptura de la concentración</w:t>
      </w:r>
      <w:bookmarkEnd w:id="85"/>
    </w:p>
    <w:p w14:paraId="14B0C76E" w14:textId="77777777" w:rsidR="002425BC" w:rsidRDefault="00000000">
      <w:pPr>
        <w:spacing w:after="160" w:line="276" w:lineRule="auto"/>
        <w:jc w:val="both"/>
      </w:pPr>
      <w:r>
        <w:t>La reforma a la Ley Minera aprobada en 2023 —que otorgó al Servicio Geológico Mexicano la función exclusiva de exploración del territorio nacional, redujo la vigencia máxima de las concesiones de 50 a 30 años (con una prórroga adicional de hasta 25), eliminó el carácter de actividad preferente de la minería y estableció un nuevo régimen de licitaciones públicas con evaluación de impacto social— constituye el cambio normativo más relevante desde 1992-1994. Sin embargo, hacia el cierre de este informe (mediados de 2026), la evidencia reunida mineral por mineral en los capítulos anteriores muestra un patrón consistente: la reforma no ha desplazado a ninguno de los actores dominantes identificados en este informe de su posición de mercado, porque sus operaciones más productivas cuentan con concesiones otorgadas antes de 2023 y con vigencias que, en varios casos, se extienden hasta la década de 2060. El efecto observable de la reforma ha sido, en cambio, de freno a la expansión futura: la exploración minera cayó 11.5% en 2024, el sistema de concesiones permanece en un "limbo judicial" mientras la Suprema Corte de Justicia de la Nación no resuelve la constitucionalidad de la reforma, y la inversión extranjera directa en el sector retrocedió 56.3% en 2025 pese a que el valor de la producción minero-metalúrgica alcanzó un récord de 312,461 millones de pesos en 2024 (+19.6% interanual), impulsado por precios internacionales históricos —el oro subió 65% en 2025, su mayor avance anual desde 1979, y la plata 168%—. Este patrón de "crecimiento sin renovación" sugiere que los actores dominantes identificados en este informe seguirán siendo, en lo esencial, los mismos en el corto y mediano plazo, aunque el ritmo de entrada de nuevos competidores —históricamente más alto en oro y plata que en el resto de la canasta— podría reducirse de forma duradera si la incertidumbre regulatoria persiste.</w:t>
      </w:r>
    </w:p>
    <w:p w14:paraId="5CDF9004" w14:textId="77777777" w:rsidR="002425BC" w:rsidRDefault="00000000">
      <w:pPr>
        <w:spacing w:before="40" w:after="240"/>
      </w:pPr>
      <w:r>
        <w:rPr>
          <w:i/>
          <w:iCs/>
          <w:color w:val="555555"/>
          <w:sz w:val="17"/>
          <w:szCs w:val="17"/>
        </w:rPr>
        <w:t>Fuente: CAMIMEX, Informes Anuales 2020-2025 y Compendio Estadístico 2024-2025; SGM, Anuario Estadístico de la Minería Mexicana, ediciones 2021, 2023 y 2024; Secretaría de Economía, Perfiles de Mercado (serie 2012-2021); INEGI, EIMM; De la Garza Pedraza et al. (2021), Problemas del Desarrollo / Scielo; Minería en Línea (mayo 2026); Revista IMEF (enero 2026); DataMéxico, perfiles de comercio exterior por producto.</w:t>
      </w:r>
    </w:p>
    <w:p w14:paraId="07A4C71E" w14:textId="77777777" w:rsidR="002425BC" w:rsidRDefault="00000000">
      <w:pPr>
        <w:pStyle w:val="Ttulo1"/>
        <w:pageBreakBefore/>
        <w:pBdr>
          <w:bottom w:val="single" w:sz="8" w:space="4" w:color="1F3B5C"/>
        </w:pBdr>
      </w:pPr>
      <w:bookmarkStart w:id="86" w:name="_Toc232941888"/>
      <w:r>
        <w:lastRenderedPageBreak/>
        <w:t>16. Anexo. Estructura empresarial en cuatro cortes temporales: 1990, 2000, 2010 y 2020</w:t>
      </w:r>
      <w:bookmarkEnd w:id="86"/>
    </w:p>
    <w:p w14:paraId="57777F52" w14:textId="77777777" w:rsidR="002425BC" w:rsidRDefault="00000000">
      <w:pPr>
        <w:spacing w:after="160" w:line="276" w:lineRule="auto"/>
        <w:jc w:val="both"/>
      </w:pPr>
      <w:r>
        <w:t>Este anexo sintetiza, para cada uno de los diez minerales, el tipo de estructura de mercado (monopolio, oligopolio concentrado, oligopolio moderado o mercado fragmentado) y los datos de concentración disponibles en cuatro cortes temporales de referencia: 1990 (inicio del ciclo de privatización), 2000 (primera década post-TLCAN), 2010 (consolidación del ciclo de superprecios de materias primas) y 2020 (panorama previo a la reforma de 2023). Por las limitaciones de fuente señaladas en la nota metodológica del capítulo 1, no todos los minerales cuentan con una cifra numérica exacta para cada corte; en esos casos se indica la estructura cualitativa documentada por la literatura académica o periodística disponible para ese periodo.</w:t>
      </w:r>
    </w:p>
    <w:p w14:paraId="1E5C5A30" w14:textId="77777777" w:rsidR="002425BC" w:rsidRDefault="00000000">
      <w:pPr>
        <w:pStyle w:val="Ttulo2"/>
      </w:pPr>
      <w:bookmarkStart w:id="87" w:name="_Toc232941889"/>
      <w:r>
        <w:t>16.1 Cobre</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5260"/>
      </w:tblGrid>
      <w:tr w:rsidR="002425BC" w14:paraId="08B05273" w14:textId="77777777">
        <w:trPr>
          <w:tblHeader/>
        </w:trPr>
        <w:tc>
          <w:tcPr>
            <w:tcW w:w="1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57FC9E68" w14:textId="77777777" w:rsidR="002425BC" w:rsidRDefault="00000000">
            <w:r>
              <w:rPr>
                <w:b/>
                <w:bCs/>
                <w:color w:val="FFFFFF"/>
                <w:sz w:val="19"/>
                <w:szCs w:val="19"/>
              </w:rPr>
              <w:t>Año</w:t>
            </w:r>
          </w:p>
        </w:tc>
        <w:tc>
          <w:tcPr>
            <w:tcW w:w="29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1155D3C0" w14:textId="77777777" w:rsidR="002425BC" w:rsidRDefault="00000000">
            <w:r>
              <w:rPr>
                <w:b/>
                <w:bCs/>
                <w:color w:val="FFFFFF"/>
                <w:sz w:val="19"/>
                <w:szCs w:val="19"/>
              </w:rPr>
              <w:t>Estructura</w:t>
            </w:r>
          </w:p>
        </w:tc>
        <w:tc>
          <w:tcPr>
            <w:tcW w:w="52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24A929AB" w14:textId="77777777" w:rsidR="002425BC" w:rsidRDefault="00000000">
            <w:r>
              <w:rPr>
                <w:b/>
                <w:bCs/>
                <w:color w:val="FFFFFF"/>
                <w:sz w:val="19"/>
                <w:szCs w:val="19"/>
              </w:rPr>
              <w:t>Detalle</w:t>
            </w:r>
          </w:p>
        </w:tc>
      </w:tr>
      <w:tr w:rsidR="002425BC" w14:paraId="456010A7"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F57CAA2" w14:textId="77777777" w:rsidR="002425BC" w:rsidRDefault="00000000">
            <w:r>
              <w:rPr>
                <w:sz w:val="19"/>
                <w:szCs w:val="19"/>
              </w:rPr>
              <w:t>1990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605A649" w14:textId="77777777" w:rsidR="002425BC" w:rsidRDefault="00000000">
            <w:r>
              <w:rPr>
                <w:sz w:val="19"/>
                <w:szCs w:val="19"/>
              </w:rPr>
              <w:t>Transición monopolio estatal → privado</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1C8F4B1" w14:textId="77777777" w:rsidR="002425BC" w:rsidRDefault="00000000">
            <w:r>
              <w:rPr>
                <w:sz w:val="19"/>
                <w:szCs w:val="19"/>
              </w:rPr>
              <w:t>Privatización de Cananea (1990) a Grupo México por 175 millones de dólares; integración con La Caridad en curso</w:t>
            </w:r>
          </w:p>
        </w:tc>
      </w:tr>
      <w:tr w:rsidR="002425BC" w14:paraId="35674B31"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116BB54E" w14:textId="77777777" w:rsidR="002425BC" w:rsidRDefault="00000000">
            <w:r>
              <w:rPr>
                <w:sz w:val="19"/>
                <w:szCs w:val="19"/>
              </w:rPr>
              <w:t>2000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C17349F" w14:textId="77777777" w:rsidR="002425BC" w:rsidRDefault="00000000">
            <w:r>
              <w:rPr>
                <w:sz w:val="19"/>
                <w:szCs w:val="19"/>
              </w:rPr>
              <w:t>Cuasi-monopolio consolidado</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514A95F2" w14:textId="77777777" w:rsidR="002425BC" w:rsidRDefault="00000000">
            <w:r>
              <w:rPr>
                <w:sz w:val="19"/>
                <w:szCs w:val="19"/>
              </w:rPr>
              <w:t>Grupo México: ≈87.5% de la producción nacional; entre los 3 mayores productores de cobre del mundo</w:t>
            </w:r>
          </w:p>
        </w:tc>
      </w:tr>
      <w:tr w:rsidR="002425BC" w14:paraId="60C9D884"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6BC6E51" w14:textId="77777777" w:rsidR="002425BC" w:rsidRDefault="00000000">
            <w:r>
              <w:rPr>
                <w:sz w:val="19"/>
                <w:szCs w:val="19"/>
              </w:rPr>
              <w:t>2010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5E0F943" w14:textId="77777777" w:rsidR="002425BC" w:rsidRDefault="00000000">
            <w:r>
              <w:rPr>
                <w:sz w:val="19"/>
                <w:szCs w:val="19"/>
              </w:rPr>
              <w:t>Cuasi-monopolio internacionalizado</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2C73F07" w14:textId="77777777" w:rsidR="002425BC" w:rsidRDefault="00000000">
            <w:r>
              <w:rPr>
                <w:sz w:val="19"/>
                <w:szCs w:val="19"/>
              </w:rPr>
              <w:t>Grupo México ya integrado con ASARCO (2004) y Southern Peru Copper Corp.; dominio nacional sostenido</w:t>
            </w:r>
          </w:p>
        </w:tc>
      </w:tr>
      <w:tr w:rsidR="002425BC" w14:paraId="208E6686"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3A842C3A" w14:textId="77777777" w:rsidR="002425BC" w:rsidRDefault="00000000">
            <w:r>
              <w:rPr>
                <w:sz w:val="19"/>
                <w:szCs w:val="19"/>
              </w:rPr>
              <w:t>2020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BA1729A" w14:textId="77777777" w:rsidR="002425BC" w:rsidRDefault="00000000">
            <w:r>
              <w:rPr>
                <w:sz w:val="19"/>
                <w:szCs w:val="19"/>
              </w:rPr>
              <w:t>Cuasi-monopolio estable</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BB66D5C" w14:textId="77777777" w:rsidR="002425BC" w:rsidRDefault="00000000">
            <w:r>
              <w:rPr>
                <w:sz w:val="19"/>
                <w:szCs w:val="19"/>
              </w:rPr>
              <w:t>Grupo México ≈85% (estimación 2018); Minera Frisco y Capstone Copper como actores secundarios</w:t>
            </w:r>
          </w:p>
        </w:tc>
      </w:tr>
    </w:tbl>
    <w:p w14:paraId="11FFDF26" w14:textId="77777777" w:rsidR="002425BC" w:rsidRDefault="00000000">
      <w:pPr>
        <w:pStyle w:val="Ttulo2"/>
      </w:pPr>
      <w:bookmarkStart w:id="88" w:name="_Toc232941890"/>
      <w:r>
        <w:t>16.2 Plata</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5260"/>
      </w:tblGrid>
      <w:tr w:rsidR="002425BC" w14:paraId="75C131A1" w14:textId="77777777">
        <w:trPr>
          <w:tblHeader/>
        </w:trPr>
        <w:tc>
          <w:tcPr>
            <w:tcW w:w="1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20207EB0" w14:textId="77777777" w:rsidR="002425BC" w:rsidRDefault="00000000">
            <w:r>
              <w:rPr>
                <w:b/>
                <w:bCs/>
                <w:color w:val="FFFFFF"/>
                <w:sz w:val="19"/>
                <w:szCs w:val="19"/>
              </w:rPr>
              <w:t>Año</w:t>
            </w:r>
          </w:p>
        </w:tc>
        <w:tc>
          <w:tcPr>
            <w:tcW w:w="29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19A8DD2A" w14:textId="77777777" w:rsidR="002425BC" w:rsidRDefault="00000000">
            <w:r>
              <w:rPr>
                <w:b/>
                <w:bCs/>
                <w:color w:val="FFFFFF"/>
                <w:sz w:val="19"/>
                <w:szCs w:val="19"/>
              </w:rPr>
              <w:t>Estructura</w:t>
            </w:r>
          </w:p>
        </w:tc>
        <w:tc>
          <w:tcPr>
            <w:tcW w:w="52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7E3942B6" w14:textId="77777777" w:rsidR="002425BC" w:rsidRDefault="00000000">
            <w:r>
              <w:rPr>
                <w:b/>
                <w:bCs/>
                <w:color w:val="FFFFFF"/>
                <w:sz w:val="19"/>
                <w:szCs w:val="19"/>
              </w:rPr>
              <w:t>Detalle</w:t>
            </w:r>
          </w:p>
        </w:tc>
      </w:tr>
      <w:tr w:rsidR="002425BC" w14:paraId="45A8A56A"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F99F4E3" w14:textId="77777777" w:rsidR="002425BC" w:rsidRDefault="00000000">
            <w:r>
              <w:rPr>
                <w:sz w:val="19"/>
                <w:szCs w:val="19"/>
              </w:rPr>
              <w:t>1990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205464A2" w14:textId="77777777" w:rsidR="002425BC" w:rsidRDefault="00000000">
            <w:r>
              <w:rPr>
                <w:sz w:val="19"/>
                <w:szCs w:val="19"/>
              </w:rPr>
              <w:t>Oligopolio estatal-privado mixto</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0A56F38" w14:textId="77777777" w:rsidR="002425BC" w:rsidRDefault="00000000">
            <w:r>
              <w:rPr>
                <w:sz w:val="19"/>
                <w:szCs w:val="19"/>
              </w:rPr>
              <w:t>Peñoles integraba plata, oro y metales base en un solo corporativo (pre-escisión)</w:t>
            </w:r>
          </w:p>
        </w:tc>
      </w:tr>
      <w:tr w:rsidR="002425BC" w14:paraId="7462C491"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1DEA6D3" w14:textId="77777777" w:rsidR="002425BC" w:rsidRDefault="00000000">
            <w:r>
              <w:rPr>
                <w:sz w:val="19"/>
                <w:szCs w:val="19"/>
              </w:rPr>
              <w:t>2000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5B2EC42" w14:textId="77777777" w:rsidR="002425BC" w:rsidRDefault="00000000">
            <w:r>
              <w:rPr>
                <w:sz w:val="19"/>
                <w:szCs w:val="19"/>
              </w:rPr>
              <w:t>Oligopolio liderado por Peñoles</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3C1E6057" w14:textId="77777777" w:rsidR="002425BC" w:rsidRDefault="00000000">
            <w:r>
              <w:rPr>
                <w:sz w:val="19"/>
                <w:szCs w:val="19"/>
              </w:rPr>
              <w:t>Peñoles como mayor refinador mundial de plata afinada; sin escisión de Fresnillo aún</w:t>
            </w:r>
          </w:p>
        </w:tc>
      </w:tr>
      <w:tr w:rsidR="002425BC" w14:paraId="0A8BC533"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C1BDC26" w14:textId="77777777" w:rsidR="002425BC" w:rsidRDefault="00000000">
            <w:r>
              <w:rPr>
                <w:sz w:val="19"/>
                <w:szCs w:val="19"/>
              </w:rPr>
              <w:t>2010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23D95FD2" w14:textId="77777777" w:rsidR="002425BC" w:rsidRDefault="00000000">
            <w:r>
              <w:rPr>
                <w:sz w:val="19"/>
                <w:szCs w:val="19"/>
              </w:rPr>
              <w:t>Oligopolio moderado, post-escisión</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53DAFBD" w14:textId="77777777" w:rsidR="002425BC" w:rsidRDefault="00000000">
            <w:r>
              <w:rPr>
                <w:sz w:val="19"/>
                <w:szCs w:val="19"/>
              </w:rPr>
              <w:t>Fresnillo plc cotizando en Londres desde 2008; Peñoles mantiene ≈75-77% de Fresnillo plc</w:t>
            </w:r>
          </w:p>
        </w:tc>
      </w:tr>
      <w:tr w:rsidR="002425BC" w14:paraId="1E38163E"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F18D958" w14:textId="77777777" w:rsidR="002425BC" w:rsidRDefault="00000000">
            <w:r>
              <w:rPr>
                <w:sz w:val="19"/>
                <w:szCs w:val="19"/>
              </w:rPr>
              <w:t>2020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756D810" w14:textId="77777777" w:rsidR="002425BC" w:rsidRDefault="00000000">
            <w:r>
              <w:rPr>
                <w:sz w:val="19"/>
                <w:szCs w:val="19"/>
              </w:rPr>
              <w:t>Oligopolio de 5 grandes</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9ABC884" w14:textId="77777777" w:rsidR="002425BC" w:rsidRDefault="00000000">
            <w:r>
              <w:rPr>
                <w:sz w:val="19"/>
                <w:szCs w:val="19"/>
              </w:rPr>
              <w:t>Fresnillo plc ≈29.4% extracción; Peñoles ≈89% refinación; Newmont, Grupo México, First Majestic</w:t>
            </w:r>
          </w:p>
        </w:tc>
      </w:tr>
    </w:tbl>
    <w:p w14:paraId="68BA1B64" w14:textId="77777777" w:rsidR="002425BC" w:rsidRDefault="00000000">
      <w:pPr>
        <w:pStyle w:val="Ttulo2"/>
      </w:pPr>
      <w:bookmarkStart w:id="89" w:name="_Toc232941891"/>
      <w:r>
        <w:t>16.3 Oro</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5260"/>
      </w:tblGrid>
      <w:tr w:rsidR="002425BC" w14:paraId="4DCF8A4E" w14:textId="77777777">
        <w:trPr>
          <w:tblHeader/>
        </w:trPr>
        <w:tc>
          <w:tcPr>
            <w:tcW w:w="1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46B9C77C" w14:textId="77777777" w:rsidR="002425BC" w:rsidRDefault="00000000">
            <w:r>
              <w:rPr>
                <w:b/>
                <w:bCs/>
                <w:color w:val="FFFFFF"/>
                <w:sz w:val="19"/>
                <w:szCs w:val="19"/>
              </w:rPr>
              <w:t>Año</w:t>
            </w:r>
          </w:p>
        </w:tc>
        <w:tc>
          <w:tcPr>
            <w:tcW w:w="29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6026B90F" w14:textId="77777777" w:rsidR="002425BC" w:rsidRDefault="00000000">
            <w:r>
              <w:rPr>
                <w:b/>
                <w:bCs/>
                <w:color w:val="FFFFFF"/>
                <w:sz w:val="19"/>
                <w:szCs w:val="19"/>
              </w:rPr>
              <w:t>Estructura</w:t>
            </w:r>
          </w:p>
        </w:tc>
        <w:tc>
          <w:tcPr>
            <w:tcW w:w="52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48966C8F" w14:textId="77777777" w:rsidR="002425BC" w:rsidRDefault="00000000">
            <w:r>
              <w:rPr>
                <w:b/>
                <w:bCs/>
                <w:color w:val="FFFFFF"/>
                <w:sz w:val="19"/>
                <w:szCs w:val="19"/>
              </w:rPr>
              <w:t>Detalle</w:t>
            </w:r>
          </w:p>
        </w:tc>
      </w:tr>
      <w:tr w:rsidR="002425BC" w14:paraId="33AE5DB7"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2DF9C2CE" w14:textId="77777777" w:rsidR="002425BC" w:rsidRDefault="00000000">
            <w:r>
              <w:rPr>
                <w:sz w:val="19"/>
                <w:szCs w:val="19"/>
              </w:rPr>
              <w:t>1990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1B324F6" w14:textId="77777777" w:rsidR="002425BC" w:rsidRDefault="00000000">
            <w:r>
              <w:rPr>
                <w:sz w:val="19"/>
                <w:szCs w:val="19"/>
              </w:rPr>
              <w:t>Mercado pequeño, dominado por Peñoles</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09DE030" w14:textId="77777777" w:rsidR="002425BC" w:rsidRDefault="00000000">
            <w:r>
              <w:rPr>
                <w:sz w:val="19"/>
                <w:szCs w:val="19"/>
              </w:rPr>
              <w:t>Producción de oro integrada en Peñoles; escasa presencia extranjera</w:t>
            </w:r>
          </w:p>
        </w:tc>
      </w:tr>
      <w:tr w:rsidR="002425BC" w14:paraId="038B2EE1"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34E0BDF" w14:textId="77777777" w:rsidR="002425BC" w:rsidRDefault="00000000">
            <w:r>
              <w:rPr>
                <w:sz w:val="19"/>
                <w:szCs w:val="19"/>
              </w:rPr>
              <w:t>2000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42A5469" w14:textId="77777777" w:rsidR="002425BC" w:rsidRDefault="00000000">
            <w:r>
              <w:rPr>
                <w:sz w:val="19"/>
                <w:szCs w:val="19"/>
              </w:rPr>
              <w:t>Inicio de entrada junior canadiense</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6F5174A" w14:textId="77777777" w:rsidR="002425BC" w:rsidRDefault="00000000">
            <w:r>
              <w:rPr>
                <w:sz w:val="19"/>
                <w:szCs w:val="19"/>
              </w:rPr>
              <w:t>TLCAN (1994) y reforma de inversión extranjera (1996) abren la puerta a nuevos entrantes</w:t>
            </w:r>
          </w:p>
        </w:tc>
      </w:tr>
      <w:tr w:rsidR="002425BC" w14:paraId="4440AAAB"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D921BAC" w14:textId="77777777" w:rsidR="002425BC" w:rsidRDefault="00000000">
            <w:r>
              <w:rPr>
                <w:sz w:val="19"/>
                <w:szCs w:val="19"/>
              </w:rPr>
              <w:lastRenderedPageBreak/>
              <w:t>2010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93C5639" w14:textId="77777777" w:rsidR="002425BC" w:rsidRDefault="00000000">
            <w:r>
              <w:rPr>
                <w:sz w:val="19"/>
                <w:szCs w:val="19"/>
              </w:rPr>
              <w:t>Oligopolio en expansión</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AC4A026" w14:textId="77777777" w:rsidR="002425BC" w:rsidRDefault="00000000">
            <w:r>
              <w:rPr>
                <w:sz w:val="19"/>
                <w:szCs w:val="19"/>
              </w:rPr>
              <w:t>Goldcorp desarrolla Peñasquito (operativo desde 2010); Fresnillo plc, Torex Gold en expansión</w:t>
            </w:r>
          </w:p>
        </w:tc>
      </w:tr>
      <w:tr w:rsidR="002425BC" w14:paraId="4724E39C"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FE04C4A" w14:textId="77777777" w:rsidR="002425BC" w:rsidRDefault="00000000">
            <w:r>
              <w:rPr>
                <w:sz w:val="19"/>
                <w:szCs w:val="19"/>
              </w:rPr>
              <w:t>2020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5ADBC1D8" w14:textId="77777777" w:rsidR="002425BC" w:rsidRDefault="00000000">
            <w:r>
              <w:rPr>
                <w:sz w:val="19"/>
                <w:szCs w:val="19"/>
              </w:rPr>
              <w:t>Oligopolio de 5 grandes (42-45%)</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3BA86B30" w14:textId="77777777" w:rsidR="002425BC" w:rsidRDefault="00000000">
            <w:r>
              <w:rPr>
                <w:sz w:val="19"/>
                <w:szCs w:val="19"/>
              </w:rPr>
              <w:t>Fresnillo plc, Newmont (post-Goldcorp, 2019), Torex Gold, Agnico Eagle, Alamos Gold</w:t>
            </w:r>
          </w:p>
        </w:tc>
      </w:tr>
    </w:tbl>
    <w:p w14:paraId="6D3CA2F9" w14:textId="77777777" w:rsidR="002425BC" w:rsidRDefault="00000000">
      <w:pPr>
        <w:pStyle w:val="Ttulo2"/>
      </w:pPr>
      <w:bookmarkStart w:id="90" w:name="_Toc232941892"/>
      <w:r>
        <w:t>16.4 Zinc</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5260"/>
      </w:tblGrid>
      <w:tr w:rsidR="002425BC" w14:paraId="6E49BA0F" w14:textId="77777777">
        <w:trPr>
          <w:tblHeader/>
        </w:trPr>
        <w:tc>
          <w:tcPr>
            <w:tcW w:w="1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4A45195A" w14:textId="77777777" w:rsidR="002425BC" w:rsidRDefault="00000000">
            <w:r>
              <w:rPr>
                <w:b/>
                <w:bCs/>
                <w:color w:val="FFFFFF"/>
                <w:sz w:val="19"/>
                <w:szCs w:val="19"/>
              </w:rPr>
              <w:t>Año</w:t>
            </w:r>
          </w:p>
        </w:tc>
        <w:tc>
          <w:tcPr>
            <w:tcW w:w="29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57EA64F1" w14:textId="77777777" w:rsidR="002425BC" w:rsidRDefault="00000000">
            <w:r>
              <w:rPr>
                <w:b/>
                <w:bCs/>
                <w:color w:val="FFFFFF"/>
                <w:sz w:val="19"/>
                <w:szCs w:val="19"/>
              </w:rPr>
              <w:t>Estructura</w:t>
            </w:r>
          </w:p>
        </w:tc>
        <w:tc>
          <w:tcPr>
            <w:tcW w:w="52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562F43D2" w14:textId="77777777" w:rsidR="002425BC" w:rsidRDefault="00000000">
            <w:r>
              <w:rPr>
                <w:b/>
                <w:bCs/>
                <w:color w:val="FFFFFF"/>
                <w:sz w:val="19"/>
                <w:szCs w:val="19"/>
              </w:rPr>
              <w:t>Detalle</w:t>
            </w:r>
          </w:p>
        </w:tc>
      </w:tr>
      <w:tr w:rsidR="002425BC" w14:paraId="7421CB2E"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D73CB6F" w14:textId="77777777" w:rsidR="002425BC" w:rsidRDefault="00000000">
            <w:r>
              <w:rPr>
                <w:sz w:val="19"/>
                <w:szCs w:val="19"/>
              </w:rPr>
              <w:t>1990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E503012" w14:textId="77777777" w:rsidR="002425BC" w:rsidRDefault="00000000">
            <w:r>
              <w:rPr>
                <w:sz w:val="19"/>
                <w:szCs w:val="19"/>
              </w:rPr>
              <w:t>Oligopolio estatal-privado mixto</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5511F11" w14:textId="77777777" w:rsidR="002425BC" w:rsidRDefault="00000000">
            <w:r>
              <w:rPr>
                <w:sz w:val="19"/>
                <w:szCs w:val="19"/>
              </w:rPr>
              <w:t>Producción ligada a yacimientos polimetálicos de Peñoles y Grupo México</w:t>
            </w:r>
          </w:p>
        </w:tc>
      </w:tr>
      <w:tr w:rsidR="002425BC" w14:paraId="285C5B29"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F7C9527" w14:textId="77777777" w:rsidR="002425BC" w:rsidRDefault="00000000">
            <w:r>
              <w:rPr>
                <w:sz w:val="19"/>
                <w:szCs w:val="19"/>
              </w:rPr>
              <w:t>2000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972D34E" w14:textId="77777777" w:rsidR="002425BC" w:rsidRDefault="00000000">
            <w:r>
              <w:rPr>
                <w:sz w:val="19"/>
                <w:szCs w:val="19"/>
              </w:rPr>
              <w:t>Oligopolio liderado por Peñoles</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52144E2" w14:textId="77777777" w:rsidR="002425BC" w:rsidRDefault="00000000">
            <w:r>
              <w:rPr>
                <w:sz w:val="19"/>
                <w:szCs w:val="19"/>
              </w:rPr>
              <w:t>Peñoles como principal refinador (≈69% del zinc afinado, cifra estable desde entonces)</w:t>
            </w:r>
          </w:p>
        </w:tc>
      </w:tr>
      <w:tr w:rsidR="002425BC" w14:paraId="051CD2AC"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A21EB30" w14:textId="77777777" w:rsidR="002425BC" w:rsidRDefault="00000000">
            <w:r>
              <w:rPr>
                <w:sz w:val="19"/>
                <w:szCs w:val="19"/>
              </w:rPr>
              <w:t>2010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2489298" w14:textId="77777777" w:rsidR="002425BC" w:rsidRDefault="00000000">
            <w:r>
              <w:rPr>
                <w:sz w:val="19"/>
                <w:szCs w:val="19"/>
              </w:rPr>
              <w:t>Oligopolio de 4 grandes (≈77%)</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52C71F7" w14:textId="77777777" w:rsidR="002425BC" w:rsidRDefault="00000000">
            <w:r>
              <w:rPr>
                <w:sz w:val="19"/>
                <w:szCs w:val="19"/>
              </w:rPr>
              <w:t>Peñoles, Goldcorp, Grupo México, Fresnillo plc concentran ≈77% de extracción (medición 2017)</w:t>
            </w:r>
          </w:p>
        </w:tc>
      </w:tr>
      <w:tr w:rsidR="002425BC" w14:paraId="6CA85D6E"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3DCAD4F8" w14:textId="77777777" w:rsidR="002425BC" w:rsidRDefault="00000000">
            <w:r>
              <w:rPr>
                <w:sz w:val="19"/>
                <w:szCs w:val="19"/>
              </w:rPr>
              <w:t>2020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95908AF" w14:textId="77777777" w:rsidR="002425BC" w:rsidRDefault="00000000">
            <w:r>
              <w:rPr>
                <w:sz w:val="19"/>
                <w:szCs w:val="19"/>
              </w:rPr>
              <w:t>Oligopolio con liderazgo rotando</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57AEEC34" w14:textId="77777777" w:rsidR="002425BC" w:rsidRDefault="00000000">
            <w:r>
              <w:rPr>
                <w:sz w:val="19"/>
                <w:szCs w:val="19"/>
              </w:rPr>
              <w:t>Peñoles aún líder hasta 2018-19; hacia 2024 Newmont lidera con 33.4%</w:t>
            </w:r>
          </w:p>
        </w:tc>
      </w:tr>
    </w:tbl>
    <w:p w14:paraId="12153D4D" w14:textId="77777777" w:rsidR="002425BC" w:rsidRDefault="00000000">
      <w:pPr>
        <w:pStyle w:val="Ttulo2"/>
      </w:pPr>
      <w:bookmarkStart w:id="91" w:name="_Toc232941893"/>
      <w:r>
        <w:t>16.5 Plomo</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5260"/>
      </w:tblGrid>
      <w:tr w:rsidR="002425BC" w14:paraId="6B65F6B8" w14:textId="77777777">
        <w:trPr>
          <w:tblHeader/>
        </w:trPr>
        <w:tc>
          <w:tcPr>
            <w:tcW w:w="1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53DD5BA8" w14:textId="77777777" w:rsidR="002425BC" w:rsidRDefault="00000000">
            <w:r>
              <w:rPr>
                <w:b/>
                <w:bCs/>
                <w:color w:val="FFFFFF"/>
                <w:sz w:val="19"/>
                <w:szCs w:val="19"/>
              </w:rPr>
              <w:t>Año</w:t>
            </w:r>
          </w:p>
        </w:tc>
        <w:tc>
          <w:tcPr>
            <w:tcW w:w="29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6E122E12" w14:textId="77777777" w:rsidR="002425BC" w:rsidRDefault="00000000">
            <w:r>
              <w:rPr>
                <w:b/>
                <w:bCs/>
                <w:color w:val="FFFFFF"/>
                <w:sz w:val="19"/>
                <w:szCs w:val="19"/>
              </w:rPr>
              <w:t>Estructura</w:t>
            </w:r>
          </w:p>
        </w:tc>
        <w:tc>
          <w:tcPr>
            <w:tcW w:w="52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4A7E53E9" w14:textId="77777777" w:rsidR="002425BC" w:rsidRDefault="00000000">
            <w:r>
              <w:rPr>
                <w:b/>
                <w:bCs/>
                <w:color w:val="FFFFFF"/>
                <w:sz w:val="19"/>
                <w:szCs w:val="19"/>
              </w:rPr>
              <w:t>Detalle</w:t>
            </w:r>
          </w:p>
        </w:tc>
      </w:tr>
      <w:tr w:rsidR="002425BC" w14:paraId="0006A449"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1B6F252" w14:textId="77777777" w:rsidR="002425BC" w:rsidRDefault="00000000">
            <w:r>
              <w:rPr>
                <w:sz w:val="19"/>
                <w:szCs w:val="19"/>
              </w:rPr>
              <w:t>1990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227B08D6" w14:textId="77777777" w:rsidR="002425BC" w:rsidRDefault="00000000">
            <w:r>
              <w:rPr>
                <w:sz w:val="19"/>
                <w:szCs w:val="19"/>
              </w:rPr>
              <w:t>Monopolio de refinación, oligopolio extracción</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50EB36F" w14:textId="77777777" w:rsidR="002425BC" w:rsidRDefault="00000000">
            <w:r>
              <w:rPr>
                <w:sz w:val="19"/>
                <w:szCs w:val="19"/>
              </w:rPr>
              <w:t>Peñoles ya refina prácticamente la totalidad del plomo afinado nacional</w:t>
            </w:r>
          </w:p>
        </w:tc>
      </w:tr>
      <w:tr w:rsidR="002425BC" w14:paraId="226B037F"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19D93AC5" w14:textId="77777777" w:rsidR="002425BC" w:rsidRDefault="00000000">
            <w:r>
              <w:rPr>
                <w:sz w:val="19"/>
                <w:szCs w:val="19"/>
              </w:rPr>
              <w:t>2000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3DB05E86" w14:textId="77777777" w:rsidR="002425BC" w:rsidRDefault="00000000">
            <w:r>
              <w:rPr>
                <w:sz w:val="19"/>
                <w:szCs w:val="19"/>
              </w:rPr>
              <w:t>Sin cambios estructurales relevantes</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322722B3" w14:textId="77777777" w:rsidR="002425BC" w:rsidRDefault="00000000">
            <w:r>
              <w:rPr>
                <w:sz w:val="19"/>
                <w:szCs w:val="19"/>
              </w:rPr>
              <w:t>Peñoles 100% refinación; Grupo México y Frisco en extracción</w:t>
            </w:r>
          </w:p>
        </w:tc>
      </w:tr>
      <w:tr w:rsidR="002425BC" w14:paraId="39F26069"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E71EA23" w14:textId="77777777" w:rsidR="002425BC" w:rsidRDefault="00000000">
            <w:r>
              <w:rPr>
                <w:sz w:val="19"/>
                <w:szCs w:val="19"/>
              </w:rPr>
              <w:t>2010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3303A19" w14:textId="77777777" w:rsidR="002425BC" w:rsidRDefault="00000000">
            <w:r>
              <w:rPr>
                <w:sz w:val="19"/>
                <w:szCs w:val="19"/>
              </w:rPr>
              <w:t>Sin cambios estructurales relevantes</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C31B4D0" w14:textId="77777777" w:rsidR="002425BC" w:rsidRDefault="00000000">
            <w:r>
              <w:rPr>
                <w:sz w:val="19"/>
                <w:szCs w:val="19"/>
              </w:rPr>
              <w:t>Mismo patrón; mina Naica de Peñoles como mayor productora individual</w:t>
            </w:r>
          </w:p>
        </w:tc>
      </w:tr>
      <w:tr w:rsidR="002425BC" w14:paraId="649FD882"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269759C" w14:textId="77777777" w:rsidR="002425BC" w:rsidRDefault="00000000">
            <w:r>
              <w:rPr>
                <w:sz w:val="19"/>
                <w:szCs w:val="19"/>
              </w:rPr>
              <w:t>2020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2D1B6DE" w14:textId="77777777" w:rsidR="002425BC" w:rsidRDefault="00000000">
            <w:r>
              <w:rPr>
                <w:sz w:val="19"/>
                <w:szCs w:val="19"/>
              </w:rPr>
              <w:t>Sin cambios estructurales relevantes</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2612A49" w14:textId="77777777" w:rsidR="002425BC" w:rsidRDefault="00000000">
            <w:r>
              <w:rPr>
                <w:sz w:val="19"/>
                <w:szCs w:val="19"/>
              </w:rPr>
              <w:t>Peñoles 100% refinación; oligopolio estable en extracción</w:t>
            </w:r>
          </w:p>
        </w:tc>
      </w:tr>
    </w:tbl>
    <w:p w14:paraId="6341D096" w14:textId="77777777" w:rsidR="002425BC" w:rsidRDefault="00000000">
      <w:pPr>
        <w:pStyle w:val="Ttulo2"/>
      </w:pPr>
      <w:bookmarkStart w:id="92" w:name="_Toc232941894"/>
      <w:r>
        <w:t>16.6 Manganeso</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5260"/>
      </w:tblGrid>
      <w:tr w:rsidR="002425BC" w14:paraId="113D291E" w14:textId="77777777">
        <w:trPr>
          <w:tblHeader/>
        </w:trPr>
        <w:tc>
          <w:tcPr>
            <w:tcW w:w="1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6EEC07C5" w14:textId="77777777" w:rsidR="002425BC" w:rsidRDefault="00000000">
            <w:r>
              <w:rPr>
                <w:b/>
                <w:bCs/>
                <w:color w:val="FFFFFF"/>
                <w:sz w:val="19"/>
                <w:szCs w:val="19"/>
              </w:rPr>
              <w:t>Año</w:t>
            </w:r>
          </w:p>
        </w:tc>
        <w:tc>
          <w:tcPr>
            <w:tcW w:w="29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6FF30561" w14:textId="77777777" w:rsidR="002425BC" w:rsidRDefault="00000000">
            <w:r>
              <w:rPr>
                <w:b/>
                <w:bCs/>
                <w:color w:val="FFFFFF"/>
                <w:sz w:val="19"/>
                <w:szCs w:val="19"/>
              </w:rPr>
              <w:t>Estructura</w:t>
            </w:r>
          </w:p>
        </w:tc>
        <w:tc>
          <w:tcPr>
            <w:tcW w:w="52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59223AF8" w14:textId="77777777" w:rsidR="002425BC" w:rsidRDefault="00000000">
            <w:r>
              <w:rPr>
                <w:b/>
                <w:bCs/>
                <w:color w:val="FFFFFF"/>
                <w:sz w:val="19"/>
                <w:szCs w:val="19"/>
              </w:rPr>
              <w:t>Detalle</w:t>
            </w:r>
          </w:p>
        </w:tc>
      </w:tr>
      <w:tr w:rsidR="002425BC" w14:paraId="05409E28"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25F2263" w14:textId="77777777" w:rsidR="002425BC" w:rsidRDefault="00000000">
            <w:r>
              <w:rPr>
                <w:sz w:val="19"/>
                <w:szCs w:val="19"/>
              </w:rPr>
              <w:t>1990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6B71C89" w14:textId="77777777" w:rsidR="002425BC" w:rsidRDefault="00000000">
            <w:r>
              <w:rPr>
                <w:sz w:val="19"/>
                <w:szCs w:val="19"/>
              </w:rPr>
              <w:t>Empresa estatal con participación extranjera</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9CE953F" w14:textId="77777777" w:rsidR="002425BC" w:rsidRDefault="00000000">
            <w:r>
              <w:rPr>
                <w:sz w:val="19"/>
                <w:szCs w:val="19"/>
              </w:rPr>
              <w:t>Minera Autlán con participación de capital japonés (Sumitomo Shoji Kaisha) antes de su privatización</w:t>
            </w:r>
          </w:p>
        </w:tc>
      </w:tr>
      <w:tr w:rsidR="002425BC" w14:paraId="065A46F6"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1B001935" w14:textId="77777777" w:rsidR="002425BC" w:rsidRDefault="00000000">
            <w:r>
              <w:rPr>
                <w:sz w:val="19"/>
                <w:szCs w:val="19"/>
              </w:rPr>
              <w:t>2000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DD3D454" w14:textId="77777777" w:rsidR="002425BC" w:rsidRDefault="00000000">
            <w:r>
              <w:rPr>
                <w:sz w:val="19"/>
                <w:szCs w:val="19"/>
              </w:rPr>
              <w:t>Monopolio privado consolidado</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2857EB1" w14:textId="77777777" w:rsidR="002425BC" w:rsidRDefault="00000000">
            <w:r>
              <w:rPr>
                <w:sz w:val="19"/>
                <w:szCs w:val="19"/>
              </w:rPr>
              <w:t>Autlán, privatizada en 1993 (82.7% adquirido por Grupo Ferrominero), única productora nacional</w:t>
            </w:r>
          </w:p>
        </w:tc>
      </w:tr>
      <w:tr w:rsidR="002425BC" w14:paraId="2642B9EA"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0610C2E" w14:textId="77777777" w:rsidR="002425BC" w:rsidRDefault="00000000">
            <w:r>
              <w:rPr>
                <w:sz w:val="19"/>
                <w:szCs w:val="19"/>
              </w:rPr>
              <w:t>2010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61D1F1F" w14:textId="77777777" w:rsidR="002425BC" w:rsidRDefault="00000000">
            <w:r>
              <w:rPr>
                <w:sz w:val="19"/>
                <w:szCs w:val="19"/>
              </w:rPr>
              <w:t>Monopolio privado, integración vertical</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63FBD02" w14:textId="77777777" w:rsidR="002425BC" w:rsidRDefault="00000000">
            <w:r>
              <w:rPr>
                <w:sz w:val="19"/>
                <w:szCs w:val="19"/>
              </w:rPr>
              <w:t>Autlán integrada a ferroaleaciones (Teziutlán, Tamós, Gómez Palacio); reestructura financiera y regreso a bolsa</w:t>
            </w:r>
          </w:p>
        </w:tc>
      </w:tr>
      <w:tr w:rsidR="002425BC" w14:paraId="156FF971"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8E304B8" w14:textId="77777777" w:rsidR="002425BC" w:rsidRDefault="00000000">
            <w:r>
              <w:rPr>
                <w:sz w:val="19"/>
                <w:szCs w:val="19"/>
              </w:rPr>
              <w:t>2020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8390851" w14:textId="77777777" w:rsidR="002425BC" w:rsidRDefault="00000000">
            <w:r>
              <w:rPr>
                <w:sz w:val="19"/>
                <w:szCs w:val="19"/>
              </w:rPr>
              <w:t>Monopolio privado estable</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F0106D5" w14:textId="77777777" w:rsidR="002425BC" w:rsidRDefault="00000000">
            <w:r>
              <w:rPr>
                <w:sz w:val="19"/>
                <w:szCs w:val="19"/>
              </w:rPr>
              <w:t>Autlán sigue siendo el único productor mexicano de manganeso, 1.1% de la producción mundial</w:t>
            </w:r>
          </w:p>
        </w:tc>
      </w:tr>
    </w:tbl>
    <w:p w14:paraId="03C1126F" w14:textId="77777777" w:rsidR="002425BC" w:rsidRDefault="00000000">
      <w:pPr>
        <w:pStyle w:val="Ttulo2"/>
      </w:pPr>
      <w:bookmarkStart w:id="93" w:name="_Toc232941895"/>
      <w:r>
        <w:t>16.7 Fluorita</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5260"/>
      </w:tblGrid>
      <w:tr w:rsidR="002425BC" w14:paraId="7B169FD1" w14:textId="77777777">
        <w:trPr>
          <w:tblHeader/>
        </w:trPr>
        <w:tc>
          <w:tcPr>
            <w:tcW w:w="1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20ECF083" w14:textId="77777777" w:rsidR="002425BC" w:rsidRDefault="00000000">
            <w:r>
              <w:rPr>
                <w:b/>
                <w:bCs/>
                <w:color w:val="FFFFFF"/>
                <w:sz w:val="19"/>
                <w:szCs w:val="19"/>
              </w:rPr>
              <w:lastRenderedPageBreak/>
              <w:t>Año</w:t>
            </w:r>
          </w:p>
        </w:tc>
        <w:tc>
          <w:tcPr>
            <w:tcW w:w="29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3CD3904E" w14:textId="77777777" w:rsidR="002425BC" w:rsidRDefault="00000000">
            <w:r>
              <w:rPr>
                <w:b/>
                <w:bCs/>
                <w:color w:val="FFFFFF"/>
                <w:sz w:val="19"/>
                <w:szCs w:val="19"/>
              </w:rPr>
              <w:t>Estructura</w:t>
            </w:r>
          </w:p>
        </w:tc>
        <w:tc>
          <w:tcPr>
            <w:tcW w:w="52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1B53DB74" w14:textId="77777777" w:rsidR="002425BC" w:rsidRDefault="00000000">
            <w:r>
              <w:rPr>
                <w:b/>
                <w:bCs/>
                <w:color w:val="FFFFFF"/>
                <w:sz w:val="19"/>
                <w:szCs w:val="19"/>
              </w:rPr>
              <w:t>Detalle</w:t>
            </w:r>
          </w:p>
        </w:tc>
      </w:tr>
      <w:tr w:rsidR="002425BC" w14:paraId="212341DC"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2DFE1B59" w14:textId="77777777" w:rsidR="002425BC" w:rsidRDefault="00000000">
            <w:r>
              <w:rPr>
                <w:sz w:val="19"/>
                <w:szCs w:val="19"/>
              </w:rPr>
              <w:t>1990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86BFA14" w14:textId="77777777" w:rsidR="002425BC" w:rsidRDefault="00000000">
            <w:r>
              <w:rPr>
                <w:sz w:val="19"/>
                <w:szCs w:val="19"/>
              </w:rPr>
              <w:t>Monopolio privado (Mexichem, predecesoras)</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1659574" w14:textId="77777777" w:rsidR="002425BC" w:rsidRDefault="00000000">
            <w:r>
              <w:rPr>
                <w:sz w:val="19"/>
                <w:szCs w:val="19"/>
              </w:rPr>
              <w:t>Mina Las Cuevas (SLP) operando desde 1955; concesiones desde 1978</w:t>
            </w:r>
          </w:p>
        </w:tc>
      </w:tr>
      <w:tr w:rsidR="002425BC" w14:paraId="2E0BA90A"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0A249AB" w14:textId="77777777" w:rsidR="002425BC" w:rsidRDefault="00000000">
            <w:r>
              <w:rPr>
                <w:sz w:val="19"/>
                <w:szCs w:val="19"/>
              </w:rPr>
              <w:t>2000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CF12087" w14:textId="77777777" w:rsidR="002425BC" w:rsidRDefault="00000000">
            <w:r>
              <w:rPr>
                <w:sz w:val="19"/>
                <w:szCs w:val="19"/>
              </w:rPr>
              <w:t>Monopolio privado estable</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5979BB1A" w14:textId="77777777" w:rsidR="002425BC" w:rsidRDefault="00000000">
            <w:r>
              <w:rPr>
                <w:sz w:val="19"/>
                <w:szCs w:val="19"/>
              </w:rPr>
              <w:t>Mexichem como operador consolidado; ≈90%+ de la producción nacional desde San Luis Potosí</w:t>
            </w:r>
          </w:p>
        </w:tc>
      </w:tr>
      <w:tr w:rsidR="002425BC" w14:paraId="60A2139D"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060C13F" w14:textId="77777777" w:rsidR="002425BC" w:rsidRDefault="00000000">
            <w:r>
              <w:rPr>
                <w:sz w:val="19"/>
                <w:szCs w:val="19"/>
              </w:rPr>
              <w:t>2010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AE254D7" w14:textId="77777777" w:rsidR="002425BC" w:rsidRDefault="00000000">
            <w:r>
              <w:rPr>
                <w:sz w:val="19"/>
                <w:szCs w:val="19"/>
              </w:rPr>
              <w:t>Monopolio privado estable</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7DDBCD6" w14:textId="77777777" w:rsidR="002425BC" w:rsidRDefault="00000000">
            <w:r>
              <w:rPr>
                <w:sz w:val="19"/>
                <w:szCs w:val="19"/>
              </w:rPr>
              <w:t>México consolidado como segundo productor mundial tras China</w:t>
            </w:r>
          </w:p>
        </w:tc>
      </w:tr>
      <w:tr w:rsidR="002425BC" w14:paraId="10ACD13A"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4D75EE1" w14:textId="77777777" w:rsidR="002425BC" w:rsidRDefault="00000000">
            <w:r>
              <w:rPr>
                <w:sz w:val="19"/>
                <w:szCs w:val="19"/>
              </w:rPr>
              <w:t>2020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155FA659" w14:textId="77777777" w:rsidR="002425BC" w:rsidRDefault="00000000">
            <w:r>
              <w:rPr>
                <w:sz w:val="19"/>
                <w:szCs w:val="19"/>
              </w:rPr>
              <w:t>Monopolio privado, cambio de marca</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117D5830" w14:textId="77777777" w:rsidR="002425BC" w:rsidRDefault="00000000">
            <w:r>
              <w:rPr>
                <w:sz w:val="19"/>
                <w:szCs w:val="19"/>
              </w:rPr>
              <w:t>Transición de Mexichem a Orbia/Koura (2019-20); 91-98% nacional según el año</w:t>
            </w:r>
          </w:p>
        </w:tc>
      </w:tr>
    </w:tbl>
    <w:p w14:paraId="50E362DB" w14:textId="77777777" w:rsidR="002425BC" w:rsidRDefault="00000000">
      <w:pPr>
        <w:pStyle w:val="Ttulo2"/>
      </w:pPr>
      <w:bookmarkStart w:id="94" w:name="_Toc232941896"/>
      <w:r>
        <w:t>16.8 Barita</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5260"/>
      </w:tblGrid>
      <w:tr w:rsidR="002425BC" w14:paraId="325B8C3C" w14:textId="77777777">
        <w:trPr>
          <w:tblHeader/>
        </w:trPr>
        <w:tc>
          <w:tcPr>
            <w:tcW w:w="1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3E543BA8" w14:textId="77777777" w:rsidR="002425BC" w:rsidRDefault="00000000">
            <w:r>
              <w:rPr>
                <w:b/>
                <w:bCs/>
                <w:color w:val="FFFFFF"/>
                <w:sz w:val="19"/>
                <w:szCs w:val="19"/>
              </w:rPr>
              <w:t>Año</w:t>
            </w:r>
          </w:p>
        </w:tc>
        <w:tc>
          <w:tcPr>
            <w:tcW w:w="29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40817C8A" w14:textId="77777777" w:rsidR="002425BC" w:rsidRDefault="00000000">
            <w:r>
              <w:rPr>
                <w:b/>
                <w:bCs/>
                <w:color w:val="FFFFFF"/>
                <w:sz w:val="19"/>
                <w:szCs w:val="19"/>
              </w:rPr>
              <w:t>Estructura</w:t>
            </w:r>
          </w:p>
        </w:tc>
        <w:tc>
          <w:tcPr>
            <w:tcW w:w="52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4293922C" w14:textId="77777777" w:rsidR="002425BC" w:rsidRDefault="00000000">
            <w:r>
              <w:rPr>
                <w:b/>
                <w:bCs/>
                <w:color w:val="FFFFFF"/>
                <w:sz w:val="19"/>
                <w:szCs w:val="19"/>
              </w:rPr>
              <w:t>Detalle</w:t>
            </w:r>
          </w:p>
        </w:tc>
      </w:tr>
      <w:tr w:rsidR="002425BC" w14:paraId="634E88C5"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D1FA300" w14:textId="77777777" w:rsidR="002425BC" w:rsidRDefault="00000000">
            <w:r>
              <w:rPr>
                <w:sz w:val="19"/>
                <w:szCs w:val="19"/>
              </w:rPr>
              <w:t>1990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1BD2299" w14:textId="77777777" w:rsidR="002425BC" w:rsidRDefault="00000000">
            <w:r>
              <w:rPr>
                <w:sz w:val="19"/>
                <w:szCs w:val="19"/>
              </w:rPr>
              <w:t>Oligopolio reducido</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FE51B21" w14:textId="77777777" w:rsidR="002425BC" w:rsidRDefault="00000000">
            <w:r>
              <w:rPr>
                <w:sz w:val="19"/>
                <w:szCs w:val="19"/>
              </w:rPr>
              <w:t>Producción ligada a la demanda de PEMEX; estructura de pocos productores ya presente</w:t>
            </w:r>
          </w:p>
        </w:tc>
      </w:tr>
      <w:tr w:rsidR="002425BC" w14:paraId="3AE141D9"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56E1C7DB" w14:textId="77777777" w:rsidR="002425BC" w:rsidRDefault="00000000">
            <w:r>
              <w:rPr>
                <w:sz w:val="19"/>
                <w:szCs w:val="19"/>
              </w:rPr>
              <w:t>2000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EBCF1AE" w14:textId="77777777" w:rsidR="002425BC" w:rsidRDefault="00000000">
            <w:r>
              <w:rPr>
                <w:sz w:val="19"/>
                <w:szCs w:val="19"/>
              </w:rPr>
              <w:t>Oligopolio de 4 empresas (aprox.)</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19060E0" w14:textId="77777777" w:rsidR="002425BC" w:rsidRDefault="00000000">
            <w:r>
              <w:rPr>
                <w:sz w:val="19"/>
                <w:szCs w:val="19"/>
              </w:rPr>
              <w:t>Nuevo León y Coahuila como principales estados productores</w:t>
            </w:r>
          </w:p>
        </w:tc>
      </w:tr>
      <w:tr w:rsidR="002425BC" w14:paraId="455CAE7A"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EA7FED1" w14:textId="77777777" w:rsidR="002425BC" w:rsidRDefault="00000000">
            <w:r>
              <w:rPr>
                <w:sz w:val="19"/>
                <w:szCs w:val="19"/>
              </w:rPr>
              <w:t>2010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DE781BA" w14:textId="77777777" w:rsidR="002425BC" w:rsidRDefault="00000000">
            <w:r>
              <w:rPr>
                <w:sz w:val="19"/>
                <w:szCs w:val="19"/>
              </w:rPr>
              <w:t>Oligopolio de 4 empresas</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5688253" w14:textId="77777777" w:rsidR="002425BC" w:rsidRDefault="00000000">
            <w:r>
              <w:rPr>
                <w:sz w:val="19"/>
                <w:szCs w:val="19"/>
              </w:rPr>
              <w:t>Secretaría de Economía documenta explícitamente "4 empresas productoras" (2012)</w:t>
            </w:r>
          </w:p>
        </w:tc>
      </w:tr>
      <w:tr w:rsidR="002425BC" w14:paraId="7D8CE5B0"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F9E4FC5" w14:textId="77777777" w:rsidR="002425BC" w:rsidRDefault="00000000">
            <w:r>
              <w:rPr>
                <w:sz w:val="19"/>
                <w:szCs w:val="19"/>
              </w:rPr>
              <w:t>2020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4766FD0D" w14:textId="77777777" w:rsidR="002425BC" w:rsidRDefault="00000000">
            <w:r>
              <w:rPr>
                <w:sz w:val="19"/>
                <w:szCs w:val="19"/>
              </w:rPr>
              <w:t>Oligopolio de 4 empresas, geografía variable</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5506B64F" w14:textId="77777777" w:rsidR="002425BC" w:rsidRDefault="00000000">
            <w:r>
              <w:rPr>
                <w:sz w:val="19"/>
                <w:szCs w:val="19"/>
              </w:rPr>
              <w:t>Nuevo León domina con 89% (2019); Coahuila y Sonora con participación variable</w:t>
            </w:r>
          </w:p>
        </w:tc>
      </w:tr>
    </w:tbl>
    <w:p w14:paraId="21548DD8" w14:textId="77777777" w:rsidR="002425BC" w:rsidRDefault="00000000">
      <w:pPr>
        <w:pStyle w:val="Ttulo2"/>
      </w:pPr>
      <w:bookmarkStart w:id="95" w:name="_Toc232941897"/>
      <w:r>
        <w:t>16.9 Grafito</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5260"/>
      </w:tblGrid>
      <w:tr w:rsidR="002425BC" w14:paraId="52EB9521" w14:textId="77777777">
        <w:trPr>
          <w:tblHeader/>
        </w:trPr>
        <w:tc>
          <w:tcPr>
            <w:tcW w:w="1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43D26984" w14:textId="77777777" w:rsidR="002425BC" w:rsidRDefault="00000000">
            <w:r>
              <w:rPr>
                <w:b/>
                <w:bCs/>
                <w:color w:val="FFFFFF"/>
                <w:sz w:val="19"/>
                <w:szCs w:val="19"/>
              </w:rPr>
              <w:t>Año</w:t>
            </w:r>
          </w:p>
        </w:tc>
        <w:tc>
          <w:tcPr>
            <w:tcW w:w="29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7A26C2D1" w14:textId="77777777" w:rsidR="002425BC" w:rsidRDefault="00000000">
            <w:r>
              <w:rPr>
                <w:b/>
                <w:bCs/>
                <w:color w:val="FFFFFF"/>
                <w:sz w:val="19"/>
                <w:szCs w:val="19"/>
              </w:rPr>
              <w:t>Estructura</w:t>
            </w:r>
          </w:p>
        </w:tc>
        <w:tc>
          <w:tcPr>
            <w:tcW w:w="52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3C0CD246" w14:textId="77777777" w:rsidR="002425BC" w:rsidRDefault="00000000">
            <w:r>
              <w:rPr>
                <w:b/>
                <w:bCs/>
                <w:color w:val="FFFFFF"/>
                <w:sz w:val="19"/>
                <w:szCs w:val="19"/>
              </w:rPr>
              <w:t>Detalle</w:t>
            </w:r>
          </w:p>
        </w:tc>
      </w:tr>
      <w:tr w:rsidR="002425BC" w14:paraId="31ED7141"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2C4FAB1" w14:textId="77777777" w:rsidR="002425BC" w:rsidRDefault="00000000">
            <w:r>
              <w:rPr>
                <w:sz w:val="19"/>
                <w:szCs w:val="19"/>
              </w:rPr>
              <w:t>1990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9D21AC3" w14:textId="77777777" w:rsidR="002425BC" w:rsidRDefault="00000000">
            <w:r>
              <w:rPr>
                <w:sz w:val="19"/>
                <w:szCs w:val="19"/>
              </w:rPr>
              <w:t>Mercado pequeño y fragmentado</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1C59891A" w14:textId="77777777" w:rsidR="002425BC" w:rsidRDefault="00000000">
            <w:r>
              <w:rPr>
                <w:sz w:val="19"/>
                <w:szCs w:val="19"/>
              </w:rPr>
              <w:t>Producción artesanal/pequeña escala en Sonora; Oaxaca con actividad limitada</w:t>
            </w:r>
          </w:p>
        </w:tc>
      </w:tr>
      <w:tr w:rsidR="002425BC" w14:paraId="6583DD70"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D1E9709" w14:textId="77777777" w:rsidR="002425BC" w:rsidRDefault="00000000">
            <w:r>
              <w:rPr>
                <w:sz w:val="19"/>
                <w:szCs w:val="19"/>
              </w:rPr>
              <w:t>2000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19953EF7" w14:textId="77777777" w:rsidR="002425BC" w:rsidRDefault="00000000">
            <w:r>
              <w:rPr>
                <w:sz w:val="19"/>
                <w:szCs w:val="19"/>
              </w:rPr>
              <w:t>Mercado pequeño y fragmentado</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D9D459A" w14:textId="77777777" w:rsidR="002425BC" w:rsidRDefault="00000000">
            <w:r>
              <w:rPr>
                <w:sz w:val="19"/>
                <w:szCs w:val="19"/>
              </w:rPr>
              <w:t>Sin cambios estructurales relevantes; exportación a EE.UU. ya dominante</w:t>
            </w:r>
          </w:p>
        </w:tc>
      </w:tr>
      <w:tr w:rsidR="002425BC" w14:paraId="2CA3D098"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0ED3103F" w14:textId="77777777" w:rsidR="002425BC" w:rsidRDefault="00000000">
            <w:r>
              <w:rPr>
                <w:sz w:val="19"/>
                <w:szCs w:val="19"/>
              </w:rPr>
              <w:t>2010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222EC58" w14:textId="77777777" w:rsidR="002425BC" w:rsidRDefault="00000000">
            <w:r>
              <w:rPr>
                <w:sz w:val="19"/>
                <w:szCs w:val="19"/>
              </w:rPr>
              <w:t>Mercado pequeño y fragmentado</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20D1D34C" w14:textId="77777777" w:rsidR="002425BC" w:rsidRDefault="00000000">
            <w:r>
              <w:rPr>
                <w:sz w:val="19"/>
                <w:szCs w:val="19"/>
              </w:rPr>
              <w:t>Sonora consolidada como único estado productor activo (Oaxaca inactiva)</w:t>
            </w:r>
          </w:p>
        </w:tc>
      </w:tr>
      <w:tr w:rsidR="002425BC" w14:paraId="366D24E0"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38623B9" w14:textId="77777777" w:rsidR="002425BC" w:rsidRDefault="00000000">
            <w:r>
              <w:rPr>
                <w:sz w:val="19"/>
                <w:szCs w:val="19"/>
              </w:rPr>
              <w:t>2020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C153524" w14:textId="77777777" w:rsidR="002425BC" w:rsidRDefault="00000000">
            <w:r>
              <w:rPr>
                <w:sz w:val="19"/>
                <w:szCs w:val="19"/>
              </w:rPr>
              <w:t>Mercado pequeño y fragmentado</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4A4841E" w14:textId="77777777" w:rsidR="002425BC" w:rsidRDefault="00000000">
            <w:r>
              <w:rPr>
                <w:sz w:val="19"/>
                <w:szCs w:val="19"/>
              </w:rPr>
              <w:t>100% Sonora; sin productor dominante; interés creciente por baterías EV</w:t>
            </w:r>
          </w:p>
        </w:tc>
      </w:tr>
    </w:tbl>
    <w:p w14:paraId="142C8523" w14:textId="77777777" w:rsidR="002425BC" w:rsidRDefault="00000000">
      <w:pPr>
        <w:pStyle w:val="Ttulo2"/>
      </w:pPr>
      <w:bookmarkStart w:id="96" w:name="_Toc232941898"/>
      <w:r>
        <w:t>16.10 Sílice</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5260"/>
      </w:tblGrid>
      <w:tr w:rsidR="002425BC" w14:paraId="35D9C1C0" w14:textId="77777777">
        <w:trPr>
          <w:tblHeader/>
        </w:trPr>
        <w:tc>
          <w:tcPr>
            <w:tcW w:w="12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0AFC4870" w14:textId="77777777" w:rsidR="002425BC" w:rsidRDefault="00000000">
            <w:r>
              <w:rPr>
                <w:b/>
                <w:bCs/>
                <w:color w:val="FFFFFF"/>
                <w:sz w:val="19"/>
                <w:szCs w:val="19"/>
              </w:rPr>
              <w:t>Año</w:t>
            </w:r>
          </w:p>
        </w:tc>
        <w:tc>
          <w:tcPr>
            <w:tcW w:w="29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0B73B76C" w14:textId="77777777" w:rsidR="002425BC" w:rsidRDefault="00000000">
            <w:r>
              <w:rPr>
                <w:b/>
                <w:bCs/>
                <w:color w:val="FFFFFF"/>
                <w:sz w:val="19"/>
                <w:szCs w:val="19"/>
              </w:rPr>
              <w:t>Estructura</w:t>
            </w:r>
          </w:p>
        </w:tc>
        <w:tc>
          <w:tcPr>
            <w:tcW w:w="52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20" w:type="dxa"/>
              <w:bottom w:w="80" w:type="dxa"/>
              <w:right w:w="120" w:type="dxa"/>
            </w:tcMar>
            <w:vAlign w:val="center"/>
          </w:tcPr>
          <w:p w14:paraId="71506FB1" w14:textId="77777777" w:rsidR="002425BC" w:rsidRDefault="00000000">
            <w:r>
              <w:rPr>
                <w:b/>
                <w:bCs/>
                <w:color w:val="FFFFFF"/>
                <w:sz w:val="19"/>
                <w:szCs w:val="19"/>
              </w:rPr>
              <w:t>Detalle</w:t>
            </w:r>
          </w:p>
        </w:tc>
      </w:tr>
      <w:tr w:rsidR="002425BC" w14:paraId="17C57831"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7DEAC4AE" w14:textId="77777777" w:rsidR="002425BC" w:rsidRDefault="00000000">
            <w:r>
              <w:rPr>
                <w:sz w:val="19"/>
                <w:szCs w:val="19"/>
              </w:rPr>
              <w:t>1990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32883090" w14:textId="77777777" w:rsidR="002425BC" w:rsidRDefault="00000000">
            <w:r>
              <w:rPr>
                <w:sz w:val="19"/>
                <w:szCs w:val="19"/>
              </w:rPr>
              <w:t>Mercado fragmentado</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2DBBC6C6" w14:textId="77777777" w:rsidR="002425BC" w:rsidRDefault="00000000">
            <w:r>
              <w:rPr>
                <w:sz w:val="19"/>
                <w:szCs w:val="19"/>
              </w:rPr>
              <w:t>Múltiples pequeños productores regionales; sin consolidación documentada</w:t>
            </w:r>
          </w:p>
        </w:tc>
      </w:tr>
      <w:tr w:rsidR="002425BC" w14:paraId="544DB84D"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DA0B69D" w14:textId="77777777" w:rsidR="002425BC" w:rsidRDefault="00000000">
            <w:r>
              <w:rPr>
                <w:sz w:val="19"/>
                <w:szCs w:val="19"/>
              </w:rPr>
              <w:t>2000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698A4B19" w14:textId="77777777" w:rsidR="002425BC" w:rsidRDefault="00000000">
            <w:r>
              <w:rPr>
                <w:sz w:val="19"/>
                <w:szCs w:val="19"/>
              </w:rPr>
              <w:t>Mercado fragmentado</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796FE268" w14:textId="77777777" w:rsidR="002425BC" w:rsidRDefault="00000000">
            <w:r>
              <w:rPr>
                <w:sz w:val="19"/>
                <w:szCs w:val="19"/>
              </w:rPr>
              <w:t>Crecimiento ligado a industria del vidrio; estructura atomizada</w:t>
            </w:r>
          </w:p>
        </w:tc>
      </w:tr>
      <w:tr w:rsidR="002425BC" w14:paraId="396561DF" w14:textId="77777777">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44A43A03" w14:textId="77777777" w:rsidR="002425BC" w:rsidRDefault="00000000">
            <w:r>
              <w:rPr>
                <w:sz w:val="19"/>
                <w:szCs w:val="19"/>
              </w:rPr>
              <w:t>2010</w:t>
            </w:r>
          </w:p>
        </w:tc>
        <w:tc>
          <w:tcPr>
            <w:tcW w:w="2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6B526F56" w14:textId="77777777" w:rsidR="002425BC" w:rsidRDefault="00000000">
            <w:r>
              <w:rPr>
                <w:sz w:val="19"/>
                <w:szCs w:val="19"/>
              </w:rPr>
              <w:t>Mercado fragmentado</w:t>
            </w:r>
          </w:p>
        </w:tc>
        <w:tc>
          <w:tcPr>
            <w:tcW w:w="52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vAlign w:val="center"/>
          </w:tcPr>
          <w:p w14:paraId="548625CF" w14:textId="77777777" w:rsidR="002425BC" w:rsidRDefault="00000000">
            <w:r>
              <w:rPr>
                <w:sz w:val="19"/>
                <w:szCs w:val="19"/>
              </w:rPr>
              <w:t>Mina San Emilio (Jalisco) consolidada como yacimiento de referencia, sin dominar el mercado</w:t>
            </w:r>
          </w:p>
        </w:tc>
      </w:tr>
      <w:tr w:rsidR="002425BC" w14:paraId="5F06F22F" w14:textId="77777777">
        <w:tc>
          <w:tcPr>
            <w:tcW w:w="1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01688287" w14:textId="77777777" w:rsidR="002425BC" w:rsidRDefault="00000000">
            <w:r>
              <w:rPr>
                <w:sz w:val="19"/>
                <w:szCs w:val="19"/>
              </w:rPr>
              <w:lastRenderedPageBreak/>
              <w:t>2020</w:t>
            </w:r>
          </w:p>
        </w:tc>
        <w:tc>
          <w:tcPr>
            <w:tcW w:w="2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216438B5" w14:textId="77777777" w:rsidR="002425BC" w:rsidRDefault="00000000">
            <w:r>
              <w:rPr>
                <w:sz w:val="19"/>
                <w:szCs w:val="19"/>
              </w:rPr>
              <w:t>Mercado fragmentado</w:t>
            </w:r>
          </w:p>
        </w:tc>
        <w:tc>
          <w:tcPr>
            <w:tcW w:w="52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vAlign w:val="center"/>
          </w:tcPr>
          <w:p w14:paraId="1CE02C0F" w14:textId="77777777" w:rsidR="002425BC" w:rsidRDefault="00000000">
            <w:r>
              <w:rPr>
                <w:sz w:val="19"/>
                <w:szCs w:val="19"/>
              </w:rPr>
              <w:t>Decenas de proveedores medianos/pequeños; actores globales con penetración menor en México</w:t>
            </w:r>
          </w:p>
        </w:tc>
      </w:tr>
    </w:tbl>
    <w:p w14:paraId="2885D625" w14:textId="77777777" w:rsidR="002425BC" w:rsidRDefault="00000000">
      <w:pPr>
        <w:spacing w:before="40" w:after="240"/>
      </w:pPr>
      <w:r>
        <w:rPr>
          <w:i/>
          <w:iCs/>
          <w:color w:val="555555"/>
          <w:sz w:val="17"/>
          <w:szCs w:val="17"/>
        </w:rPr>
        <w:t>Fuente: Elaboración propia con base en las fuentes citadas en cada capítulo mineral de este informe (capítulos 5 a 14); literatura académica de Sariego (2009), Delgado Wise y Del Pozo (2001) y De la Garza Pedraza et al. (2021) para los cortes 1990 y 2000; CAMIMEX, SGM y Secretaría de Economía para los cortes 2010 y 2020.</w:t>
      </w:r>
    </w:p>
    <w:p w14:paraId="31751C2A" w14:textId="77777777" w:rsidR="002425BC" w:rsidRDefault="00000000">
      <w:pPr>
        <w:pStyle w:val="Ttulo1"/>
        <w:pageBreakBefore/>
        <w:pBdr>
          <w:bottom w:val="single" w:sz="8" w:space="4" w:color="1F3B5C"/>
        </w:pBdr>
      </w:pPr>
      <w:bookmarkStart w:id="97" w:name="_Toc232941899"/>
      <w:r>
        <w:lastRenderedPageBreak/>
        <w:t>17. Nota final y recomendaciones de consulta</w:t>
      </w:r>
      <w:bookmarkEnd w:id="97"/>
    </w:p>
    <w:p w14:paraId="74C63F1C" w14:textId="77777777" w:rsidR="002425BC" w:rsidRDefault="00000000">
      <w:pPr>
        <w:spacing w:after="160" w:line="276" w:lineRule="auto"/>
        <w:jc w:val="both"/>
      </w:pPr>
      <w:r>
        <w:t>Este informe se basa exclusivamente en fuentes públicas y reconstruye la concentración de mercado a partir de cifras de producción, no de un análisis formal de índices de concentración (HHI o CR4) que requeriría acceso a microdatos por empresa no siempre disponibles en fuentes abiertas para los minerales no metálicos. Para quien desee profundizar o verificar de primera mano los datos aquí presentados, se recomienda consultar directamente las siguientes plataformas, con enlace directo a cada una:</w:t>
      </w:r>
    </w:p>
    <w:p w14:paraId="74701CCA" w14:textId="77777777" w:rsidR="002425BC" w:rsidRDefault="00000000">
      <w:pPr>
        <w:spacing w:after="100"/>
      </w:pPr>
      <w:r>
        <w:rPr>
          <w:sz w:val="20"/>
          <w:szCs w:val="20"/>
        </w:rPr>
        <w:t xml:space="preserve">Sistema de Información Minera (SINEM), Servicio Geológico Mexicano: </w:t>
      </w:r>
      <w:hyperlink r:id="rId7" w:history="1">
        <w:r w:rsidR="002425BC">
          <w:rPr>
            <w:rStyle w:val="Hipervnculo"/>
            <w:sz w:val="20"/>
            <w:szCs w:val="20"/>
          </w:rPr>
          <w:t>https://www.sgm.gob.mx/SINEMGobMx/produccion_minera.jsp</w:t>
        </w:r>
      </w:hyperlink>
    </w:p>
    <w:p w14:paraId="0C0D68E6" w14:textId="77777777" w:rsidR="002425BC" w:rsidRDefault="00000000">
      <w:pPr>
        <w:spacing w:after="100"/>
      </w:pPr>
      <w:r>
        <w:rPr>
          <w:sz w:val="20"/>
          <w:szCs w:val="20"/>
        </w:rPr>
        <w:t xml:space="preserve">Anuario Estadístico de la Minería Mexicana, edición 2024-2025 (SGM): </w:t>
      </w:r>
      <w:hyperlink r:id="rId8" w:history="1">
        <w:r w:rsidR="002425BC">
          <w:rPr>
            <w:rStyle w:val="Hipervnculo"/>
            <w:sz w:val="20"/>
            <w:szCs w:val="20"/>
          </w:rPr>
          <w:t>https://www.sgm.gob.mx/productos/pdf/Anuario_2024_Edicion_2025.pdf</w:t>
        </w:r>
      </w:hyperlink>
    </w:p>
    <w:p w14:paraId="797DE83D" w14:textId="77777777" w:rsidR="002425BC" w:rsidRDefault="00000000">
      <w:pPr>
        <w:spacing w:after="100"/>
      </w:pPr>
      <w:r>
        <w:rPr>
          <w:sz w:val="20"/>
          <w:szCs w:val="20"/>
        </w:rPr>
        <w:t xml:space="preserve">Cámara Minera de México (CAMIMEX) — Boletines y estadísticas: </w:t>
      </w:r>
      <w:hyperlink r:id="rId9" w:history="1">
        <w:r w:rsidR="002425BC">
          <w:rPr>
            <w:rStyle w:val="Hipervnculo"/>
            <w:sz w:val="20"/>
            <w:szCs w:val="20"/>
          </w:rPr>
          <w:t>https://www.camimex.org.mx/index.php/boletin/boletines</w:t>
        </w:r>
      </w:hyperlink>
    </w:p>
    <w:p w14:paraId="6E435E33" w14:textId="77777777" w:rsidR="002425BC" w:rsidRDefault="00000000">
      <w:pPr>
        <w:spacing w:after="100"/>
      </w:pPr>
      <w:r>
        <w:rPr>
          <w:sz w:val="20"/>
          <w:szCs w:val="20"/>
        </w:rPr>
        <w:t xml:space="preserve">Compendio Estadístico de la Industria Minero-Metalúrgica (CAMIMEX): </w:t>
      </w:r>
      <w:hyperlink r:id="rId10" w:history="1">
        <w:r w:rsidR="002425BC">
          <w:rPr>
            <w:rStyle w:val="Hipervnculo"/>
            <w:sz w:val="20"/>
            <w:szCs w:val="20"/>
          </w:rPr>
          <w:t>https://camimex.org.mx/compendio/index.php</w:t>
        </w:r>
      </w:hyperlink>
    </w:p>
    <w:p w14:paraId="2981B60D" w14:textId="77777777" w:rsidR="002425BC" w:rsidRDefault="00000000">
      <w:pPr>
        <w:spacing w:after="100"/>
      </w:pPr>
      <w:r>
        <w:rPr>
          <w:sz w:val="20"/>
          <w:szCs w:val="20"/>
        </w:rPr>
        <w:t xml:space="preserve">Estudio CIDE-CAMIMEX, "Relevancia del sector minero mexicano en el desarrollo económico nacional" (2025): </w:t>
      </w:r>
      <w:hyperlink r:id="rId11" w:history="1">
        <w:r w:rsidR="002425BC">
          <w:rPr>
            <w:rStyle w:val="Hipervnculo"/>
            <w:sz w:val="20"/>
            <w:szCs w:val="20"/>
          </w:rPr>
          <w:t>https://camimex.org.mx/application/files/4817/5831/4901/Estudio_CIDE.pdf</w:t>
        </w:r>
      </w:hyperlink>
    </w:p>
    <w:p w14:paraId="7031DD5F" w14:textId="77777777" w:rsidR="002425BC" w:rsidRDefault="00000000">
      <w:pPr>
        <w:spacing w:after="100"/>
      </w:pPr>
      <w:r>
        <w:rPr>
          <w:sz w:val="20"/>
          <w:szCs w:val="20"/>
        </w:rPr>
        <w:t xml:space="preserve">DataMéxico, perfiles de comercio exterior por producto (Secretaría de Economía): </w:t>
      </w:r>
      <w:hyperlink r:id="rId12" w:history="1">
        <w:r w:rsidR="002425BC">
          <w:rPr>
            <w:rStyle w:val="Hipervnculo"/>
            <w:sz w:val="20"/>
            <w:szCs w:val="20"/>
          </w:rPr>
          <w:t>https://www.economia.gob.mx/datamexico/</w:t>
        </w:r>
      </w:hyperlink>
    </w:p>
    <w:p w14:paraId="44067EBF" w14:textId="77777777" w:rsidR="002425BC" w:rsidRDefault="00000000">
      <w:pPr>
        <w:spacing w:after="100"/>
      </w:pPr>
      <w:r>
        <w:rPr>
          <w:sz w:val="20"/>
          <w:szCs w:val="20"/>
        </w:rPr>
        <w:t xml:space="preserve">Perfiles de Mercado por mineral, Dirección General de Desarrollo Minero (gob.mx): </w:t>
      </w:r>
      <w:hyperlink r:id="rId13" w:history="1">
        <w:r w:rsidR="002425BC">
          <w:rPr>
            <w:rStyle w:val="Hipervnculo"/>
            <w:sz w:val="20"/>
            <w:szCs w:val="20"/>
          </w:rPr>
          <w:t>https://www.gob.mx/se/articulos/conoce-el-programa-de-evaluacion-de-recursos-minerales-del-servicio-geologico-mexicano-sgm</w:t>
        </w:r>
      </w:hyperlink>
    </w:p>
    <w:p w14:paraId="48393B54" w14:textId="77777777" w:rsidR="002425BC" w:rsidRDefault="00000000">
      <w:pPr>
        <w:spacing w:after="100"/>
      </w:pPr>
      <w:r>
        <w:rPr>
          <w:sz w:val="20"/>
          <w:szCs w:val="20"/>
        </w:rPr>
        <w:t xml:space="preserve">Reforma integral a la actividad minera (Secretaría de Economía, resumen oficial de la Ley Minera 2023): </w:t>
      </w:r>
      <w:hyperlink r:id="rId14" w:history="1">
        <w:r w:rsidR="002425BC">
          <w:rPr>
            <w:rStyle w:val="Hipervnculo"/>
            <w:sz w:val="20"/>
            <w:szCs w:val="20"/>
          </w:rPr>
          <w:t>https://www.gob.mx/se/prensa/reforma-integral-a-la-actividad-minera</w:t>
        </w:r>
      </w:hyperlink>
    </w:p>
    <w:p w14:paraId="56A5EC77" w14:textId="77777777" w:rsidR="002425BC" w:rsidRDefault="00000000">
      <w:pPr>
        <w:spacing w:after="100"/>
      </w:pPr>
      <w:r>
        <w:rPr>
          <w:sz w:val="20"/>
          <w:szCs w:val="20"/>
        </w:rPr>
        <w:t xml:space="preserve">Minerales críticos: datos básicos (IGF, 2022) — documento base de los capítulos 2 a 4: </w:t>
      </w:r>
      <w:hyperlink r:id="rId15" w:history="1">
        <w:r w:rsidR="002425BC">
          <w:rPr>
            <w:rStyle w:val="Hipervnculo"/>
            <w:sz w:val="20"/>
            <w:szCs w:val="20"/>
          </w:rPr>
          <w:t>https://www.igfmining.org/wp-content/uploads/2022/11/critical-minerals-primer-es-WEB.pdf</w:t>
        </w:r>
      </w:hyperlink>
    </w:p>
    <w:p w14:paraId="366D8119" w14:textId="77777777" w:rsidR="002425BC" w:rsidRDefault="00000000">
      <w:pPr>
        <w:spacing w:after="100"/>
      </w:pPr>
      <w:r>
        <w:rPr>
          <w:sz w:val="20"/>
          <w:szCs w:val="20"/>
        </w:rPr>
        <w:t xml:space="preserve">Micheli Thirion y Cortés Morales, "Minerales críticos en México: un panorama general" (Perspectivas Energéticas 22, El Colegio de México, 2026) — fuente principal de la sección 2.4: </w:t>
      </w:r>
      <w:hyperlink r:id="rId16" w:history="1">
        <w:r w:rsidR="002425BC">
          <w:rPr>
            <w:rStyle w:val="Hipervnculo"/>
            <w:sz w:val="20"/>
            <w:szCs w:val="20"/>
          </w:rPr>
          <w:t>https://programaenergia.colmex.mx/wp-content/uploads/2026/03/Perspectivas-Energeticas-22_2.pdf</w:t>
        </w:r>
      </w:hyperlink>
    </w:p>
    <w:p w14:paraId="21FE7D31" w14:textId="77777777" w:rsidR="002425BC" w:rsidRDefault="00000000">
      <w:pPr>
        <w:spacing w:after="100"/>
      </w:pPr>
      <w:r>
        <w:rPr>
          <w:sz w:val="20"/>
          <w:szCs w:val="20"/>
        </w:rPr>
        <w:t xml:space="preserve">"La política de concesiones a los grupos mineros de México" (De la Garza Pedraza et al., 2021, Scielo): </w:t>
      </w:r>
      <w:hyperlink r:id="rId17" w:history="1">
        <w:r w:rsidR="002425BC">
          <w:rPr>
            <w:rStyle w:val="Hipervnculo"/>
            <w:sz w:val="20"/>
            <w:szCs w:val="20"/>
          </w:rPr>
          <w:t>https://www.scielo.org.mx/scielo.php?script=sci_arttext&amp;pid=S0301-70362021000300035</w:t>
        </w:r>
      </w:hyperlink>
    </w:p>
    <w:p w14:paraId="3B1583DD" w14:textId="77777777" w:rsidR="002425BC" w:rsidRDefault="00000000">
      <w:pPr>
        <w:spacing w:before="300" w:after="200"/>
      </w:pPr>
      <w:r>
        <w:t>Adicionalmente, conviene dar seguimiento a la cobertura de Minería en Línea, Mining México, BNamericas y la prensa económica especializada (El Economista, El Financiero, Expansión) para movimientos corporativos posteriores a la fecha de cierre de este informe, dado que el litigio constitucional sobre la Ley Minera de 2023 permanecía sin resolver hacia mediados de 2026 y su desenlace puede alterar de forma significativa el panorama descrito en estas páginas.</w:t>
      </w:r>
    </w:p>
    <w:p w14:paraId="43707E91" w14:textId="77777777" w:rsidR="002425BC" w:rsidRDefault="00000000">
      <w:pPr>
        <w:spacing w:before="200"/>
      </w:pPr>
      <w:r>
        <w:rPr>
          <w:i/>
          <w:iCs/>
          <w:color w:val="555555"/>
          <w:sz w:val="19"/>
          <w:szCs w:val="19"/>
        </w:rPr>
        <w:t>Documento elaborado a partir de fuentes públicas disponibles a junio de 2026. Las cifras de participación de mercado citadas corresponden a distintos años según la disponibilidad de cada fuente y deben interpretarse como indicativas de tendencia, no como una serie estadística homogénea. El listado completo de referencias en formato APA se incluye en el capítulo siguiente.</w:t>
      </w:r>
    </w:p>
    <w:p w14:paraId="4DB44CE1" w14:textId="77777777" w:rsidR="002425BC" w:rsidRDefault="00000000">
      <w:pPr>
        <w:pStyle w:val="Ttulo1"/>
        <w:pageBreakBefore/>
        <w:pBdr>
          <w:bottom w:val="single" w:sz="8" w:space="4" w:color="1F3B5C"/>
        </w:pBdr>
      </w:pPr>
      <w:bookmarkStart w:id="98" w:name="_Toc232941900"/>
      <w:r>
        <w:lastRenderedPageBreak/>
        <w:t>18. Referencias</w:t>
      </w:r>
      <w:bookmarkEnd w:id="98"/>
    </w:p>
    <w:p w14:paraId="18F6232A" w14:textId="77777777" w:rsidR="002425BC" w:rsidRDefault="00000000">
      <w:pPr>
        <w:spacing w:after="160" w:line="264" w:lineRule="auto"/>
        <w:ind w:left="432" w:hanging="432"/>
      </w:pPr>
      <w:r>
        <w:rPr>
          <w:sz w:val="20"/>
          <w:szCs w:val="20"/>
        </w:rPr>
        <w:t>Aliphat Rodríguez, R., García González, Ó. A., y Veintimilla Brando, V. (2025). Relevancia del sector minero mexicano en el desarrollo económico nacional. CIDE / Cámara Minera de México. https://camimex.org.mx/application/files/4817/5831/4901/Estudio_CIDE.pdf</w:t>
      </w:r>
    </w:p>
    <w:p w14:paraId="35AFCA6A" w14:textId="77777777" w:rsidR="002425BC" w:rsidRDefault="00000000">
      <w:pPr>
        <w:spacing w:after="160" w:line="264" w:lineRule="auto"/>
        <w:ind w:left="432" w:hanging="432"/>
      </w:pPr>
      <w:r>
        <w:rPr>
          <w:sz w:val="20"/>
          <w:szCs w:val="20"/>
        </w:rPr>
        <w:t>Autlán. (s.f.). Historia. https://www.autlan.com.mx/perfil/historia/</w:t>
      </w:r>
    </w:p>
    <w:p w14:paraId="33F51B47" w14:textId="77777777" w:rsidR="002425BC" w:rsidRDefault="00000000">
      <w:pPr>
        <w:spacing w:after="160" w:line="264" w:lineRule="auto"/>
        <w:ind w:left="432" w:hanging="432"/>
      </w:pPr>
      <w:r>
        <w:rPr>
          <w:sz w:val="20"/>
          <w:szCs w:val="20"/>
        </w:rPr>
        <w:t>Autlán. (s.f.). Unidad Molango. https://www.autlan.com.mx/negocios/autlan-manganeso/unidad-molango/</w:t>
      </w:r>
    </w:p>
    <w:p w14:paraId="5D24334E" w14:textId="77777777" w:rsidR="002425BC" w:rsidRDefault="00000000">
      <w:pPr>
        <w:spacing w:after="160" w:line="264" w:lineRule="auto"/>
        <w:ind w:left="432" w:hanging="432"/>
      </w:pPr>
      <w:r>
        <w:rPr>
          <w:sz w:val="20"/>
          <w:szCs w:val="20"/>
        </w:rPr>
        <w:t>Cámara Minera de México. (2020). Informe Anual 2020. https://camimex.org.mx/application/files/4416/0204/8995/02_info_2020.pdf</w:t>
      </w:r>
    </w:p>
    <w:p w14:paraId="50D1203C" w14:textId="77777777" w:rsidR="002425BC" w:rsidRDefault="00000000">
      <w:pPr>
        <w:spacing w:after="160" w:line="264" w:lineRule="auto"/>
        <w:ind w:left="432" w:hanging="432"/>
      </w:pPr>
      <w:r>
        <w:rPr>
          <w:sz w:val="20"/>
          <w:szCs w:val="20"/>
        </w:rPr>
        <w:t>Cámara Minera de México. (2024). Compendio Estadístico de la Industria Minero-Metalúrgica 2024. https://camimex.org.mx/compendio/index.php</w:t>
      </w:r>
    </w:p>
    <w:p w14:paraId="01CE8307" w14:textId="77777777" w:rsidR="002425BC" w:rsidRDefault="00000000">
      <w:pPr>
        <w:spacing w:after="160" w:line="264" w:lineRule="auto"/>
        <w:ind w:left="432" w:hanging="432"/>
      </w:pPr>
      <w:r>
        <w:rPr>
          <w:sz w:val="20"/>
          <w:szCs w:val="20"/>
        </w:rPr>
        <w:t>Cámara Minera de México. (2025). Las 10 principales minas de plata de México en 2020 [boletín]. https://camimex.org.mx/index.php/boletin/boletines/articulo/15377</w:t>
      </w:r>
    </w:p>
    <w:p w14:paraId="6A85663A" w14:textId="77777777" w:rsidR="002425BC" w:rsidRDefault="00000000">
      <w:pPr>
        <w:spacing w:after="160" w:line="264" w:lineRule="auto"/>
        <w:ind w:left="432" w:hanging="432"/>
      </w:pPr>
      <w:r>
        <w:rPr>
          <w:sz w:val="20"/>
          <w:szCs w:val="20"/>
        </w:rPr>
        <w:t>Cámara Minera de México. (2025). Sonora ya figura en producción de zinc [boletín]. https://camimex.org.mx/index.php/boletin/boletines/articulo/23391</w:t>
      </w:r>
    </w:p>
    <w:p w14:paraId="1AAFB23D" w14:textId="77777777" w:rsidR="002425BC" w:rsidRDefault="00000000">
      <w:pPr>
        <w:spacing w:after="160" w:line="264" w:lineRule="auto"/>
        <w:ind w:left="432" w:hanging="432"/>
      </w:pPr>
      <w:r>
        <w:rPr>
          <w:sz w:val="20"/>
          <w:szCs w:val="20"/>
        </w:rPr>
        <w:t>De la Garza Pedraza, E. M., et al. (2021). La política de concesiones a los grupos mineros de México. Problemas del Desarrollo. https://www.scielo.org.mx/scielo.php?script=sci_arttext&amp;pid=S0301-70362021000300035</w:t>
      </w:r>
    </w:p>
    <w:p w14:paraId="61559F9B" w14:textId="77777777" w:rsidR="002425BC" w:rsidRDefault="00000000">
      <w:pPr>
        <w:spacing w:after="160" w:line="264" w:lineRule="auto"/>
        <w:ind w:left="432" w:hanging="432"/>
      </w:pPr>
      <w:r>
        <w:rPr>
          <w:sz w:val="20"/>
          <w:szCs w:val="20"/>
        </w:rPr>
        <w:t>Delgado Wise, R., y Del Pozo, R. (2001). Los procesos de privatización en México. Plaza y Valdés.</w:t>
      </w:r>
    </w:p>
    <w:p w14:paraId="2CD8E828" w14:textId="77777777" w:rsidR="002425BC" w:rsidRDefault="00000000">
      <w:pPr>
        <w:spacing w:after="160" w:line="264" w:lineRule="auto"/>
        <w:ind w:left="432" w:hanging="432"/>
      </w:pPr>
      <w:r>
        <w:rPr>
          <w:sz w:val="20"/>
          <w:szCs w:val="20"/>
        </w:rPr>
        <w:t>DLA Piper. (2023, abril). México reforma la Ley Minera y otras leyes relacionadas. https://www.dlapiper.com/es-es/insights/publications/2023/04/mexico-is-amending-its-mining-law-and-related-laws</w:t>
      </w:r>
    </w:p>
    <w:p w14:paraId="184F211F" w14:textId="77777777" w:rsidR="002425BC" w:rsidRDefault="00000000">
      <w:pPr>
        <w:spacing w:after="160" w:line="264" w:lineRule="auto"/>
        <w:ind w:left="432" w:hanging="432"/>
      </w:pPr>
      <w:r>
        <w:rPr>
          <w:sz w:val="20"/>
          <w:szCs w:val="20"/>
        </w:rPr>
        <w:t>El Financiero. (2023, 24 de abril). Reforma Minera 'suaviza' cambios propuestos por el presidente. https://www.elfinanciero.com.mx/empresas/2023/04/24/aprueban-ley-minera-y-suavizan-cambios-propuestos-por-amlo/</w:t>
      </w:r>
    </w:p>
    <w:p w14:paraId="2EB66CE4" w14:textId="77777777" w:rsidR="002425BC" w:rsidRDefault="00000000">
      <w:pPr>
        <w:spacing w:after="160" w:line="264" w:lineRule="auto"/>
        <w:ind w:left="432" w:hanging="432"/>
      </w:pPr>
      <w:r>
        <w:rPr>
          <w:sz w:val="20"/>
          <w:szCs w:val="20"/>
        </w:rPr>
        <w:t>European Commission. (2023). Study on the review of the list of critical raw materials. Publications Office of the European Union. https://doi.org/10.2873/876847</w:t>
      </w:r>
    </w:p>
    <w:p w14:paraId="277C3D5F" w14:textId="77777777" w:rsidR="002425BC" w:rsidRDefault="00000000">
      <w:pPr>
        <w:spacing w:after="160" w:line="264" w:lineRule="auto"/>
        <w:ind w:left="432" w:hanging="432"/>
      </w:pPr>
      <w:r>
        <w:rPr>
          <w:sz w:val="20"/>
          <w:szCs w:val="20"/>
        </w:rPr>
        <w:t>Expansión. (2025, 15 de julio). Estas son las 5 mineras que más extraen oro en México: 4 son extranjeras. https://expansion.mx/empresas/2025/07/15/mineras-que-mas-extraen-oro-en-mexico</w:t>
      </w:r>
    </w:p>
    <w:p w14:paraId="644B377B" w14:textId="77777777" w:rsidR="002425BC" w:rsidRDefault="00000000">
      <w:pPr>
        <w:spacing w:after="160" w:line="264" w:lineRule="auto"/>
        <w:ind w:left="432" w:hanging="432"/>
      </w:pPr>
      <w:r>
        <w:rPr>
          <w:sz w:val="20"/>
          <w:szCs w:val="20"/>
        </w:rPr>
        <w:t>Hendriwardani, M., y Ramdoo, I. (2022). Minerales críticos: datos básicos. Foro Intergubernamental sobre Minería, Minerales, Metales y Desarrollo Sostenible (IGF). https://www.igfmining.org/wp-content/uploads/2022/11/critical-minerals-primer-es-WEB.pdf</w:t>
      </w:r>
    </w:p>
    <w:p w14:paraId="349C5EF3" w14:textId="77777777" w:rsidR="002425BC" w:rsidRDefault="00000000">
      <w:pPr>
        <w:spacing w:after="160" w:line="264" w:lineRule="auto"/>
        <w:ind w:left="432" w:hanging="432"/>
      </w:pPr>
      <w:r>
        <w:rPr>
          <w:sz w:val="20"/>
          <w:szCs w:val="20"/>
        </w:rPr>
        <w:t>Heraldo de México. (2026, 20 de junio). Industrias Peñoles, gigante mundial de la plata que no quiere perder brillo. https://heraldodemexico.com.mx/opinion/2026/6/20/industrias-penoles-gigante-mundial-de-la-plata-que-no-quiere-perder-brillo-835762.html</w:t>
      </w:r>
    </w:p>
    <w:p w14:paraId="6DF34E04" w14:textId="77777777" w:rsidR="002425BC" w:rsidRDefault="00000000">
      <w:pPr>
        <w:spacing w:after="160" w:line="264" w:lineRule="auto"/>
        <w:ind w:left="432" w:hanging="432"/>
      </w:pPr>
      <w:r>
        <w:rPr>
          <w:sz w:val="20"/>
          <w:szCs w:val="20"/>
        </w:rPr>
        <w:t>Industrias Peñoles. (s.f.). Nuestra Historia. https://www.penoles.com.mx/nuestro-grupo/acerca-de-penoles/nuestra-historia.html</w:t>
      </w:r>
    </w:p>
    <w:p w14:paraId="2A04E312" w14:textId="77777777" w:rsidR="002425BC" w:rsidRDefault="00000000">
      <w:pPr>
        <w:spacing w:after="160" w:line="264" w:lineRule="auto"/>
        <w:ind w:left="432" w:hanging="432"/>
      </w:pPr>
      <w:r>
        <w:rPr>
          <w:sz w:val="20"/>
          <w:szCs w:val="20"/>
        </w:rPr>
        <w:t>Industrias Peñoles. (s.f.). Unidades Mineras. https://www.penoles.com.mx/nuestras-operaciones/unidades-mineras/</w:t>
      </w:r>
    </w:p>
    <w:p w14:paraId="1887E782" w14:textId="77777777" w:rsidR="002425BC" w:rsidRDefault="00000000">
      <w:pPr>
        <w:spacing w:after="160" w:line="264" w:lineRule="auto"/>
        <w:ind w:left="432" w:hanging="432"/>
      </w:pPr>
      <w:r>
        <w:rPr>
          <w:sz w:val="20"/>
          <w:szCs w:val="20"/>
        </w:rPr>
        <w:lastRenderedPageBreak/>
        <w:t>Infobae. (2023, 29 de abril). Ley Minera: cómo afecta la reforma a Carlos Slim, Germán Larrea y la familia Bailléres. https://www.infobae.com/mexico/2023/04/29/ley-minera-como-afecta-la-reforma-a-carlos-slim-german-larrea-y-la-familia-bailleres/</w:t>
      </w:r>
    </w:p>
    <w:p w14:paraId="30C92205" w14:textId="77777777" w:rsidR="002425BC" w:rsidRDefault="00000000">
      <w:pPr>
        <w:spacing w:after="160" w:line="264" w:lineRule="auto"/>
        <w:ind w:left="432" w:hanging="432"/>
      </w:pPr>
      <w:r>
        <w:rPr>
          <w:sz w:val="20"/>
          <w:szCs w:val="20"/>
        </w:rPr>
        <w:t>Infobae. (2026, 4 de febrero). México y EEUU desarrollan plan de acción sobre minerales críticos. https://www.infobae.com/mexico/2026/02/04/mexico-y-eeuu-desarrollan-plan-de-accion-sobre-minerales-criticos/</w:t>
      </w:r>
    </w:p>
    <w:p w14:paraId="2F2AF1B5" w14:textId="77777777" w:rsidR="002425BC" w:rsidRDefault="00000000">
      <w:pPr>
        <w:spacing w:after="160" w:line="264" w:lineRule="auto"/>
        <w:ind w:left="432" w:hanging="432"/>
      </w:pPr>
      <w:r>
        <w:rPr>
          <w:sz w:val="20"/>
          <w:szCs w:val="20"/>
        </w:rPr>
        <w:t>Instituto Geológico y Minero de España. (1996). Panorama Minero 1994-95: Manganeso. https://web.igme.es/PanoramaMinero/Historico/1994_95/MANGANES.pdf</w:t>
      </w:r>
    </w:p>
    <w:p w14:paraId="1D878911" w14:textId="77777777" w:rsidR="002425BC" w:rsidRDefault="00000000">
      <w:pPr>
        <w:spacing w:after="160" w:line="264" w:lineRule="auto"/>
        <w:ind w:left="432" w:hanging="432"/>
      </w:pPr>
      <w:r>
        <w:rPr>
          <w:sz w:val="20"/>
          <w:szCs w:val="20"/>
        </w:rPr>
        <w:t>Instituto Mexicano para la Competitividad. (2026). Los minerales críticos en la revisión del T-MEC. https://imco.org.mx/los-minerales-criticos-en-la-revision-del-t-mec/</w:t>
      </w:r>
    </w:p>
    <w:p w14:paraId="73A2229F" w14:textId="77777777" w:rsidR="002425BC" w:rsidRDefault="00000000">
      <w:pPr>
        <w:spacing w:after="160" w:line="264" w:lineRule="auto"/>
        <w:ind w:left="432" w:hanging="432"/>
      </w:pPr>
      <w:r>
        <w:rPr>
          <w:sz w:val="20"/>
          <w:szCs w:val="20"/>
        </w:rPr>
        <w:t>Jones Day. (2023, junio). Mining Reform in Mexico: Amendments and Impact. https://www.jonesday.com/es/insights/2023/06/mining-reform-in-mexico-amendments-and-impact</w:t>
      </w:r>
    </w:p>
    <w:p w14:paraId="2E17189C" w14:textId="77777777" w:rsidR="002425BC" w:rsidRDefault="00000000">
      <w:pPr>
        <w:spacing w:after="160" w:line="264" w:lineRule="auto"/>
        <w:ind w:left="432" w:hanging="432"/>
      </w:pPr>
      <w:r>
        <w:rPr>
          <w:sz w:val="20"/>
          <w:szCs w:val="20"/>
        </w:rPr>
        <w:t>Jornada Baja California. (2026, 13 de febrero). Minerales críticos: los 13 que México no tiene y los 9 que sí. https://jornadabc.com.mx/general/mexico/minerales-criticos-los-13-que-mexico-no-tiene-y-los-9-que-si/</w:t>
      </w:r>
    </w:p>
    <w:p w14:paraId="4717F369" w14:textId="77777777" w:rsidR="002425BC" w:rsidRDefault="00000000">
      <w:pPr>
        <w:spacing w:after="160" w:line="264" w:lineRule="auto"/>
        <w:ind w:left="432" w:hanging="432"/>
      </w:pPr>
      <w:r>
        <w:rPr>
          <w:sz w:val="20"/>
          <w:szCs w:val="20"/>
        </w:rPr>
        <w:t>La Jornada. (2026, 16 de febrero). México es clave en 10 minerales críticos para EU. https://www.jornada.com.mx/noticia/2026/02/16/economia/mexico-es-clave-en-10-minerales-criticos-para-eu</w:t>
      </w:r>
    </w:p>
    <w:p w14:paraId="7CE1DBB5" w14:textId="77777777" w:rsidR="002425BC" w:rsidRDefault="00000000">
      <w:pPr>
        <w:spacing w:after="160" w:line="264" w:lineRule="auto"/>
        <w:ind w:left="432" w:hanging="432"/>
      </w:pPr>
      <w:r>
        <w:rPr>
          <w:sz w:val="20"/>
          <w:szCs w:val="20"/>
        </w:rPr>
        <w:t>Mexico Mining Center. (2018). Peñoles y Goldcorp encabezan producción de zinc en México. https://www.mexicominingcenter.com/penoles-y-goldcorp-encabezan-produccion-de-zinc-en-mexico/</w:t>
      </w:r>
    </w:p>
    <w:p w14:paraId="7FB6A36A" w14:textId="77777777" w:rsidR="002425BC" w:rsidRDefault="00000000">
      <w:pPr>
        <w:spacing w:after="160" w:line="264" w:lineRule="auto"/>
        <w:ind w:left="432" w:hanging="432"/>
      </w:pPr>
      <w:r>
        <w:rPr>
          <w:sz w:val="20"/>
          <w:szCs w:val="20"/>
        </w:rPr>
        <w:t>Micheli Thirion, J., y Cortés Morales, J. (2026). Minerales críticos en México: un panorama general. Perspectivas Energéticas, 22, 2-9. Programa de Energía, El Colegio de México. https://programaenergia.colmex.mx/wp-content/uploads/2026/03/Perspectivas-Energeticas-22_2.pdf</w:t>
      </w:r>
    </w:p>
    <w:p w14:paraId="1CA812AB" w14:textId="77777777" w:rsidR="002425BC" w:rsidRDefault="00000000">
      <w:pPr>
        <w:spacing w:after="160" w:line="264" w:lineRule="auto"/>
        <w:ind w:left="432" w:hanging="432"/>
      </w:pPr>
      <w:r>
        <w:rPr>
          <w:sz w:val="20"/>
          <w:szCs w:val="20"/>
        </w:rPr>
        <w:t>Minería en Línea. (2025, 16 de julio). Repunte minero en México: Camimex reporta crecimiento del 1.3 % en 2024. https://mineriaenlinea.com/2025/07/repunte-minero-en-mexico-camimex-reporta-crecimiento-del-1-3-en-2024/</w:t>
      </w:r>
    </w:p>
    <w:p w14:paraId="76E0F904" w14:textId="77777777" w:rsidR="002425BC" w:rsidRDefault="00000000">
      <w:pPr>
        <w:spacing w:after="160" w:line="264" w:lineRule="auto"/>
        <w:ind w:left="432" w:hanging="432"/>
      </w:pPr>
      <w:r>
        <w:rPr>
          <w:sz w:val="20"/>
          <w:szCs w:val="20"/>
        </w:rPr>
        <w:t>Minería en Línea. (2025, 18 de septiembre). Nuevo reglamento minero no alcanzará para reactivar la exploración privada en México. https://mineriaenlinea.com/2025/09/nuevo-reglamento-minero-no-alcanzara-para-reactivar-la-exploracion-privada-en-mexico/</w:t>
      </w:r>
    </w:p>
    <w:p w14:paraId="2FBE18EC" w14:textId="77777777" w:rsidR="002425BC" w:rsidRDefault="00000000">
      <w:pPr>
        <w:spacing w:after="160" w:line="264" w:lineRule="auto"/>
        <w:ind w:left="432" w:hanging="432"/>
      </w:pPr>
      <w:r>
        <w:rPr>
          <w:sz w:val="20"/>
          <w:szCs w:val="20"/>
        </w:rPr>
        <w:t>Minería en Línea. (2026, 12 de mayo). México: el limbo judicial de las concesiones mineras tras la reforma de 2023. https://mineriaenlinea.com/2026/05/mexico-el-limbo-judicial-de-las-concesiones-mineras-tras-la-reforma-de-2023/</w:t>
      </w:r>
    </w:p>
    <w:p w14:paraId="2ACEE2FD" w14:textId="77777777" w:rsidR="002425BC" w:rsidRDefault="00000000">
      <w:pPr>
        <w:spacing w:after="160" w:line="264" w:lineRule="auto"/>
        <w:ind w:left="432" w:hanging="432"/>
      </w:pPr>
      <w:r>
        <w:rPr>
          <w:sz w:val="20"/>
          <w:szCs w:val="20"/>
        </w:rPr>
        <w:t>Minería en Línea. (2026, 13 de mayo). Reforma Minera de México: paralización de concesiones por impugnación ante SCJN. https://mineriaenlinea.com/2026/05/reforma-minera-de-mexico-paralizacion-de-concesiones-por-impugnacion-ante-scjn/</w:t>
      </w:r>
    </w:p>
    <w:p w14:paraId="5DE6C1CD" w14:textId="77777777" w:rsidR="002425BC" w:rsidRDefault="00000000">
      <w:pPr>
        <w:spacing w:after="160" w:line="264" w:lineRule="auto"/>
        <w:ind w:left="432" w:hanging="432"/>
      </w:pPr>
      <w:r>
        <w:rPr>
          <w:sz w:val="20"/>
          <w:szCs w:val="20"/>
        </w:rPr>
        <w:t>Mining México. (2022). El legado del rey de la plata de México: Industrias Peñoles. https://miningmexico.com/el-legado-del-rey-de-la-plata-de-mexico-industrias-penoles/</w:t>
      </w:r>
    </w:p>
    <w:p w14:paraId="78A5B0A8" w14:textId="77777777" w:rsidR="002425BC" w:rsidRDefault="00000000">
      <w:pPr>
        <w:spacing w:after="160" w:line="264" w:lineRule="auto"/>
        <w:ind w:left="432" w:hanging="432"/>
      </w:pPr>
      <w:r>
        <w:rPr>
          <w:sz w:val="20"/>
          <w:szCs w:val="20"/>
        </w:rPr>
        <w:t>Mining México. (2024, julio). Industrias Peñoles estima producción de 270,000 toneladas de zinc en 2024. https://miningmexico.com/industrias-penoles-estima-produccion-de-270000-toneladas-de-zinc-en-2024/</w:t>
      </w:r>
    </w:p>
    <w:p w14:paraId="07771F69" w14:textId="77777777" w:rsidR="002425BC" w:rsidRDefault="00000000">
      <w:pPr>
        <w:spacing w:after="160" w:line="264" w:lineRule="auto"/>
        <w:ind w:left="432" w:hanging="432"/>
      </w:pPr>
      <w:r>
        <w:rPr>
          <w:sz w:val="20"/>
          <w:szCs w:val="20"/>
        </w:rPr>
        <w:lastRenderedPageBreak/>
        <w:t>Mongabay / es.mongabay.com. (2023, 24 de mayo). México: las recientes reformas a la Ley Minera están en riesgo de ser impugnadas por legisladores. https://es.mongabay.com/2023/05/reformas-ley-minera-en-riesgo-de-ser-imputadas-mexico/</w:t>
      </w:r>
    </w:p>
    <w:p w14:paraId="7FFCB4B7" w14:textId="77777777" w:rsidR="002425BC" w:rsidRDefault="00000000">
      <w:pPr>
        <w:spacing w:after="160" w:line="264" w:lineRule="auto"/>
        <w:ind w:left="432" w:hanging="432"/>
      </w:pPr>
      <w:r>
        <w:rPr>
          <w:sz w:val="20"/>
          <w:szCs w:val="20"/>
        </w:rPr>
        <w:t>Outletminero. (2019). Industrias Peñoles lidera producción de zinc en México. https://outletminero.org/industrias-penoles-lidera-produccion-de-zinc-en-mexico/</w:t>
      </w:r>
    </w:p>
    <w:p w14:paraId="1CADCBD1" w14:textId="77777777" w:rsidR="002425BC" w:rsidRDefault="00000000">
      <w:pPr>
        <w:spacing w:after="160" w:line="264" w:lineRule="auto"/>
        <w:ind w:left="432" w:hanging="432"/>
      </w:pPr>
      <w:r>
        <w:rPr>
          <w:sz w:val="20"/>
          <w:szCs w:val="20"/>
        </w:rPr>
        <w:t>Outletminero. (2023). Las 15 principales minas de oro en México. https://outletminero.org/las-15-principales-minas-de-oro-en-mexico/</w:t>
      </w:r>
    </w:p>
    <w:p w14:paraId="5270C3CD" w14:textId="77777777" w:rsidR="002425BC" w:rsidRDefault="00000000">
      <w:pPr>
        <w:spacing w:after="160" w:line="264" w:lineRule="auto"/>
        <w:ind w:left="432" w:hanging="432"/>
      </w:pPr>
      <w:r>
        <w:rPr>
          <w:sz w:val="20"/>
          <w:szCs w:val="20"/>
        </w:rPr>
        <w:t>PODER Latam. (2025). Del cobre al veneno: el crimen ambiental que comenzó con cinco millones de pesos. https://poderlatam.org/2025/08/del-cobre-al-veneno-el-crimen-ambiental-que-comenzo-con-cinco-millones-de-pesos/</w:t>
      </w:r>
    </w:p>
    <w:p w14:paraId="4B147620" w14:textId="77777777" w:rsidR="002425BC" w:rsidRDefault="00000000">
      <w:pPr>
        <w:spacing w:after="160" w:line="264" w:lineRule="auto"/>
        <w:ind w:left="432" w:hanging="432"/>
      </w:pPr>
      <w:r>
        <w:rPr>
          <w:sz w:val="20"/>
          <w:szCs w:val="20"/>
        </w:rPr>
        <w:t>Revista IMEF. (2026, 23 de enero). Minería: sí quiero oro, plata, cobre… y minerales críticos. https://www.revista.imef.org.mx/articulo/mineria-si-quiero-oro-plata-cobre-y-minerales-criticos/</w:t>
      </w:r>
    </w:p>
    <w:p w14:paraId="6B047D9E" w14:textId="77777777" w:rsidR="002425BC" w:rsidRDefault="00000000">
      <w:pPr>
        <w:spacing w:after="160" w:line="264" w:lineRule="auto"/>
        <w:ind w:left="432" w:hanging="432"/>
      </w:pPr>
      <w:r>
        <w:rPr>
          <w:sz w:val="20"/>
          <w:szCs w:val="20"/>
        </w:rPr>
        <w:t>Sariego, J. L. (2009). El Estado y la minería mexicana: política, trabajo y sociedad durante el siglo XX. CIESAS / Fondo de Cultura Económica.</w:t>
      </w:r>
    </w:p>
    <w:p w14:paraId="265407FE" w14:textId="77777777" w:rsidR="002425BC" w:rsidRDefault="00000000">
      <w:pPr>
        <w:spacing w:after="160" w:line="264" w:lineRule="auto"/>
        <w:ind w:left="432" w:hanging="432"/>
      </w:pPr>
      <w:r>
        <w:rPr>
          <w:sz w:val="20"/>
          <w:szCs w:val="20"/>
        </w:rPr>
        <w:t>Secretaría de Economía / DataMéxico. (2025). Espato Flúor, con un Contenido de Fluoruro de Calcio &lt;= 97% en Peso: Intercambio comercial. https://www.economia.gob.mx/datamexico/es/profile/product/fluorspar-containing-calcium-fluoride-97-by-weight</w:t>
      </w:r>
    </w:p>
    <w:p w14:paraId="00C35CD7" w14:textId="77777777" w:rsidR="002425BC" w:rsidRDefault="00000000">
      <w:pPr>
        <w:spacing w:after="160" w:line="264" w:lineRule="auto"/>
        <w:ind w:left="432" w:hanging="432"/>
      </w:pPr>
      <w:r>
        <w:rPr>
          <w:sz w:val="20"/>
          <w:szCs w:val="20"/>
        </w:rPr>
        <w:t>Secretaría de Economía / DataMéxico. (2025). Minerales de Cinc y sus Concentrados: Intercambio comercial. https://www.economia.gob.mx/datamexico/es/profile/product/zinc-ores-and-concentrates-5260800</w:t>
      </w:r>
    </w:p>
    <w:p w14:paraId="61CD551B" w14:textId="77777777" w:rsidR="002425BC" w:rsidRDefault="00000000">
      <w:pPr>
        <w:spacing w:after="160" w:line="264" w:lineRule="auto"/>
        <w:ind w:left="432" w:hanging="432"/>
      </w:pPr>
      <w:r>
        <w:rPr>
          <w:sz w:val="20"/>
          <w:szCs w:val="20"/>
        </w:rPr>
        <w:t>Secretaría de Economía / DataMéxico. (2025). Minerales de Cobre y sus Concentrados: Intercambio comercial. https://www.economia.gob.mx/datamexico/es/profile/product/copper-ores-and-concentrates</w:t>
      </w:r>
    </w:p>
    <w:p w14:paraId="1D46E512" w14:textId="77777777" w:rsidR="002425BC" w:rsidRDefault="00000000">
      <w:pPr>
        <w:spacing w:after="160" w:line="264" w:lineRule="auto"/>
        <w:ind w:left="432" w:hanging="432"/>
      </w:pPr>
      <w:r>
        <w:rPr>
          <w:sz w:val="20"/>
          <w:szCs w:val="20"/>
        </w:rPr>
        <w:t>Secretaría de Economía / DataMéxico. (2025). Minerales de Plata y sus Concentrados: Intercambio comercial. https://www.economia.gob.mx/datamexico/es/profile/product/silver-ores-and-concentrates</w:t>
      </w:r>
    </w:p>
    <w:p w14:paraId="43CEB6EF" w14:textId="77777777" w:rsidR="002425BC" w:rsidRDefault="00000000">
      <w:pPr>
        <w:spacing w:after="160" w:line="264" w:lineRule="auto"/>
        <w:ind w:left="432" w:hanging="432"/>
      </w:pPr>
      <w:r>
        <w:rPr>
          <w:sz w:val="20"/>
          <w:szCs w:val="20"/>
        </w:rPr>
        <w:t>Secretaría de Economía. (2014). Perfil de Mercado de la Barita. https://www.economia.gob.mx/files/comunidad_negocios/industria_comercio/informacionSectorial/minero/pm_barita_2014.pdf</w:t>
      </w:r>
    </w:p>
    <w:p w14:paraId="6C4CCF08" w14:textId="77777777" w:rsidR="002425BC" w:rsidRDefault="00000000">
      <w:pPr>
        <w:spacing w:after="160" w:line="264" w:lineRule="auto"/>
        <w:ind w:left="432" w:hanging="432"/>
      </w:pPr>
      <w:r>
        <w:rPr>
          <w:sz w:val="20"/>
          <w:szCs w:val="20"/>
        </w:rPr>
        <w:t>Secretaría de Economía. (2020). Perfil de Mercado de la Fluorita. https://www.gob.mx/cms/uploads/attachment/file/624810/9Perfil_Fluorita_2020__T_.pdf</w:t>
      </w:r>
    </w:p>
    <w:p w14:paraId="59AF4870" w14:textId="77777777" w:rsidR="002425BC" w:rsidRDefault="00000000">
      <w:pPr>
        <w:spacing w:after="160" w:line="264" w:lineRule="auto"/>
        <w:ind w:left="432" w:hanging="432"/>
      </w:pPr>
      <w:r>
        <w:rPr>
          <w:sz w:val="20"/>
          <w:szCs w:val="20"/>
        </w:rPr>
        <w:t>Secretaría de Economía. (2021). Perfil de Mercado de la Barita. https://www.gob.mx/cms/uploads/attachment/file/692301/1._Perfil_Barita_2021__T_.pdf</w:t>
      </w:r>
    </w:p>
    <w:p w14:paraId="347AC522" w14:textId="77777777" w:rsidR="002425BC" w:rsidRDefault="00000000">
      <w:pPr>
        <w:spacing w:after="160" w:line="264" w:lineRule="auto"/>
        <w:ind w:left="432" w:hanging="432"/>
      </w:pPr>
      <w:r>
        <w:rPr>
          <w:sz w:val="20"/>
          <w:szCs w:val="20"/>
        </w:rPr>
        <w:t>Secretaría de Economía. (2021). Perfil de Mercado del Grafito. https://www.gob.mx/cms/uploads/attachment/file/624814/12Perfil_Grafito_2020__T_.pdf</w:t>
      </w:r>
    </w:p>
    <w:p w14:paraId="64E97806" w14:textId="77777777" w:rsidR="002425BC" w:rsidRDefault="00000000">
      <w:pPr>
        <w:spacing w:after="160" w:line="264" w:lineRule="auto"/>
        <w:ind w:left="432" w:hanging="432"/>
      </w:pPr>
      <w:r>
        <w:rPr>
          <w:sz w:val="20"/>
          <w:szCs w:val="20"/>
        </w:rPr>
        <w:t>Secretaría de Economía. (2021). Perfil de Mercado del Sílice. https://www.gob.mx/cms/uploads/attachment/file/692292/18._Perfil_S_lice_2021__T_.pdf</w:t>
      </w:r>
    </w:p>
    <w:p w14:paraId="6BAE73BD" w14:textId="77777777" w:rsidR="002425BC" w:rsidRDefault="00000000">
      <w:pPr>
        <w:spacing w:after="160" w:line="264" w:lineRule="auto"/>
        <w:ind w:left="432" w:hanging="432"/>
      </w:pPr>
      <w:r>
        <w:rPr>
          <w:sz w:val="20"/>
          <w:szCs w:val="20"/>
        </w:rPr>
        <w:t>Secretaría de Economía. (2024). Reforma integral a la actividad minera. https://www.gob.mx/se/prensa/reforma-integral-a-la-actividad-minera</w:t>
      </w:r>
    </w:p>
    <w:p w14:paraId="1E9B19A4" w14:textId="77777777" w:rsidR="002425BC" w:rsidRDefault="00000000">
      <w:pPr>
        <w:spacing w:after="160" w:line="264" w:lineRule="auto"/>
        <w:ind w:left="432" w:hanging="432"/>
      </w:pPr>
      <w:r>
        <w:rPr>
          <w:sz w:val="20"/>
          <w:szCs w:val="20"/>
        </w:rPr>
        <w:t>Servicio Geológico Mexicano. (2024). Anuario Estadístico de la Minería Mexicana, edición 2024 (datos 2023). https://www.sgm.gob.mx/productos/pdf/Anuario_2023_Edicion_2024.pdf</w:t>
      </w:r>
    </w:p>
    <w:p w14:paraId="3F336558" w14:textId="77777777" w:rsidR="002425BC" w:rsidRDefault="00000000">
      <w:pPr>
        <w:spacing w:after="160" w:line="264" w:lineRule="auto"/>
        <w:ind w:left="432" w:hanging="432"/>
      </w:pPr>
      <w:r>
        <w:rPr>
          <w:sz w:val="20"/>
          <w:szCs w:val="20"/>
        </w:rPr>
        <w:lastRenderedPageBreak/>
        <w:t>Servicio Geológico Mexicano. (2025). Anuario Estadístico de la Minería Mexicana, edición 2025 (datos 2024). https://www.sgm.gob.mx/productos/pdf/Anuario_2024_Edicion_2025.pdf</w:t>
      </w:r>
    </w:p>
    <w:p w14:paraId="31C3C6B9" w14:textId="77777777" w:rsidR="002425BC" w:rsidRDefault="00000000">
      <w:pPr>
        <w:spacing w:after="160" w:line="264" w:lineRule="auto"/>
        <w:ind w:left="432" w:hanging="432"/>
      </w:pPr>
      <w:r>
        <w:rPr>
          <w:sz w:val="20"/>
          <w:szCs w:val="20"/>
        </w:rPr>
        <w:t>Statista. (2024). Silicio: principales países productores 2023. https://es.statista.com/estadisticas/600220/paises-lideres-en-la-produccion-de-silicio-a-nivel-mundial/</w:t>
      </w:r>
    </w:p>
    <w:p w14:paraId="3EAB744F" w14:textId="77777777" w:rsidR="002425BC" w:rsidRDefault="00000000">
      <w:pPr>
        <w:spacing w:after="160" w:line="264" w:lineRule="auto"/>
        <w:ind w:left="432" w:hanging="432"/>
      </w:pPr>
      <w:r>
        <w:rPr>
          <w:sz w:val="20"/>
          <w:szCs w:val="20"/>
        </w:rPr>
        <w:t>The White House. (2025, 20 de marzo). Immediate measures to increase American mineral production [Executive Order]. https://www.whitehouse.gov/</w:t>
      </w:r>
    </w:p>
    <w:p w14:paraId="5299D104" w14:textId="77777777" w:rsidR="002425BC" w:rsidRDefault="00000000">
      <w:pPr>
        <w:spacing w:after="160" w:line="264" w:lineRule="auto"/>
        <w:ind w:left="432" w:hanging="432"/>
      </w:pPr>
      <w:r>
        <w:rPr>
          <w:sz w:val="20"/>
          <w:szCs w:val="20"/>
        </w:rPr>
        <w:t>U.S. Geological Survey. (2025a). Mineral commodity summaries 2025. U.S. Department of the Interior. https://pubs.usgs.gov/periodicals/mcs2025/mcs2025.pdf</w:t>
      </w:r>
    </w:p>
    <w:p w14:paraId="71F469E1" w14:textId="77777777" w:rsidR="002425BC" w:rsidRDefault="00000000">
      <w:pPr>
        <w:spacing w:after="160" w:line="264" w:lineRule="auto"/>
        <w:ind w:left="432" w:hanging="432"/>
      </w:pPr>
      <w:r>
        <w:rPr>
          <w:sz w:val="20"/>
          <w:szCs w:val="20"/>
        </w:rPr>
        <w:t>U.S. Geological Survey. (2025b). Methodology and technical input for the 2025 U.S. List of Critical Minerals—Assessing the potential effects of mineral commodity supply chain disruptions on the U.S. economy (Open-File Report 2025-1047). https://pubs.usgs.gov/of/2025/1047/ofr20251047.pdf</w:t>
      </w:r>
    </w:p>
    <w:p w14:paraId="488EDE5D" w14:textId="77777777" w:rsidR="002425BC" w:rsidRDefault="00000000">
      <w:pPr>
        <w:spacing w:after="160" w:line="264" w:lineRule="auto"/>
        <w:ind w:left="432" w:hanging="432"/>
      </w:pPr>
      <w:r>
        <w:rPr>
          <w:sz w:val="20"/>
          <w:szCs w:val="20"/>
        </w:rPr>
        <w:t>Universidad de Sonora, División de Ciencias Económicas y Administrativas. (2017). La inversión canadiense en el sector minero de Sonora: impactos económicos (1990-2012) [tesis]. https://integracioneconomica.unison.mx/wp-content/uploads/2020/03/</w:t>
      </w:r>
    </w:p>
    <w:p w14:paraId="2BF578EB" w14:textId="77777777" w:rsidR="002425BC" w:rsidRDefault="00000000">
      <w:pPr>
        <w:spacing w:after="160" w:line="264" w:lineRule="auto"/>
        <w:ind w:left="432" w:hanging="432"/>
      </w:pPr>
      <w:r>
        <w:rPr>
          <w:sz w:val="20"/>
          <w:szCs w:val="20"/>
        </w:rPr>
        <w:t>Wikipedia. (2025). Industria minera en México. https://es.wikipedia.org/wiki/Industria_minera_en_M%C3%A9xico</w:t>
      </w:r>
    </w:p>
    <w:p w14:paraId="032C8EC4" w14:textId="77777777" w:rsidR="002425BC" w:rsidRDefault="00000000">
      <w:pPr>
        <w:spacing w:after="160" w:line="264" w:lineRule="auto"/>
        <w:ind w:left="432" w:hanging="432"/>
      </w:pPr>
      <w:r>
        <w:rPr>
          <w:sz w:val="20"/>
          <w:szCs w:val="20"/>
        </w:rPr>
        <w:t>Wikipedia. (2025). Industrias Peñoles. https://es.wikipedia.org/wiki/Industrias_Pe%C3%B1oles</w:t>
      </w:r>
    </w:p>
    <w:p w14:paraId="5F6D9BF1" w14:textId="77777777" w:rsidR="002425BC" w:rsidRDefault="00000000">
      <w:pPr>
        <w:spacing w:before="300"/>
      </w:pPr>
      <w:r>
        <w:rPr>
          <w:b/>
          <w:bCs/>
          <w:sz w:val="20"/>
          <w:szCs w:val="20"/>
        </w:rPr>
        <w:t xml:space="preserve">Nota sobre el formato de citación: </w:t>
      </w:r>
      <w:r>
        <w:rPr>
          <w:sz w:val="20"/>
          <w:szCs w:val="20"/>
        </w:rPr>
        <w:t>las referencias se presentan en formato APA 7ª edición. Las fuentes sin fecha de publicación identificable se marcan como (s.f.). Para los documentos institucionales sin autoría personal (informes de cámaras empresariales, dependencias de gobierno), se utiliza el nombre de la institución como autor, conforme a las normas APA para autoría corporativa.</w:t>
      </w:r>
    </w:p>
    <w:sectPr w:rsidR="002425BC">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95A6D" w14:textId="77777777" w:rsidR="00CB3170" w:rsidRDefault="00CB3170">
      <w:r>
        <w:separator/>
      </w:r>
    </w:p>
  </w:endnote>
  <w:endnote w:type="continuationSeparator" w:id="0">
    <w:p w14:paraId="7BB56C1B" w14:textId="77777777" w:rsidR="00CB3170" w:rsidRDefault="00CB3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8A7C" w14:textId="77777777" w:rsidR="000226DE" w:rsidRDefault="000226D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C096" w14:textId="77777777" w:rsidR="002425BC" w:rsidRDefault="00000000">
    <w:pPr>
      <w:jc w:val="center"/>
    </w:pPr>
    <w:r>
      <w:rPr>
        <w:color w:val="8A99AC"/>
        <w:sz w:val="18"/>
        <w:szCs w:val="18"/>
      </w:rPr>
      <w:t xml:space="preserve">Página </w:t>
    </w:r>
    <w:r>
      <w:rPr>
        <w:color w:val="8A99AC"/>
        <w:sz w:val="18"/>
        <w:szCs w:val="18"/>
      </w:rPr>
      <w:fldChar w:fldCharType="begin"/>
    </w:r>
    <w:r>
      <w:rPr>
        <w:color w:val="8A99AC"/>
        <w:sz w:val="18"/>
        <w:szCs w:val="18"/>
      </w:rPr>
      <w:instrText>PAGE</w:instrText>
    </w:r>
    <w:r>
      <w:rPr>
        <w:color w:val="8A99AC"/>
        <w:sz w:val="18"/>
        <w:szCs w:val="18"/>
      </w:rPr>
      <w:fldChar w:fldCharType="separate"/>
    </w:r>
    <w:r w:rsidR="00B46CCE">
      <w:rPr>
        <w:noProof/>
        <w:color w:val="8A99AC"/>
        <w:sz w:val="18"/>
        <w:szCs w:val="18"/>
      </w:rPr>
      <w:t>1</w:t>
    </w:r>
    <w:r>
      <w:rPr>
        <w:color w:val="8A99AC"/>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FB862" w14:textId="77777777" w:rsidR="000226DE" w:rsidRDefault="000226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4DBBC" w14:textId="77777777" w:rsidR="00CB3170" w:rsidRDefault="00CB3170">
      <w:r>
        <w:separator/>
      </w:r>
    </w:p>
  </w:footnote>
  <w:footnote w:type="continuationSeparator" w:id="0">
    <w:p w14:paraId="5220DD6A" w14:textId="77777777" w:rsidR="00CB3170" w:rsidRDefault="00CB31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01EAE" w14:textId="77777777" w:rsidR="000226DE" w:rsidRDefault="000226D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1BD7F" w14:textId="3B2C6E68" w:rsidR="002425BC" w:rsidRDefault="00000000">
    <w:pPr>
      <w:jc w:val="right"/>
    </w:pPr>
    <w:r>
      <w:rPr>
        <w:color w:val="8A99AC"/>
        <w:sz w:val="16"/>
        <w:szCs w:val="16"/>
      </w:rPr>
      <w:t>Mercados mineros en México · 1993–2025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B446" w14:textId="77777777" w:rsidR="000226DE" w:rsidRDefault="000226D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83B53"/>
    <w:multiLevelType w:val="hybridMultilevel"/>
    <w:tmpl w:val="2BC453E8"/>
    <w:lvl w:ilvl="0" w:tplc="779E59B6">
      <w:start w:val="1"/>
      <w:numFmt w:val="bullet"/>
      <w:lvlText w:val="•"/>
      <w:lvlJc w:val="left"/>
      <w:pPr>
        <w:ind w:left="540" w:hanging="270"/>
      </w:pPr>
    </w:lvl>
    <w:lvl w:ilvl="1" w:tplc="271A88B2">
      <w:numFmt w:val="decimal"/>
      <w:lvlText w:val=""/>
      <w:lvlJc w:val="left"/>
    </w:lvl>
    <w:lvl w:ilvl="2" w:tplc="B4E09C82">
      <w:numFmt w:val="decimal"/>
      <w:lvlText w:val=""/>
      <w:lvlJc w:val="left"/>
    </w:lvl>
    <w:lvl w:ilvl="3" w:tplc="CE9CD56E">
      <w:numFmt w:val="decimal"/>
      <w:lvlText w:val=""/>
      <w:lvlJc w:val="left"/>
    </w:lvl>
    <w:lvl w:ilvl="4" w:tplc="5C0CD13E">
      <w:numFmt w:val="decimal"/>
      <w:lvlText w:val=""/>
      <w:lvlJc w:val="left"/>
    </w:lvl>
    <w:lvl w:ilvl="5" w:tplc="E208D070">
      <w:numFmt w:val="decimal"/>
      <w:lvlText w:val=""/>
      <w:lvlJc w:val="left"/>
    </w:lvl>
    <w:lvl w:ilvl="6" w:tplc="0E94ABA4">
      <w:numFmt w:val="decimal"/>
      <w:lvlText w:val=""/>
      <w:lvlJc w:val="left"/>
    </w:lvl>
    <w:lvl w:ilvl="7" w:tplc="3FF62CCC">
      <w:numFmt w:val="decimal"/>
      <w:lvlText w:val=""/>
      <w:lvlJc w:val="left"/>
    </w:lvl>
    <w:lvl w:ilvl="8" w:tplc="1660AF60">
      <w:numFmt w:val="decimal"/>
      <w:lvlText w:val=""/>
      <w:lvlJc w:val="left"/>
    </w:lvl>
  </w:abstractNum>
  <w:abstractNum w:abstractNumId="1" w15:restartNumberingAfterBreak="0">
    <w:nsid w:val="66F50AF1"/>
    <w:multiLevelType w:val="hybridMultilevel"/>
    <w:tmpl w:val="BF0CE6B6"/>
    <w:lvl w:ilvl="0" w:tplc="9A4E38B8">
      <w:start w:val="1"/>
      <w:numFmt w:val="bullet"/>
      <w:lvlText w:val="●"/>
      <w:lvlJc w:val="left"/>
      <w:pPr>
        <w:ind w:left="720" w:hanging="360"/>
      </w:pPr>
    </w:lvl>
    <w:lvl w:ilvl="1" w:tplc="3738B79E">
      <w:start w:val="1"/>
      <w:numFmt w:val="bullet"/>
      <w:lvlText w:val="○"/>
      <w:lvlJc w:val="left"/>
      <w:pPr>
        <w:ind w:left="1440" w:hanging="360"/>
      </w:pPr>
    </w:lvl>
    <w:lvl w:ilvl="2" w:tplc="B7363156">
      <w:start w:val="1"/>
      <w:numFmt w:val="bullet"/>
      <w:lvlText w:val="■"/>
      <w:lvlJc w:val="left"/>
      <w:pPr>
        <w:ind w:left="2160" w:hanging="360"/>
      </w:pPr>
    </w:lvl>
    <w:lvl w:ilvl="3" w:tplc="0972DEC0">
      <w:start w:val="1"/>
      <w:numFmt w:val="bullet"/>
      <w:lvlText w:val="●"/>
      <w:lvlJc w:val="left"/>
      <w:pPr>
        <w:ind w:left="2880" w:hanging="360"/>
      </w:pPr>
    </w:lvl>
    <w:lvl w:ilvl="4" w:tplc="1B224526">
      <w:start w:val="1"/>
      <w:numFmt w:val="bullet"/>
      <w:lvlText w:val="○"/>
      <w:lvlJc w:val="left"/>
      <w:pPr>
        <w:ind w:left="3600" w:hanging="360"/>
      </w:pPr>
    </w:lvl>
    <w:lvl w:ilvl="5" w:tplc="31F2975E">
      <w:start w:val="1"/>
      <w:numFmt w:val="bullet"/>
      <w:lvlText w:val="■"/>
      <w:lvlJc w:val="left"/>
      <w:pPr>
        <w:ind w:left="4320" w:hanging="360"/>
      </w:pPr>
    </w:lvl>
    <w:lvl w:ilvl="6" w:tplc="959892D4">
      <w:start w:val="1"/>
      <w:numFmt w:val="bullet"/>
      <w:lvlText w:val="●"/>
      <w:lvlJc w:val="left"/>
      <w:pPr>
        <w:ind w:left="5040" w:hanging="360"/>
      </w:pPr>
    </w:lvl>
    <w:lvl w:ilvl="7" w:tplc="4ADA252E">
      <w:start w:val="1"/>
      <w:numFmt w:val="bullet"/>
      <w:lvlText w:val="●"/>
      <w:lvlJc w:val="left"/>
      <w:pPr>
        <w:ind w:left="5760" w:hanging="360"/>
      </w:pPr>
    </w:lvl>
    <w:lvl w:ilvl="8" w:tplc="C95083A6">
      <w:start w:val="1"/>
      <w:numFmt w:val="bullet"/>
      <w:lvlText w:val="●"/>
      <w:lvlJc w:val="left"/>
      <w:pPr>
        <w:ind w:left="6480" w:hanging="360"/>
      </w:pPr>
    </w:lvl>
  </w:abstractNum>
  <w:num w:numId="1" w16cid:durableId="1137332911">
    <w:abstractNumId w:val="1"/>
    <w:lvlOverride w:ilvl="0">
      <w:startOverride w:val="1"/>
    </w:lvlOverride>
  </w:num>
  <w:num w:numId="2" w16cid:durableId="2143839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5BC"/>
    <w:rsid w:val="000226DE"/>
    <w:rsid w:val="001929D0"/>
    <w:rsid w:val="002425BC"/>
    <w:rsid w:val="003A77FE"/>
    <w:rsid w:val="00806EC4"/>
    <w:rsid w:val="00B46CCE"/>
    <w:rsid w:val="00CB31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E4E08"/>
  <w15:docId w15:val="{4CF331E9-52DA-4750-B738-9AAA26CF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outlineLvl w:val="0"/>
    </w:pPr>
    <w:rPr>
      <w:b/>
      <w:bCs/>
      <w:color w:val="1F3B5C"/>
      <w:sz w:val="32"/>
      <w:szCs w:val="32"/>
    </w:rPr>
  </w:style>
  <w:style w:type="paragraph" w:styleId="Ttulo2">
    <w:name w:val="heading 2"/>
    <w:uiPriority w:val="9"/>
    <w:unhideWhenUsed/>
    <w:qFormat/>
    <w:pPr>
      <w:spacing w:before="260" w:after="140"/>
      <w:outlineLvl w:val="1"/>
    </w:pPr>
    <w:rPr>
      <w:b/>
      <w:bCs/>
      <w:color w:val="2E5C8A"/>
      <w:sz w:val="26"/>
      <w:szCs w:val="26"/>
    </w:rPr>
  </w:style>
  <w:style w:type="paragraph" w:styleId="Ttulo3">
    <w:name w:val="heading 3"/>
    <w:uiPriority w:val="9"/>
    <w:unhideWhenUsed/>
    <w:qFormat/>
    <w:pPr>
      <w:spacing w:before="200" w:after="100"/>
      <w:outlineLvl w:val="2"/>
    </w:pPr>
    <w:rPr>
      <w:b/>
      <w:bCs/>
      <w:color w:val="44546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46CCE"/>
    <w:pPr>
      <w:spacing w:after="100"/>
    </w:pPr>
  </w:style>
  <w:style w:type="paragraph" w:styleId="TDC2">
    <w:name w:val="toc 2"/>
    <w:basedOn w:val="Normal"/>
    <w:next w:val="Normal"/>
    <w:autoRedefine/>
    <w:uiPriority w:val="39"/>
    <w:unhideWhenUsed/>
    <w:rsid w:val="00B46CCE"/>
    <w:pPr>
      <w:spacing w:after="100"/>
      <w:ind w:left="220"/>
    </w:pPr>
  </w:style>
  <w:style w:type="paragraph" w:styleId="TDC3">
    <w:name w:val="toc 3"/>
    <w:basedOn w:val="Normal"/>
    <w:next w:val="Normal"/>
    <w:autoRedefine/>
    <w:uiPriority w:val="39"/>
    <w:unhideWhenUsed/>
    <w:rsid w:val="00B46CCE"/>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DC4">
    <w:name w:val="toc 4"/>
    <w:basedOn w:val="Normal"/>
    <w:next w:val="Normal"/>
    <w:autoRedefine/>
    <w:uiPriority w:val="39"/>
    <w:unhideWhenUsed/>
    <w:rsid w:val="00B46CC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B46CC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B46CC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B46CC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B46CC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B46CC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B46CCE"/>
    <w:rPr>
      <w:color w:val="605E5C"/>
      <w:shd w:val="clear" w:color="auto" w:fill="E1DFDD"/>
    </w:rPr>
  </w:style>
  <w:style w:type="paragraph" w:styleId="Encabezado">
    <w:name w:val="header"/>
    <w:basedOn w:val="Normal"/>
    <w:link w:val="EncabezadoCar"/>
    <w:uiPriority w:val="99"/>
    <w:unhideWhenUsed/>
    <w:rsid w:val="000226DE"/>
    <w:pPr>
      <w:tabs>
        <w:tab w:val="center" w:pos="4419"/>
        <w:tab w:val="right" w:pos="8838"/>
      </w:tabs>
    </w:pPr>
  </w:style>
  <w:style w:type="character" w:customStyle="1" w:styleId="EncabezadoCar">
    <w:name w:val="Encabezado Car"/>
    <w:basedOn w:val="Fuentedeprrafopredeter"/>
    <w:link w:val="Encabezado"/>
    <w:uiPriority w:val="99"/>
    <w:rsid w:val="000226DE"/>
  </w:style>
  <w:style w:type="paragraph" w:styleId="Piedepgina">
    <w:name w:val="footer"/>
    <w:basedOn w:val="Normal"/>
    <w:link w:val="PiedepginaCar"/>
    <w:uiPriority w:val="99"/>
    <w:unhideWhenUsed/>
    <w:rsid w:val="000226DE"/>
    <w:pPr>
      <w:tabs>
        <w:tab w:val="center" w:pos="4419"/>
        <w:tab w:val="right" w:pos="8838"/>
      </w:tabs>
    </w:pPr>
  </w:style>
  <w:style w:type="character" w:customStyle="1" w:styleId="PiedepginaCar">
    <w:name w:val="Pie de página Car"/>
    <w:basedOn w:val="Fuentedeprrafopredeter"/>
    <w:link w:val="Piedepgina"/>
    <w:uiPriority w:val="99"/>
    <w:rsid w:val="00022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gm.gob.mx/productos/pdf/Anuario_2024_Edicion_2025.pdf" TargetMode="External"/><Relationship Id="rId13" Type="http://schemas.openxmlformats.org/officeDocument/2006/relationships/hyperlink" Target="https://www.gob.mx/se/articulos/conoce-el-programa-de-evaluacion-de-recursos-minerales-del-servicio-geologico-mexicano-sg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www.sgm.gob.mx/SINEMGobMx/produccion_minera.jsp" TargetMode="External"/><Relationship Id="rId12" Type="http://schemas.openxmlformats.org/officeDocument/2006/relationships/hyperlink" Target="https://www.economia.gob.mx/datamexico/" TargetMode="External"/><Relationship Id="rId17" Type="http://schemas.openxmlformats.org/officeDocument/2006/relationships/hyperlink" Target="https://www.scielo.org.mx/scielo.php?script=sci_arttext&amp;pid=S0301-7036202100030003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rogramaenergia.colmex.mx/wp-content/uploads/2026/03/Perspectivas-Energeticas-22_2.pdf"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mimex.org.mx/application/files/4817/5831/4901/Estudio_CIDE.pdf"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igfmining.org/wp-content/uploads/2022/11/critical-minerals-primer-es-WEB.pdf" TargetMode="External"/><Relationship Id="rId23" Type="http://schemas.openxmlformats.org/officeDocument/2006/relationships/footer" Target="footer3.xml"/><Relationship Id="rId10" Type="http://schemas.openxmlformats.org/officeDocument/2006/relationships/hyperlink" Target="https://camimex.org.mx/compendio/index.php"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camimex.org.mx/index.php/boletin/boletines" TargetMode="External"/><Relationship Id="rId14" Type="http://schemas.openxmlformats.org/officeDocument/2006/relationships/hyperlink" Target="https://www.gob.mx/se/prensa/reforma-integral-a-la-actividad-minera" TargetMode="External"/><Relationship Id="rId22"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52</Pages>
  <Words>21283</Words>
  <Characters>117062</Characters>
  <Application>Microsoft Office Word</Application>
  <DocSecurity>0</DocSecurity>
  <Lines>975</Lines>
  <Paragraphs>276</Paragraphs>
  <ScaleCrop>false</ScaleCrop>
  <Company/>
  <LinksUpToDate>false</LinksUpToDate>
  <CharactersWithSpaces>138069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CORTES MORALES JORGE</cp:lastModifiedBy>
  <cp:revision>3</cp:revision>
  <dcterms:created xsi:type="dcterms:W3CDTF">2026-06-21T19:10:00Z</dcterms:created>
  <dcterms:modified xsi:type="dcterms:W3CDTF">2026-06-21T19:48:00Z</dcterms:modified>
</cp:coreProperties>
</file>