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Cronograma de actividades</w:t>
      </w:r>
    </w:p>
    <w:p>
      <w:pPr>
        <w:spacing w:after="40"/>
        <w:jc w:val="center"/>
      </w:pPr>
      <w:r>
        <w:rPr>
          <w:rFonts w:ascii="Times New Roman" w:hAnsi="Times New Roman"/>
          <w:b w:val="0"/>
          <w:sz w:val="24"/>
        </w:rPr>
        <w:t>Protocolo de investigación — rediseño descriptivo (cadenas de valor)</w:t>
      </w:r>
    </w:p>
    <w:p>
      <w:pPr>
        <w:spacing w:after="200"/>
        <w:jc w:val="center"/>
      </w:pPr>
      <w:r>
        <w:rPr>
          <w:rFonts w:ascii="Times New Roman" w:hAnsi="Times New Roman"/>
          <w:b w:val="0"/>
          <w:sz w:val="22"/>
        </w:rPr>
        <w:t>Jorge Cortés Morales — Maestría en Economía, UAM Azcapotzalco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>
        <w:tc>
          <w:tcPr>
            <w:tcW w:type="dxa" w:w="300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8"/>
              </w:rPr>
              <w:t>Fase / mes</w:t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1</w:t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2</w:t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3</w:t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4</w:t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5</w:t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6</w:t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7</w:t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8</w:t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9</w:t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10</w:t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11</w:t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12</w:t>
            </w:r>
          </w:p>
        </w:tc>
      </w:tr>
      <w:tr>
        <w:tc>
          <w:tcPr>
            <w:tcW w:type="dxa" w:w="300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7"/>
              </w:rPr>
              <w:t>1. Consolidación de la base de estructura y concentración (HHI; estructura de la industria por empresa)</w:t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○</w:t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○</w:t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300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7"/>
              </w:rPr>
              <w:t>2. Diagnóstico insumo-producto: Leontief, Ghosh y captura de valor (Cap. V)</w:t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○</w:t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○</w:t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300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7"/>
              </w:rPr>
              <w:t>3. Mapeo de cadenas de valor locales (demanda intermedia en la MIP; identificación de empresas de transformación)</w:t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○</w:t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○</w:t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300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7"/>
              </w:rPr>
              <w:t>4. Inserción en cadenas de valor globales (comercio por etapa; opcional: TiVA / upstreamness)</w:t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○</w:t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○</w:t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300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7"/>
              </w:rPr>
              <w:t>5. Análisis del marco institucional (reforma 2023; event study opcional)</w:t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○</w:t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○</w:t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300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7"/>
              </w:rPr>
              <w:t>6. Síntesis y bases para una política industrial</w:t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○</w:t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○</w:t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300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7"/>
              </w:rPr>
              <w:t>7. Redacción y ensamblado por capítulos</w:t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○</w:t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○</w:t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300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7"/>
              </w:rPr>
              <w:t>8. Revisión, ajustes finales y entrega</w:t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○</w:t>
            </w:r>
          </w:p>
        </w:tc>
        <w:tc>
          <w:tcPr>
            <w:tcW w:type="dxa" w:w="48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●</w:t>
            </w:r>
          </w:p>
        </w:tc>
      </w:tr>
    </w:tbl>
    <w:p>
      <w:pPr>
        <w:spacing w:before="160"/>
      </w:pPr>
      <w:r>
        <w:rPr>
          <w:rFonts w:ascii="Times New Roman" w:hAnsi="Times New Roman"/>
          <w:sz w:val="20"/>
        </w:rPr>
        <w:t>● actividad activa    ○ inicio o cierre de fase</w:t>
      </w:r>
    </w:p>
    <w:p>
      <w:pPr>
        <w:spacing w:before="80"/>
      </w:pPr>
      <w:r>
        <w:rPr>
          <w:rFonts w:ascii="Times New Roman" w:hAnsi="Times New Roman"/>
          <w:sz w:val="20"/>
        </w:rPr>
        <w:t>Horizonte de doce meses, con superposición deliberada de actividades. Respecto del diseño previo se retira la estimación del modelo de panel; el análisis econométrico se limita, de forma opcional, al estudio de eventos de la reforma (Fase 5). Las fases 3 y 4 —cadenas de valor locales y globales— son las incorporadas por el rediseño descriptivo.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