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i w:val="0"/>
          <w:sz w:val="32"/>
        </w:rPr>
        <w:t>Avance del Capítulo VI — Metodología y modelo de panel</w:t>
      </w:r>
    </w:p>
    <w:p>
      <w:pPr>
        <w:spacing w:after="80"/>
        <w:jc w:val="center"/>
      </w:pPr>
      <w:r>
        <w:rPr>
          <w:rFonts w:ascii="Times New Roman" w:hAnsi="Times New Roman"/>
          <w:b/>
          <w:i w:val="0"/>
          <w:sz w:val="26"/>
        </w:rPr>
        <w:t>Base B5: índice Herfindahl-Hirschman por mineral-año (2004-2024)</w:t>
      </w:r>
    </w:p>
    <w:p>
      <w:pPr>
        <w:spacing w:after="80"/>
        <w:jc w:val="center"/>
      </w:pPr>
      <w:r>
        <w:rPr>
          <w:rFonts w:ascii="Times New Roman" w:hAnsi="Times New Roman"/>
          <w:b w:val="0"/>
          <w:i/>
          <w:sz w:val="24"/>
        </w:rPr>
        <w:t>Construcción de la base de datos y decisiones metodológicas</w:t>
      </w:r>
    </w:p>
    <w:p>
      <w:pPr>
        <w:spacing w:after="360"/>
        <w:jc w:val="center"/>
      </w:pPr>
      <w:r>
        <w:rPr>
          <w:rFonts w:ascii="Times New Roman" w:hAnsi="Times New Roman"/>
          <w:b w:val="0"/>
          <w:i w:val="0"/>
          <w:sz w:val="22"/>
        </w:rPr>
        <w:t>Jorge Cortés Morales · Maestría en Economía, UAM Azcapotzalco · Documento de trabajo, 20 de julio de 2026</w:t>
      </w:r>
    </w:p>
    <w:p>
      <w:pPr>
        <w:pStyle w:val="Heading1"/>
      </w:pPr>
      <w:r>
        <w:t>1. Objeto y papel de la base</w:t>
      </w:r>
    </w:p>
    <w:p>
      <w:r>
        <w:rPr>
          <w:rFonts w:ascii="Times New Roman" w:hAnsi="Times New Roman"/>
        </w:rPr>
        <w:t>La base B5 construye la variable explicativa central del modelo de panel (Capítulo VI): el índice Herfindahl-Hirschman (HHI) de concentración de la extracción, por mineral y año, para los diez minerales del corpus (barita, cobre, fluorita, grafito, manganeso, oro, plata, plomo, sílice y zinc). La hipótesis H1 predice un coeficiente negativo del HHI sobre los encadenamientos hacia adelante (multiplicadores de Ghosh, Capítulo V). El HHI se define sobre la etapa de extracción; la concentración de la refinación —estructuralmente distinta y en varios metales cercana al monopolio (Met-Mex Peñoles en plata y plomo, Grupo México en cobre)— se documenta como serie complementaria.</w:t>
      </w:r>
    </w:p>
    <w:p>
      <w:pPr>
        <w:pStyle w:val="Heading1"/>
      </w:pPr>
      <w:r>
        <w:t>2. Estado de la base</w:t>
      </w:r>
    </w:p>
    <w:p>
      <w:r>
        <w:rPr>
          <w:rFonts w:ascii="Times New Roman" w:hAnsi="Times New Roman"/>
        </w:rPr>
        <w:t>El archivo maestro (hhi_numeradores.csv) contiene 485 filas con cobertura completa 2004-2024, sin años ni minerales faltantes. La identidad del productor líder está resuelta en el 100% de los casos para nueve minerales; el grafito se registra como mercado atomizado sin productor dominante (caso de contraste), consistente con que la CAMIMEX no desagrega su producción por empresa en ninguna edición.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474"/>
            <w:shd w:val="clear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Periodo</w:t>
            </w:r>
          </w:p>
        </w:tc>
        <w:tc>
          <w:tcPr>
            <w:tcW w:type="dxa" w:w="1814"/>
            <w:shd w:val="clear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Nivel de registro</w:t>
            </w:r>
          </w:p>
        </w:tc>
        <w:tc>
          <w:tcPr>
            <w:tcW w:type="dxa" w:w="2835"/>
            <w:shd w:val="clear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Contenido</w:t>
            </w:r>
          </w:p>
        </w:tc>
        <w:tc>
          <w:tcPr>
            <w:tcW w:type="dxa" w:w="2665"/>
            <w:shd w:val="clear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Fuente principal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/>
                <w:sz w:val="20"/>
              </w:rPr>
              <w:t>2004–2020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sz w:val="20"/>
              </w:rPr>
              <w:t>Empresa (líder)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10 filas/año: líder por mineral, volumen, participación, total nacional minero</w:t>
            </w:r>
          </w:p>
        </w:tc>
        <w:tc>
          <w:tcPr>
            <w:tcW w:type="dxa" w:w="2665"/>
          </w:tcPr>
          <w:p>
            <w:r/>
            <w:r>
              <w:rPr>
                <w:rFonts w:ascii="Times New Roman" w:hAnsi="Times New Roman"/>
                <w:sz w:val="20"/>
              </w:rPr>
              <w:t>Informes CAMIMEX 2005–2021 + USGS MYB (denominadores 2004–2009)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/>
                <w:sz w:val="20"/>
              </w:rPr>
              <w:t>2021–2024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sz w:val="20"/>
              </w:rPr>
              <w:t>Unidad minera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60–85 filas/año: tablas top-10/15 por mina + % por empresa publicado</w:t>
            </w:r>
          </w:p>
        </w:tc>
        <w:tc>
          <w:tcPr>
            <w:tcW w:type="dxa" w:w="2665"/>
          </w:tcPr>
          <w:p>
            <w:r/>
            <w:r>
              <w:rPr>
                <w:rFonts w:ascii="Times New Roman" w:hAnsi="Times New Roman"/>
                <w:sz w:val="20"/>
              </w:rPr>
              <w:t>Informes CAMIMEX 2022–2025 (tablas verificadas en imagen)</w:t>
            </w:r>
          </w:p>
        </w:tc>
      </w:tr>
    </w:tbl>
    <w:p/>
    <w:p>
      <w:pPr>
        <w:pStyle w:val="Heading1"/>
      </w:pPr>
      <w:r>
        <w:t>3. Fuentes oficiales y su papel</w:t>
      </w:r>
    </w:p>
    <w:p>
      <w:pPr>
        <w:pStyle w:val="ListBullet"/>
        <w:spacing w:after="80"/>
      </w:pPr>
      <w:r>
        <w:rPr>
          <w:rFonts w:ascii="Times New Roman" w:hAnsi="Times New Roman"/>
          <w:b/>
        </w:rPr>
        <w:t>Informes Anuales CAMIMEX 2005-2025</w:t>
      </w:r>
      <w:r>
        <w:rPr>
          <w:rFonts w:ascii="Times New Roman" w:hAnsi="Times New Roman"/>
        </w:rPr>
        <w:t>: participaciones del líder publicadas, volúmenes por empresa y por mina, orden de los productores y totales nacionales mineros (2010-2024). Fuente primaria de los numeradores.</w:t>
      </w:r>
    </w:p>
    <w:p>
      <w:pPr>
        <w:pStyle w:val="ListBullet"/>
        <w:spacing w:after="80"/>
      </w:pPr>
      <w:r>
        <w:rPr>
          <w:rFonts w:ascii="Times New Roman" w:hAnsi="Times New Roman"/>
          <w:b/>
        </w:rPr>
        <w:t>USGS Minerals Yearbook, capítulo México</w:t>
      </w:r>
      <w:r>
        <w:rPr>
          <w:rFonts w:ascii="Times New Roman" w:hAnsi="Times New Roman"/>
        </w:rPr>
        <w:t>: la Tabla 1 (producción minera nacional por mineral) resolvió los denominadores 2004-2009 de los cinco metales; la Tabla 2 (estructura de la industria: empresas, capital y capacidad por mineral) es la fuente para el conteo de productores y el fechado de fusiones. Las 17 ediciones 2004-2022 están descargadas; las tablas se leen en imagen para evitar errores de extracción de texto.</w:t>
      </w:r>
    </w:p>
    <w:p>
      <w:pPr>
        <w:pStyle w:val="ListBullet"/>
        <w:spacing w:after="80"/>
      </w:pPr>
      <w:r>
        <w:rPr>
          <w:rFonts w:ascii="Times New Roman" w:hAnsi="Times New Roman"/>
          <w:b/>
        </w:rPr>
        <w:t>INEGI, volumen de la producción</w:t>
      </w:r>
      <w:r>
        <w:rPr>
          <w:rFonts w:ascii="Times New Roman" w:hAnsi="Times New Roman"/>
        </w:rPr>
        <w:t xml:space="preserve"> (B3): denominadores de los no metálicos. Verificación importante: el bloque anual de B3 es producción minero-metalúrgica para los cinco metales (no debe usarse como denominador de extracción), pero sí es producción minera para los no metálicos — coincide dígito a dígito con USGS.</w:t>
      </w:r>
    </w:p>
    <w:p>
      <w:pPr>
        <w:pStyle w:val="ListBullet"/>
        <w:spacing w:after="80"/>
      </w:pPr>
      <w:r>
        <w:rPr>
          <w:rFonts w:ascii="Times New Roman" w:hAnsi="Times New Roman"/>
          <w:b/>
        </w:rPr>
        <w:t>Anuario Estadístico de la Minería Mexicana, SGM</w:t>
      </w:r>
      <w:r>
        <w:rPr>
          <w:rFonts w:ascii="Times New Roman" w:hAnsi="Times New Roman"/>
        </w:rPr>
        <w:t xml:space="preserve"> (ediciones 2012 y 2024 revisadas): no contiene datos por empresa; aporta panorama (posición mundial, concentración estatal y municipal, comercio exterior). Sus tablas estatales en PDF presentan corrimientos de columnas y se descartaron como fuente de series.</w:t>
      </w:r>
    </w:p>
    <w:p>
      <w:pPr>
        <w:pStyle w:val="Heading1"/>
      </w:pPr>
      <w:r>
        <w:t>4. Decisiones metodológicas adoptadas</w:t>
      </w:r>
    </w:p>
    <w:p>
      <w:pPr>
        <w:pStyle w:val="Heading2"/>
      </w:pPr>
      <w:r>
        <w:t>4.1 Numerador: porcentaje por empresa publicado, no suma de minas</w:t>
      </w:r>
    </w:p>
    <w:p>
      <w:r>
        <w:rPr>
          <w:rFonts w:ascii="Times New Roman" w:hAnsi="Times New Roman"/>
        </w:rPr>
        <w:t>La validación cruzada en cobre 2021 mostró que la suma de las minas del top-15 subestima a las empresas con muchas minas pequeñas (Grupo México: 61.7% por suma de minas vs. 76.3% declarado). Regla: cuando la CAMIMEX publica el porcentaje por empresa, ese es el numerador; las tablas de minas se usan para derivar participaciones cuando no hay porcentaje explícito (reconociendo que son cota inferior), contar jugadores y validar.</w:t>
      </w:r>
    </w:p>
    <w:p>
      <w:pPr>
        <w:pStyle w:val="Heading2"/>
      </w:pPr>
      <w:r>
        <w:t>4.2 Denominador: producción minera, con la plata como caso decisorio</w:t>
      </w:r>
    </w:p>
    <w:p>
      <w:r>
        <w:rPr>
          <w:rFonts w:ascii="Times New Roman" w:hAnsi="Times New Roman"/>
        </w:rPr>
        <w:t>Decisión validada el 20 de julio de 2026: todas las participaciones se calculan contra la producción minera nacional. El caso crítico es la plata 2007-2010, donde coexisten dos bases oficiales: la CAMIMEX publicó participaciones del líder sobre base minero-metalúrgica (45% en 2007, 32.5% en 2008, 36% en 2009 y 28% en 2010), mientras que contra el total minero (INEGI/USGS) esas mismas producciones representan 33.3%, 31.7%, 33.2% y 25.3%, respectivamente. Se adopta la base minera por tres razones: (i) el HHI de B5 mide la concentración de la extracción —la etapa cuya estructura de mercado es la variable central del modelo—, y la serie metalúrgica incorpora la estructura de otra etapa, la refinación, casi monopólica en la plata a través de Met-Mex Peñoles; (ii) consistencia entre numerador y denominador: los volúmenes por empresa y por mina que reporta la CAMIMEX son producción de mina, y dividirlos entre el total metalúrgico infla artificialmente las participaciones; (iii) continuidad de la serie: los denominadores 2010-2024 (narrativa CAMIMEX) y 2004-2009 (USGS MYB) ya son mineros, de modo que usar la base metalúrgica solo en 2007-2010 introduciría un quiebre artificial. Ambas bases quedan registradas en la nota de cada fila afectada y el porcentaje publicado por la CAMIMEX se conserva como validación; la divergencia entre ambas bases se declarará explícitamente en el texto del Capítulo VI.</w:t>
      </w:r>
    </w:p>
    <w:p>
      <w:pPr>
        <w:pStyle w:val="Heading2"/>
      </w:pPr>
      <w:r>
        <w:t>4.3 Años sin porcentaje publicado (2004-2007): proxy municipal</w:t>
      </w:r>
    </w:p>
    <w:p>
      <w:r>
        <w:rPr>
          <w:rFonts w:ascii="Times New Roman" w:hAnsi="Times New Roman"/>
        </w:rPr>
        <w:t>Los informes CAMIMEX anteriores a ~2008 no publican participaciones por empresa en los metales. Se utilizan las participaciones municipales de INEGI como proxy, aprovechando que la correspondencia mina-municipio es prácticamente biunívoca (Cananea = Grupo México; Saucillo/Naica = Peñoles; Caborca/La Herradura = Peñoles-Penmont; Urique/El Sauzal = Glamis-Goldcorp). Toda fila así construida queda marcada como inferida o proxy municipal en la nota.</w:t>
      </w:r>
    </w:p>
    <w:p>
      <w:pPr>
        <w:pStyle w:val="Heading2"/>
      </w:pPr>
      <w:r>
        <w:t>4.4 Fusiones y eventos corporativos</w:t>
      </w:r>
    </w:p>
    <w:p>
      <w:r>
        <w:rPr>
          <w:rFonts w:ascii="Times New Roman" w:hAnsi="Times New Roman"/>
        </w:rPr>
        <w:t>El HHI se mueve por escalones anclados en eventos (entradas, salidas, fusiones), no de forma continua. Las fusiones a mitad de año se asignan al año siguiente completo, con el año del evento marcado. Eventos mayores ya fechados: adquisición de Fluorita de México por Mexichem (enero 2013), Goldcorp-Glamis (noviembre 2006), spin-off de Fresnillo plc desde Peñoles (mayo 2008), Newmont-Goldcorp (abril 2019) y huelga de Cananea (julio 2007 - junio 2010).</w:t>
      </w:r>
    </w:p>
    <w:p>
      <w:pPr>
        <w:pStyle w:val="Heading1"/>
      </w:pPr>
      <w:r>
        <w:t>5. Hallazgos con implicaciones para los capítulos redactados (I-IV)</w:t>
      </w:r>
    </w:p>
    <w:p>
      <w:r>
        <w:rPr>
          <w:rFonts w:ascii="Times New Roman" w:hAnsi="Times New Roman"/>
        </w:rPr>
        <w:t>La construcción de la base produjo hallazgos que obligan ajustes puntuales en el borrador de los capítulos I-IV. El más importante: la fluorita no fue monopolio durante todo el periodo — el USGS Minerals Yearbook (Tabla 2, edición 2010) documenta dos productores independientes hasta 2012, y el monopolio de facto de Mexichem/Koura data de la adquisición de Fluorita de México en enero de 2013. El HHI de la fluorita presenta por tanto un escalón real (~6,500 → ~9,600) que el panel explotará como variación.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361"/>
            <w:shd w:val="clear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Capítulo</w:t>
            </w:r>
          </w:p>
        </w:tc>
        <w:tc>
          <w:tcPr>
            <w:tcW w:type="dxa" w:w="3912"/>
            <w:shd w:val="clear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Hallazgo que obliga el ajuste</w:t>
            </w:r>
          </w:p>
        </w:tc>
        <w:tc>
          <w:tcPr>
            <w:tcW w:type="dxa" w:w="3515"/>
            <w:shd w:val="clear" w:fill="E8E8E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Ubicación del cambio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/>
                <w:sz w:val="20"/>
              </w:rPr>
              <w:t>Cap. I</w:t>
            </w:r>
          </w:p>
        </w:tc>
        <w:tc>
          <w:tcPr>
            <w:tcW w:type="dxa" w:w="3912"/>
          </w:tcPr>
          <w:p>
            <w:r/>
            <w:r>
              <w:rPr>
                <w:rFonts w:ascii="Times New Roman" w:hAnsi="Times New Roman"/>
                <w:sz w:val="20"/>
              </w:rPr>
              <w:t>La sílice ya no es el extremo no concentrado (HHI &lt;1,500); ese papel pasó al grafito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/>
                <w:sz w:val="20"/>
              </w:rPr>
              <w:t>Párrafo del tercer criterio de selección del corpus (“el HHI oscila desde 10,000 en manganeso hasta valores por debajo de 1,500 en sílice”) — inconsistente con el párrafo siguiente, que ya reclasifica la sílice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/>
                <w:sz w:val="20"/>
              </w:rPr>
              <w:t>Cap. II</w:t>
            </w:r>
          </w:p>
        </w:tc>
        <w:tc>
          <w:tcPr>
            <w:tcW w:type="dxa" w:w="3912"/>
          </w:tcPr>
          <w:p>
            <w:r/>
            <w:r>
              <w:rPr>
                <w:rFonts w:ascii="Times New Roman" w:hAnsi="Times New Roman"/>
                <w:sz w:val="20"/>
              </w:rPr>
              <w:t>Fluorita: duopolio hasta 2012, monopolio solo desde 2013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/>
                <w:sz w:val="20"/>
              </w:rPr>
              <w:t>Tabla del corpus (fila fluorita: “Monopolio casi absoluto, Orbia/Koura ≈95%”) — añadir acotación temporal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/>
                <w:sz w:val="20"/>
              </w:rPr>
              <w:t>Cap. IV.2 (Barita)</w:t>
            </w:r>
          </w:p>
        </w:tc>
        <w:tc>
          <w:tcPr>
            <w:tcW w:type="dxa" w:w="3912"/>
          </w:tcPr>
          <w:p>
            <w:r/>
            <w:r>
              <w:rPr>
                <w:rFonts w:ascii="Times New Roman" w:hAnsi="Times New Roman"/>
                <w:sz w:val="20"/>
              </w:rPr>
              <w:t>“Estructura de cuatro operadores estable sin fusiones 1993-2025” es insostenible: Baramin cayó de ~82% (2021) a 24.6% (2024) por agotamiento de la mina Grecia; el USGS MYB 2010 registra además un mapa de productores distinto (Barita de Santa Rosa, Barita de Sonora/GAN, Minerales y Arcillas)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/>
                <w:sz w:val="20"/>
              </w:rPr>
              <w:t>Segundo párrafo de IV.2 y la caracterización de estabilidad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/>
                <w:sz w:val="20"/>
              </w:rPr>
              <w:t>Cap. IV.4 (Fluorita)</w:t>
            </w:r>
          </w:p>
        </w:tc>
        <w:tc>
          <w:tcPr>
            <w:tcW w:type="dxa" w:w="3912"/>
          </w:tcPr>
          <w:p>
            <w:r/>
            <w:r>
              <w:rPr>
                <w:rFonts w:ascii="Times New Roman" w:hAnsi="Times New Roman"/>
                <w:sz w:val="20"/>
              </w:rPr>
              <w:t>Fluorita de México (Corp. Alfil 51% / Applied Industrial Minerals 49%; La Encantada, Múzquiz) operó independiente con capacidad de 150 mil t (vs. 520 mil t de Las Cuevas) hasta que Mexichem la adquirió en enero de 2013 (Informe CAMIMEX 2013); Coahuila aportaba ~16-22% antes de 2013 (Informe CAMIMEX 2009: SLP 84% / Coah. 16%), no 1-8%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/>
                <w:sz w:val="20"/>
              </w:rPr>
              <w:t>IV.4.2 (“Un monopolio geográfico y empresarial documentado desde 1955”): matizar título y párrafos 2-3; la serie del HHI da un escalón ~6,500 → ~9,600 en 2013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/>
                <w:sz w:val="20"/>
              </w:rPr>
              <w:t>Cap. IV (síntesis)</w:t>
            </w:r>
          </w:p>
        </w:tc>
        <w:tc>
          <w:tcPr>
            <w:tcW w:type="dxa" w:w="3912"/>
          </w:tcPr>
          <w:p>
            <w:r/>
            <w:r>
              <w:rPr>
                <w:rFonts w:ascii="Times New Roman" w:hAnsi="Times New Roman"/>
                <w:sz w:val="20"/>
              </w:rPr>
              <w:t>Rotaciones de liderazgo documentadas: oro (Peñoles 2004-05 y 2007 → Goldcorp 2008-15 → Fresnillo 2016+), plomo (Peñoles 2004-09 → Goldcorp 2010-17 → Fresnillo 2018 → Newmont), zinc (Peñoles líder casi continuo 2004-2018); huelga de Cananea como escalón del cobre (86.6% → 51.2% → 66-78%)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/>
                <w:sz w:val="20"/>
              </w:rPr>
              <w:t>Tabla síntesis y narrativa de las eras empresariales</w:t>
            </w:r>
          </w:p>
        </w:tc>
      </w:tr>
    </w:tbl>
    <w:p/>
    <w:p>
      <w:pPr>
        <w:pStyle w:val="Heading1"/>
      </w:pPr>
      <w:r>
        <w:t>6. Trabajo pendiente sobre B5</w:t>
      </w:r>
    </w:p>
    <w:p>
      <w:pPr>
        <w:pStyle w:val="ListBullet"/>
        <w:spacing w:after="80"/>
      </w:pPr>
      <w:r>
        <w:rPr>
          <w:rFonts w:ascii="Times New Roman" w:hAnsi="Times New Roman"/>
        </w:rPr>
        <w:t>Extraer sistemáticamente la Tabla 2 del USGS MYB (2004-2022) para conteo de productores (barita, sílice, grafito), numeradores secundarios (2° a 5° productor) y calendario de fusiones.</w:t>
      </w:r>
    </w:p>
    <w:p>
      <w:pPr>
        <w:pStyle w:val="ListBullet"/>
        <w:spacing w:after="80"/>
      </w:pPr>
      <w:r>
        <w:rPr>
          <w:rFonts w:ascii="Times New Roman" w:hAnsi="Times New Roman"/>
        </w:rPr>
        <w:t>Recalcular las filas de fluorita 2004-2012 como duopolio Las Cuevas / Fluorita de México (~78/22).</w:t>
      </w:r>
    </w:p>
    <w:p>
      <w:pPr>
        <w:pStyle w:val="ListBullet"/>
        <w:spacing w:after="80"/>
      </w:pPr>
      <w:r>
        <w:rPr>
          <w:rFonts w:ascii="Times New Roman" w:hAnsi="Times New Roman"/>
        </w:rPr>
        <w:t>Cerrar el estimador del HHI por nivel de dato: exacto (desgloses completos y monopolios), reconstrucción top-k con franja residual, y cotas cuando solo se conoce el líder — con análisis de sensibilidad.</w:t>
      </w:r>
    </w:p>
    <w:p>
      <w:pPr>
        <w:pStyle w:val="ListBullet"/>
        <w:spacing w:after="80"/>
      </w:pPr>
      <w:r>
        <w:rPr>
          <w:rFonts w:ascii="Times New Roman" w:hAnsi="Times New Roman"/>
        </w:rPr>
        <w:t>Definir el tratamiento de participaciones mayores a 100% (empresa reporta más que el total INEGI: Baramin 2012/2014, Mexichem 2012/2017, GMP 2018, Covia 2019).</w:t>
      </w:r>
    </w:p>
    <w:p>
      <w:pPr>
        <w:pStyle w:val="ListBullet"/>
        <w:spacing w:after="80"/>
      </w:pPr>
      <w:r>
        <w:rPr>
          <w:rFonts w:ascii="Times New Roman" w:hAnsi="Times New Roman"/>
        </w:rPr>
        <w:t>Agregar 2021-2024 de nivel mina a nivel empresa aplicando la regla 4.1 y validar contra los 11 puntos de la base original de mercados mineros.</w:t>
      </w:r>
    </w:p>
    <w:p>
      <w:pPr>
        <w:pStyle w:val="Heading1"/>
      </w:pPr>
      <w:r>
        <w:t>7. Nota metodológica (revisión 2026-07-22): el papel del panel en la columna vertebral</w:t>
      </w:r>
    </w:p>
    <w:p>
      <w:pPr/>
      <w:r>
        <w:t>La investigación se reordenó alrededor de una pregunta única de desarrollo industrial —por qué México no industrializa aguas abajo de sus minerales críticos y qué política lo corregiría—. En ese arco, el panel HHI→Ghosh de este capítulo entrega una asociación condicional (a mayor concentración, menor encadenamiento hacia adelante: β₁&lt;0), no una relación causal por sí misma. Los efectos fijos de mineral y de año controlan lo que no cambia, pero no descartan endogeneidad, causalidad inversa ni variables omitidas. La identificación causal recae, por tanto, en dos apoyos externos al ajuste del panel: (i) los quiebres estructurales fechados que documenta la base B5 —la fusión de la fluorita de enero de 2012 (HHI ≈6,525→10,000), la huelga de Cananea de 2007-2010 en el cobre (86.6%→51.2%→66%) y el paso del grafito a productor único en 2014—, que permiten un contraste antes-después dentro de un mismo mineral; y (ii) el puente documental oferta/demanda (matriz insumo-producto, comercio exterior y reportes públicos de empresas), que interpreta el signo del panel decidiendo si la baja industrialización es una falla de oferta (el oligopolio puede integrar y no lo hace) o de demanda (no existe industria compradora doméstica). El número del panel es la evidencia de asociación; los quiebres fechados y el puente documental son lo que la convierte en un argumento causal y de política. Esta es la respuesta directa a la observación del asesor de que la aportación está en los datos y en la causalidad, no en el modelo.</w:t>
      </w:r>
    </w:p>
    <w:p>
      <w:pPr/>
      <w:r>
        <w:t>Actualización de los pendientes del apartado 6 (al 2026-07-21). Dos de los puntos listados arriba ya se resolvieron: la Tabla 2 del USGS MYB se extrajo por completo (2004-2022) a 10 Datos/processed/myb_estructura_industria.csv, y las filas de fluorita se recalcularon como duopolio Las Cuevas / Fluorita de México (~78/22) para 2004-2011. En ese proceso se corrigió la fecha de la fusión: fue enero de 2012, no 2013. El error provenía de leer el año de publicación del Informe Anual de la CAMIMEX (2013) como si fuera el año-dato; la regla, válida para toda la tesis, es que el Informe Anual del año N reporta el año-dato N−1. El Informe CAMIMEX 2013 (año-dato 2012) y el USGS MYB 2012 coinciden en enero de 2012. La serie de HHI de fluorita queda en ≈6,525 (2004-2011) → 10,000 (2012 en adelante).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6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