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Capitulo VII - Impacto de la reforma a la Ley Minera de 2023</w:t>
      </w:r>
    </w:p>
    <w:p>
      <w:pPr>
        <w:jc w:val="center"/>
      </w:pPr>
      <w:r>
        <w:rPr>
          <w:i/>
          <w:sz w:val="24"/>
        </w:rPr>
        <w:t>Analisis de escritorio: reforma diferencial, reportes de empresas y Event Study (capitulo secundario)</w:t>
      </w:r>
    </w:p>
    <w:p>
      <w:pPr>
        <w:jc w:val="center"/>
      </w:pPr>
      <w:r>
        <w:rPr>
          <w:sz w:val="20"/>
        </w:rPr>
        <w:t>Jorge Cortes Morales - Maestria en Economia, UAM Azcapotzalco</w:t>
      </w:r>
    </w:p>
    <w:p/>
    <w:p>
      <w:r>
        <w:rPr>
          <w:i/>
          <w:color w:val="884400"/>
        </w:rPr>
        <w:t>ESTADO: ANDAMIO - capitulo secundario / de escritorio (opcion B); trabajo de campo opcional. Estructura sembrada 2026-07-21; reencuadre metodologico 2026-07-22.</w:t>
      </w:r>
    </w:p>
    <w:p>
      <w:r>
        <w:t>Objetivo especifico 3: evaluar el impacto de la reforma de 2023 sobre los flujos de inversion, distinguiendo consorcios establecidos frente a entrantes (prueba H4).</w:t>
      </w:r>
    </w:p>
    <w:p>
      <w:pPr/>
      <w:r>
        <w:t>Encuadre (revision metodologica 2026-07-22): este capitulo es secundario dentro de la columna vertebral de la tesis. El motor central —concentracion alta asociada con bajos encadenamientos, y el puente oferta/demanda que decide la politica— corre sobre el panel 1993-2025 (Caps. V-VI y VIII) y no depende de la reforma de 2023. La reforma no habla directamente de industrializacion: el Event Study mide la reaccion de la valuacion bursatil al anuncio, cuyo signo es esperable (la inversion cayo: IED sectorial -56.3% y exploracion -11.5%). Su unico aporte no obvio es la asimetria: si la reforma golpea mas a los entrantes que a los incumbentes, tenderia a fijar la estructura oligopolica que el Cap. VI asocia con la baja industrializacion (prueba H4); pero ese contraste es empiricamente fragil, porque casi ningun entrante cotiza en bolsa. Por eso el capitulo se plantea como analisis de escritorio (opcion B): analisis juridico diferencial de la reforma y lectura de reportes publicos y earnings calls de las empresas, con el Event Study como pierna menor de triangulacion, reencuadrado en la magnitud y la asimetria y no en el signo; las entrevistas quedan como complemento opcional. El capitulo puede omitirse sin comprometer la tesis: su aporte se limita a mostrar que la palanca institucional vigente empuja hacia una estructura mas concentrada, no a demostrar la industrializacion. Se conserva por triangulacion, porque cierra la rama institucional del diagnostico y porque el material de escritorio ya esta disponible.</w:t>
      </w:r>
    </w:p>
    <w:p>
      <w:pPr>
        <w:pStyle w:val="Heading1"/>
      </w:pPr>
      <w:r>
        <w:t>VII.1 La reforma de 2023: contenido y coyuntura</w:t>
      </w:r>
    </w:p>
    <w:p>
      <w:r>
        <w:t>Cuatro disposiciones (abril 2023): exclusividad del SGM sobre exploracion; concesiones 50 -&gt; 30 anios con prorroga unica de 25; fin de la mineria como actividad preferente; nuevo regimen de licitaciones con evaluacion de impacto social y ambiental. A mediados de 2026: litigio constitucional activo ante la SCJN; exploracion -11.5% (2024); IED sectorial -56.3% (2025), pese a un valor de produccion record (312,461 MDP en 2024, +19.6%).</w:t>
      </w:r>
    </w:p>
    <w:p>
      <w:pPr>
        <w:pStyle w:val="Heading1"/>
      </w:pPr>
      <w:r>
        <w:t>VII.2 Estrategia empirica</w:t>
      </w:r>
    </w:p>
    <w:p>
      <w:pPr>
        <w:pStyle w:val="Heading2"/>
      </w:pPr>
      <w:r>
        <w:t>VII.2.1 Analisis de escritorio (via principal)</w:t>
      </w:r>
    </w:p>
    <w:p>
      <w:pPr/>
      <w:r>
        <w:t>Analisis documental diferencial de la reforma (que disposiciones afectan de distinta forma a las concesiones vigentes de los incumbentes frente a las nuevas concesiones de los entrantes) y lectura sistematica de reportes anuales, informes a la bolsa y transcripciones de earnings calls de las mineras, para reconstruir donde procesan o refinan y que dicen sobre integrar aguas abajo. Es la via principal, de gabinete, y se apoya en el process tracing (Beach y Pedersen, 2013) y el analisis tematico (Braun y Clarke, 2006), que operan sobre evidencia documental y no requieren trabajo de campo.</w:t>
      </w:r>
    </w:p>
    <w:p>
      <w:pPr>
        <w:pStyle w:val="Heading2"/>
      </w:pPr>
      <w:r>
        <w:t>VII.2.2 Event Study (MacKinlay, 1997) — pierna de triangulacion</w:t>
      </w:r>
    </w:p>
    <w:p>
      <w:r>
        <w:t>Retornos anormales acumulados (CAR) de las empresas mineras cotizadas en torno a la fecha de la reforma. Definir ventana de evento y de estimacion, el modelo de mercado y la muestra de emisoras. Es la via de gabinete, viable sin trabajo de campo.</w:t>
      </w:r>
    </w:p>
    <w:p>
      <w:pPr>
        <w:pStyle w:val="Heading2"/>
      </w:pPr>
      <w:r>
        <w:t>VII.2.3 Entrevistas semiestructuradas (complemento opcional)</w:t>
      </w:r>
    </w:p>
    <w:p>
      <w:r>
        <w:t>Siete actores (CAMIMEX, SGM, LitioMx, empresa grande establecida, empresa/proyecto entrante, despacho de derecho minero, academico) + analisis de contenido tematico (Braun y Clarke, 2006) + reconstruccion causal (Beach y Pedersen, 2013).</w:t>
      </w:r>
    </w:p>
    <w:p>
      <w:r>
        <w:t>Las entrevistas dejan de ser pieza de carga y quedan como complemento opcional: la distincion oferta/demanda que planteaba la observacion del asesor (los actores tradicionales no son actores industriales) se resuelve con evidencia documental —matriz insumo-producto, comercio exterior y reportes de empresas del lado aguas abajo—, sin depender del trabajo de campo. Si se realizan, cubririan ambos lados del eslabon (extraccion e industria transformadora).</w:t>
      </w:r>
    </w:p>
    <w:p>
      <w:pPr>
        <w:pStyle w:val="Heading1"/>
      </w:pPr>
      <w:r>
        <w:t>VII.3 Resultados</w:t>
      </w:r>
    </w:p>
    <w:p>
      <w:r>
        <w:t>Event Study preliminar (insumo, no resultado definitivo). Con cierres diarios ajustados de Yahoo Finance para GMEXICOB.MX y PE&amp;OLES.MX contra el IPC (^MXX), modelo de mercado con ventana de estimacion del 28-sep-2022 al 4-abr-2023 y evento en la aprobacion en Diputados (20-21 de abril de 2023), Grupo Mexico registra un retorno anormal de -4.07% el dia de la votacion (t=-1.64) y de -4.73% tras la entrada en vigor (t=-1.90), con un CAR[-1,+10] cercano a -8.3%; Penoles resulta mas ruidosa. La senal economica tiene el signo esperado, pero no alcanza significancia al 5% con una sola emisora: confirma que la tuberia funciona y que el valor del ejercicio esta en agrupar empresas en cartera y en el contraste entrantes vs. establecidos, no en el signo. Limitacion: Grupo Mexico pesa mucho en el IPC, lo que sesga su beta. [Pendiente de consolidar la cartera de emisoras y el contraste por grupos.]</w:t>
      </w:r>
    </w:p>
    <w:p>
      <w:pPr>
        <w:pStyle w:val="Heading1"/>
      </w:pPr>
      <w:r>
        <w:t>VII.4 Discusion: alcance temporal del analisis</w:t>
      </w:r>
    </w:p>
    <w:p>
      <w:r>
        <w:t>NOTA (observacion del asesor): "la reforma no da la escala de tiempo para analizar efectos". Encuadrar el capitulo como analisis de impacto de CORTO PLAZO / de anuncio (reaccion de mercados e inversion, no efectos estructurales de largo plazo). Ver la nota de discusion en la Bitacora.</w:t>
      </w:r>
    </w:p>
    <w:p>
      <w:pPr>
        <w:pStyle w:val="Heading1"/>
      </w:pPr>
      <w:r>
        <w:t>Pendientes concretos</w:t>
      </w:r>
    </w:p>
    <w:p>
      <w:pPr>
        <w:pStyle w:val="ListBullet"/>
      </w:pPr>
      <w:r>
        <w:t>[ ] Disenar la guia de entrevistas</w:t>
      </w:r>
    </w:p>
    <w:p>
      <w:pPr>
        <w:pStyle w:val="ListBullet"/>
      </w:pPr>
      <w:r>
        <w:t>[ ] Contactar y agendar los 7 actores clave</w:t>
      </w:r>
    </w:p>
    <w:p>
      <w:pPr>
        <w:pStyle w:val="ListBullet"/>
      </w:pPr>
      <w:r>
        <w:t>[ ] Transcribir y codificar las entrevistas</w:t>
      </w:r>
    </w:p>
    <w:p>
      <w:pPr>
        <w:pStyle w:val="ListBullet"/>
      </w:pPr>
      <w:r>
        <w:t>[ ] Definir ventana de evento y empresas cotizadas para el Event Study</w:t>
      </w:r>
    </w:p>
    <w:p>
      <w:pPr>
        <w:pStyle w:val="ListBullet"/>
      </w:pPr>
      <w:r>
        <w:t>[ ] Calcular los CAR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