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Capitulo VIII - Sintesis, conclusiones y recomendaciones</w:t>
      </w:r>
    </w:p>
    <w:p>
      <w:pPr>
        <w:jc w:val="center"/>
      </w:pPr>
      <w:r>
        <w:rPr>
          <w:i/>
          <w:sz w:val="24"/>
        </w:rPr>
        <w:t>Integracion de los hallazgos de los capitulos V, VI y VII</w:t>
      </w:r>
    </w:p>
    <w:p>
      <w:pPr>
        <w:jc w:val="center"/>
      </w:pPr>
      <w:r>
        <w:rPr>
          <w:sz w:val="20"/>
        </w:rPr>
        <w:t>Jorge Cortes Morales - Maestria en Economia, UAM Azcapotzalco</w:t>
      </w:r>
    </w:p>
    <w:p/>
    <w:p>
      <w:r>
        <w:rPr>
          <w:i/>
          <w:color w:val="884400"/>
        </w:rPr>
        <w:t>ESTADO: ANDAMIO - depende de los resultados de los Caps. V, VI y VII. Estructura sembrada 2026-07-21.</w:t>
      </w:r>
    </w:p>
    <w:p>
      <w:r>
        <w:t>Objetivo especifico 4: integrar los hallazgos para diagnosticar la jerarquia y el tipo de fallas (de mercado, institucional, o su interaccion) y derivar recomendaciones diferenciadas.</w:t>
      </w:r>
    </w:p>
    <w:p>
      <w:pPr>
        <w:pStyle w:val="Heading1"/>
      </w:pPr>
      <w:r>
        <w:t>VIII.1 Sintesis de los hallazgos</w:t>
      </w:r>
    </w:p>
    <w:p>
      <w:r>
        <w:t>Recuperar: la estructura empresarial por mineral (Cap. IV), los encadenamientos (Cap. V), la relacion HHI -&gt; Ghosh estimada (Cap. VI) y el impacto de la reforma (Cap. VII).</w:t>
      </w:r>
    </w:p>
    <w:p>
      <w:pPr/>
      <w:r>
        <w:t>El hilo que integra estos hallazgos es una pregunta unica de desarrollo industrial: por que Mexico no industrializa aguas abajo de sus minerales criticos y que politica lo corregiria. El Cap. V mide el hueco (encadenamiento hacia adelante bajo y tamano de la demanda domestica); el Cap. VI muestra que ese hueco esta asociado con la concentracion (beta1&lt;0) y ancla la causalidad en los quiebres fechados (fluorita 2012, Cananea, grafito 2014); la reforma (Cap. VII) es una nota secundaria que muestra que la palanca institucional vigente refuerza la estructura concentrada. La sintesis se juega en el puente oferta/demanda.</w:t>
      </w:r>
    </w:p>
    <w:p>
      <w:pPr>
        <w:pStyle w:val="Heading1"/>
      </w:pPr>
      <w:r>
        <w:t>VIII.2 Diagnostico de fallas</w:t>
      </w:r>
    </w:p>
    <w:p>
      <w:r>
        <w:t>El puente oferta/demanda decide el diagnostico. El panel entrega una asociacion (a mayor concentracion, menor encadenamiento) que admite dos lecturas opuestas, y el analisis documental de escritorio —matriz insumo-producto (Cap. V), comercio exterior y reportes publicos de empresas— es el que decide entre ellas:</w:t>
      </w:r>
    </w:p>
    <w:p>
      <w:pPr/>
      <w:r>
        <w:rPr>
          <w:b/>
        </w:rPr>
        <w:t xml:space="preserve">Falla de oferta (poder de mercado): </w:t>
      </w:r>
      <w:r>
        <w:rPr>
          <w:b w:val="0"/>
        </w:rPr>
        <w:t>existe demanda domestica aguas abajo, pero las empresas concentradas exportan en bruto y refinan fuera pudiendo integrar (por ejemplo, Grupo Mexico refina cobre en Estados Unidos via ASARCO). La concentracion causa la baja industrializacion. Politica: regulacion de competencia, incentivos condicionados a integrar y concesiones sujetas a agregar valor local.</w:t>
      </w:r>
    </w:p>
    <w:p>
      <w:pPr/>
      <w:r>
        <w:rPr>
          <w:b/>
        </w:rPr>
        <w:t xml:space="preserve">Falla de demanda: </w:t>
      </w:r>
      <w:r>
        <w:rPr>
          <w:b w:val="0"/>
        </w:rPr>
        <w:t>los minerales concentrados son tambien los que carecen de industria compradora domestica, por razones ajenas a la concentracion; en ese caso la asociacion HHI-&gt;Ghosh seria en parte espuria. Politica: fomento de la industria transformadora domestica (quimica del fluor, vidrio y fundicion, siderurgia, electronica y baterias).</w:t>
      </w:r>
    </w:p>
    <w:p>
      <w:pPr/>
      <w:r>
        <w:t>El peso relativo de cada falla varia por cadena y por mineral; de ahi que la recomendacion del apartado VIII.3 sea diferenciada y no uniforme. A esta bifurcacion de mercado se suma, como factor secundario, la dimension institucional del Cap. VII (si la reforma vigente afloja o fija la estructura concentrada).</w:t>
      </w:r>
    </w:p>
    <w:p>
      <w:pPr>
        <w:pStyle w:val="Heading1"/>
      </w:pPr>
      <w:r>
        <w:t>VIII.3 Recomendaciones de politica</w:t>
      </w:r>
    </w:p>
    <w:p>
      <w:r>
        <w:t>[Pendiente.]</w:t>
      </w:r>
    </w:p>
    <w:p>
      <w:pPr>
        <w:pStyle w:val="Heading1"/>
      </w:pPr>
      <w:r>
        <w:t>VIII.4 Limitaciones y agenda de investigacion futura</w:t>
      </w:r>
    </w:p>
    <w:p>
      <w:r>
        <w:t>[Pendiente.]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