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Relevancia económica del objeto: peso histórico del bloque de diez minerales</w:t>
      </w:r>
    </w:p>
    <w:p>
      <w:pPr>
        <w:spacing w:after="160" w:line="276" w:lineRule="auto"/>
        <w:jc w:val="both"/>
      </w:pPr>
      <w:r>
        <w:t>Nota de integración para el Capítulo I (Justificación). Cifras propias 2026-09-09; detalle metodológico en la memoria «Peso del bloque de 10 minerales (PIB, exportaciones, empleo)». Todas las series se construyen con fuentes primarias: MIP INEGI para PIB y empleo; UN Comtrade y USGS Minerals Yearbook para exportaciones y producción.</w:t>
      </w:r>
    </w:p>
    <w:p>
      <w:pPr>
        <w:spacing w:after="120" w:line="276" w:lineRule="auto"/>
        <w:ind w:firstLine="420"/>
        <w:jc w:val="both"/>
      </w:pPr>
      <w:r>
        <w:t xml:space="preserve">La elección de los diez minerales —barita, cobre, fluorita, grafito, manganeso, oro, plata, plomo, sílice y zinc— se sostiene, en primer término, en el </w:t>
      </w:r>
      <w:r>
        <w:rPr>
          <w:b/>
          <w:i w:val="0"/>
        </w:rPr>
        <w:t>peso del bloque en la economía</w:t>
      </w:r>
      <w:r>
        <w:t xml:space="preserve">, medido a lo largo del periodo estudiado. Aunque el conjunto aporta apenas alrededor del </w:t>
      </w:r>
      <w:r>
        <w:rPr>
          <w:b/>
          <w:i w:val="0"/>
        </w:rPr>
        <w:t>0.7 % del producto interno bruto nacional</w:t>
      </w:r>
      <w:r>
        <w:t xml:space="preserve"> (matriz insumo-producto de 2013 y 2018), concentra cerca del </w:t>
      </w:r>
      <w:r>
        <w:rPr>
          <w:b/>
          <w:i w:val="0"/>
        </w:rPr>
        <w:t>60-65 % del PIB de la minería no petrolera</w:t>
      </w:r>
      <w:r>
        <w:t xml:space="preserve"> y del </w:t>
      </w:r>
      <w:r>
        <w:rPr>
          <w:b/>
          <w:i w:val="0"/>
        </w:rPr>
        <w:t>77 % de las exportaciones mineras</w:t>
      </w:r>
      <w:r>
        <w:t xml:space="preserve"> del país. Describir estos diez es, en la práctica, describir la minería metálica y no metálica mexicana de relevancia.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00"/>
            <w:shd w:val="clear" w:color="auto" w:fill="E8E8E8"/>
          </w:tcPr>
          <w:p>
            <w:pPr>
              <w:jc w:val="left"/>
            </w:pPr>
            <w:r/>
            <w:r>
              <w:rPr>
                <w:b/>
                <w:sz w:val="18"/>
              </w:rPr>
              <w:t>Dimensión (bloque de 10 minerales)</w:t>
            </w:r>
          </w:p>
        </w:tc>
        <w:tc>
          <w:tcPr>
            <w:tcW w:type="dxa" w:w="1500"/>
            <w:shd w:val="clear" w:color="auto" w:fill="E8E8E8"/>
          </w:tcPr>
          <w:p>
            <w:pPr>
              <w:jc w:val="left"/>
            </w:pPr>
            <w:r/>
            <w:r>
              <w:rPr>
                <w:b/>
                <w:sz w:val="18"/>
              </w:rPr>
              <w:t>2013</w:t>
            </w:r>
          </w:p>
        </w:tc>
        <w:tc>
          <w:tcPr>
            <w:tcW w:type="dxa" w:w="1500"/>
            <w:shd w:val="clear" w:color="auto" w:fill="E8E8E8"/>
          </w:tcPr>
          <w:p>
            <w:pPr>
              <w:jc w:val="left"/>
            </w:pPr>
            <w:r/>
            <w:r>
              <w:rPr>
                <w:b/>
                <w:sz w:val="18"/>
              </w:rPr>
              <w:t>2018</w:t>
            </w:r>
          </w:p>
        </w:tc>
        <w:tc>
          <w:tcPr>
            <w:tcW w:type="dxa" w:w="2438"/>
            <w:shd w:val="clear" w:color="auto" w:fill="E8E8E8"/>
          </w:tcPr>
          <w:p>
            <w:pPr>
              <w:jc w:val="left"/>
            </w:pPr>
            <w:r/>
            <w:r>
              <w:rPr>
                <w:b/>
                <w:sz w:val="18"/>
              </w:rPr>
              <w:t>Lectura</w:t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/>
            <w:r>
              <w:rPr>
                <w:sz w:val="18"/>
              </w:rPr>
              <w:t>Peso en el PIB nacional</w:t>
            </w:r>
          </w:p>
        </w:tc>
        <w:tc>
          <w:tcPr>
            <w:tcW w:type="dxa" w:w="1500"/>
          </w:tcPr>
          <w:p>
            <w:pPr>
              <w:jc w:val="left"/>
            </w:pPr>
            <w:r/>
            <w:r>
              <w:rPr>
                <w:sz w:val="18"/>
              </w:rPr>
              <w:t>0.70 %</w:t>
            </w:r>
          </w:p>
        </w:tc>
        <w:tc>
          <w:tcPr>
            <w:tcW w:type="dxa" w:w="1500"/>
          </w:tcPr>
          <w:p>
            <w:pPr>
              <w:jc w:val="left"/>
            </w:pPr>
            <w:r/>
            <w:r>
              <w:rPr>
                <w:sz w:val="18"/>
              </w:rPr>
              <w:t>0.71 %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sz w:val="18"/>
              </w:rPr>
              <w:t>pequeño pero estable</w:t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/>
            <w:r>
              <w:rPr>
                <w:sz w:val="18"/>
              </w:rPr>
              <w:t>Peso en el PIB de la minería (212)</w:t>
            </w:r>
          </w:p>
        </w:tc>
        <w:tc>
          <w:tcPr>
            <w:tcW w:type="dxa" w:w="1500"/>
          </w:tcPr>
          <w:p>
            <w:pPr>
              <w:jc w:val="left"/>
            </w:pPr>
            <w:r/>
            <w:r>
              <w:rPr>
                <w:sz w:val="18"/>
              </w:rPr>
              <w:t>65.2 %</w:t>
            </w:r>
          </w:p>
        </w:tc>
        <w:tc>
          <w:tcPr>
            <w:tcW w:type="dxa" w:w="1500"/>
          </w:tcPr>
          <w:p>
            <w:pPr>
              <w:jc w:val="left"/>
            </w:pPr>
            <w:r/>
            <w:r>
              <w:rPr>
                <w:sz w:val="18"/>
              </w:rPr>
              <w:t>61.0 %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sz w:val="18"/>
              </w:rPr>
              <w:t>~⅔ de la minería no petrolera</w:t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/>
            <w:r>
              <w:rPr>
                <w:sz w:val="18"/>
              </w:rPr>
              <w:t>Peso en las exportaciones totales</w:t>
            </w:r>
          </w:p>
        </w:tc>
        <w:tc>
          <w:tcPr>
            <w:tcW w:type="dxa" w:w="1500"/>
          </w:tcPr>
          <w:p>
            <w:pPr>
              <w:jc w:val="left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500"/>
          </w:tcPr>
          <w:p>
            <w:pPr>
              <w:jc w:val="left"/>
            </w:pPr>
            <w:r/>
            <w:r>
              <w:rPr>
                <w:sz w:val="18"/>
              </w:rPr>
              <w:t>2.6 %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sz w:val="18"/>
              </w:rPr>
              <w:t>~77 % de las exportaciones mineras</w:t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/>
            <w:r>
              <w:rPr>
                <w:sz w:val="18"/>
              </w:rPr>
              <w:t>Empleo (puestos de trabajo)</w:t>
            </w:r>
          </w:p>
        </w:tc>
        <w:tc>
          <w:tcPr>
            <w:tcW w:type="dxa" w:w="1500"/>
          </w:tcPr>
          <w:p>
            <w:pPr>
              <w:jc w:val="left"/>
            </w:pPr>
            <w:r/>
            <w:r>
              <w:rPr>
                <w:sz w:val="18"/>
              </w:rPr>
              <w:t>59,474</w:t>
            </w:r>
          </w:p>
        </w:tc>
        <w:tc>
          <w:tcPr>
            <w:tcW w:type="dxa" w:w="1500"/>
          </w:tcPr>
          <w:p>
            <w:pPr>
              <w:jc w:val="left"/>
            </w:pPr>
            <w:r/>
            <w:r>
              <w:rPr>
                <w:sz w:val="18"/>
              </w:rPr>
              <w:t>42,159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sz w:val="18"/>
              </w:rPr>
              <w:t>cae: intensivo en capital</w:t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/>
            <w:r>
              <w:rPr>
                <w:sz w:val="18"/>
              </w:rPr>
              <w:t>Empleo / empleo nacional</w:t>
            </w:r>
          </w:p>
        </w:tc>
        <w:tc>
          <w:tcPr>
            <w:tcW w:type="dxa" w:w="1500"/>
          </w:tcPr>
          <w:p>
            <w:pPr>
              <w:jc w:val="left"/>
            </w:pPr>
            <w:r/>
            <w:r>
              <w:rPr>
                <w:sz w:val="18"/>
              </w:rPr>
              <w:t>0.10 %</w:t>
            </w:r>
          </w:p>
        </w:tc>
        <w:tc>
          <w:tcPr>
            <w:tcW w:type="dxa" w:w="1500"/>
          </w:tcPr>
          <w:p>
            <w:pPr>
              <w:jc w:val="left"/>
            </w:pPr>
            <w:r/>
            <w:r>
              <w:rPr>
                <w:sz w:val="18"/>
              </w:rPr>
              <w:t>0.07 %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sz w:val="18"/>
              </w:rPr>
              <w:t>no es intensivo en trabajo</w:t>
            </w:r>
          </w:p>
        </w:tc>
      </w:tr>
    </w:tbl>
    <w:p>
      <w:pPr>
        <w:spacing w:before="40" w:after="160"/>
      </w:pPr>
      <w:r>
        <w:rPr>
          <w:i/>
          <w:sz w:val="16"/>
        </w:rPr>
        <w:t>Cuadro. Peso del bloque de diez minerales en el PIB, las exportaciones y el empleo (MIP INEGI 2013 y 2018; exportaciones UN Comtrade sobre total del Banco Mundial). Fuente: cálculo propio.</w:t>
      </w:r>
    </w:p>
    <w:p>
      <w:pPr>
        <w:spacing w:after="120" w:line="276" w:lineRule="auto"/>
        <w:jc w:val="both"/>
      </w:pPr>
      <w:r>
        <w:t xml:space="preserve">Su participación en las exportaciones no es estática: </w:t>
      </w:r>
      <w:r>
        <w:rPr>
          <w:b/>
          <w:i w:val="0"/>
        </w:rPr>
        <w:t>oscila entre 1.2 % (mínimo, 2002) y 5.5 % (máximo, 2011)</w:t>
      </w:r>
      <w:r>
        <w:t xml:space="preserve"> siguiendo el ciclo internacional de precios de los metales, un rasgo propio de una economía primario-exportadora tomadora de precios. El valor de la producción del bloque se multiplica por cerca de </w:t>
      </w:r>
      <w:r>
        <w:rPr>
          <w:b/>
          <w:i w:val="0"/>
        </w:rPr>
        <w:t>nueve entre 1992 y 2018</w:t>
      </w:r>
      <w:r>
        <w:t xml:space="preserve"> (por trece hasta 2022), en proporciones </w:t>
      </w:r>
      <w:r>
        <w:rPr>
          <w:b/>
          <w:i w:val="0"/>
        </w:rPr>
        <w:t>casi iguales de mayor volumen (×3.1) y precios más altos (×3.1)</w:t>
      </w:r>
      <w:r>
        <w:t xml:space="preserve">, con el empuje de los precios concentrado en el superciclo de 2004-2013. En contraste, el empleo del sector </w:t>
      </w:r>
      <w:r>
        <w:rPr>
          <w:b/>
          <w:i w:val="0"/>
        </w:rPr>
        <w:t>decrece</w:t>
      </w:r>
      <w:r>
        <w:t xml:space="preserve"> —de 59 mil a 42 mil puestos entre 2013 y 2018— y no rebasa el 0.1 % del empleo nacional: es una actividad intensiva en capital y recurso, no en trabajo, lo que anticipa el diagnóstico de enclave.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1071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so_histor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07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</w:pPr>
      <w:r>
        <w:rPr>
          <w:i/>
          <w:sz w:val="16"/>
        </w:rPr>
        <w:t>Figura. Peso del bloque en las exportaciones (1992-2024, con el pico de 5.5 % en 2011) y descomposición del valor de producción entre precio y volumen (1992-2022; la franja mide el efecto precio). Fuente: elaboración propia con UN Comtrade, Banco Mundial y USGS.</w:t>
      </w:r>
    </w:p>
    <w:p>
      <w:pPr>
        <w:spacing w:before="200" w:after="80"/>
      </w:pPr>
      <w:r>
        <w:rPr>
          <w:b/>
          <w:color w:val="333333"/>
          <w:sz w:val="24"/>
        </w:rPr>
        <w:t>Composición y desplazamiento histórico</w:t>
      </w:r>
    </w:p>
    <w:p>
      <w:pPr>
        <w:spacing w:after="120" w:line="276" w:lineRule="auto"/>
        <w:ind w:firstLine="420"/>
        <w:jc w:val="both"/>
      </w:pPr>
      <w:r>
        <w:t>Dentro del bloque, cuatro metales —</w:t>
      </w:r>
      <w:r>
        <w:rPr>
          <w:b/>
          <w:i w:val="0"/>
        </w:rPr>
        <w:t>cobre, oro, plata y plomo-zinc</w:t>
      </w:r>
      <w:r>
        <w:t xml:space="preserve">— concentran alrededor del 94 % del valor agregado y del 95 % de las exportaciones. A lo largo del periodo se observa un </w:t>
      </w:r>
      <w:r>
        <w:rPr>
          <w:b/>
          <w:i w:val="0"/>
        </w:rPr>
        <w:t>desplazamiento hacia los metales preciosos</w:t>
      </w:r>
      <w:r>
        <w:t>: el oro pasa de cerca del 6 % al 30 % del valor de la producción entre 1992 y 2018, y la plata se sostiene en torno al 19 % (México es el primer productor mundial).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00"/>
            <w:shd w:val="clear" w:color="auto" w:fill="E8E8E8"/>
          </w:tcPr>
          <w:p>
            <w:pPr>
              <w:jc w:val="left"/>
            </w:pPr>
            <w:r/>
            <w:r>
              <w:rPr>
                <w:b/>
                <w:sz w:val="18"/>
              </w:rPr>
              <w:t>Mineral</w:t>
            </w:r>
          </w:p>
        </w:tc>
        <w:tc>
          <w:tcPr>
            <w:tcW w:type="dxa" w:w="1300"/>
            <w:shd w:val="clear" w:color="auto" w:fill="E8E8E8"/>
          </w:tcPr>
          <w:p>
            <w:pPr>
              <w:jc w:val="left"/>
            </w:pPr>
            <w:r/>
            <w:r>
              <w:rPr>
                <w:b/>
                <w:sz w:val="18"/>
              </w:rPr>
              <w:t>1992</w:t>
            </w:r>
          </w:p>
        </w:tc>
        <w:tc>
          <w:tcPr>
            <w:tcW w:type="dxa" w:w="1300"/>
            <w:shd w:val="clear" w:color="auto" w:fill="E8E8E8"/>
          </w:tcPr>
          <w:p>
            <w:pPr>
              <w:jc w:val="left"/>
            </w:pPr>
            <w:r/>
            <w:r>
              <w:rPr>
                <w:b/>
                <w:sz w:val="18"/>
              </w:rPr>
              <w:t>2003</w:t>
            </w:r>
          </w:p>
        </w:tc>
        <w:tc>
          <w:tcPr>
            <w:tcW w:type="dxa" w:w="1300"/>
            <w:shd w:val="clear" w:color="auto" w:fill="E8E8E8"/>
          </w:tcPr>
          <w:p>
            <w:pPr>
              <w:jc w:val="left"/>
            </w:pPr>
            <w:r/>
            <w:r>
              <w:rPr>
                <w:b/>
                <w:sz w:val="18"/>
              </w:rPr>
              <w:t>2018</w:t>
            </w:r>
          </w:p>
        </w:tc>
        <w:tc>
          <w:tcPr>
            <w:tcW w:type="dxa" w:w="2238"/>
            <w:shd w:val="clear" w:color="auto" w:fill="E8E8E8"/>
          </w:tcPr>
          <w:p>
            <w:pPr>
              <w:jc w:val="left"/>
            </w:pPr>
            <w:r/>
            <w:r>
              <w:rPr>
                <w:b/>
                <w:sz w:val="18"/>
              </w:rPr>
              <w:t>Nota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/>
            <w:r>
              <w:rPr>
                <w:sz w:val="18"/>
              </w:rPr>
              <w:t>Cobre</w:t>
            </w:r>
          </w:p>
        </w:tc>
        <w:tc>
          <w:tcPr>
            <w:tcW w:type="dxa" w:w="1300"/>
          </w:tcPr>
          <w:p>
            <w:pPr>
              <w:jc w:val="left"/>
            </w:pPr>
            <w:r/>
            <w:r>
              <w:rPr>
                <w:sz w:val="18"/>
              </w:rPr>
              <w:t>38 %</w:t>
            </w:r>
          </w:p>
        </w:tc>
        <w:tc>
          <w:tcPr>
            <w:tcW w:type="dxa" w:w="1300"/>
          </w:tcPr>
          <w:p>
            <w:pPr>
              <w:jc w:val="left"/>
            </w:pPr>
            <w:r/>
            <w:r>
              <w:rPr>
                <w:sz w:val="18"/>
              </w:rPr>
              <w:t>33 %</w:t>
            </w:r>
          </w:p>
        </w:tc>
        <w:tc>
          <w:tcPr>
            <w:tcW w:type="dxa" w:w="1300"/>
          </w:tcPr>
          <w:p>
            <w:pPr>
              <w:jc w:val="left"/>
            </w:pPr>
            <w:r/>
            <w:r>
              <w:rPr>
                <w:sz w:val="18"/>
              </w:rPr>
              <w:t>30 %</w:t>
            </w:r>
          </w:p>
        </w:tc>
        <w:tc>
          <w:tcPr>
            <w:tcW w:type="dxa" w:w="2238"/>
          </w:tcPr>
          <w:p>
            <w:pPr>
              <w:jc w:val="left"/>
            </w:pPr>
            <w:r/>
            <w:r>
              <w:rPr>
                <w:sz w:val="18"/>
              </w:rPr>
              <w:t>primer lugar, cede peso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/>
            <w:r>
              <w:rPr>
                <w:sz w:val="18"/>
              </w:rPr>
              <w:t>Oro</w:t>
            </w:r>
          </w:p>
        </w:tc>
        <w:tc>
          <w:tcPr>
            <w:tcW w:type="dxa" w:w="1300"/>
          </w:tcPr>
          <w:p>
            <w:pPr>
              <w:jc w:val="left"/>
            </w:pPr>
            <w:r/>
            <w:r>
              <w:rPr>
                <w:sz w:val="18"/>
              </w:rPr>
              <w:t>6 %</w:t>
            </w:r>
          </w:p>
        </w:tc>
        <w:tc>
          <w:tcPr>
            <w:tcW w:type="dxa" w:w="1300"/>
          </w:tcPr>
          <w:p>
            <w:pPr>
              <w:jc w:val="left"/>
            </w:pPr>
            <w:r/>
            <w:r>
              <w:rPr>
                <w:sz w:val="18"/>
              </w:rPr>
              <w:t>12 %</w:t>
            </w:r>
          </w:p>
        </w:tc>
        <w:tc>
          <w:tcPr>
            <w:tcW w:type="dxa" w:w="1300"/>
          </w:tcPr>
          <w:p>
            <w:pPr>
              <w:jc w:val="left"/>
            </w:pPr>
            <w:r/>
            <w:r>
              <w:rPr>
                <w:sz w:val="18"/>
              </w:rPr>
              <w:t>30 %</w:t>
            </w:r>
          </w:p>
        </w:tc>
        <w:tc>
          <w:tcPr>
            <w:tcW w:type="dxa" w:w="2238"/>
          </w:tcPr>
          <w:p>
            <w:pPr>
              <w:jc w:val="left"/>
            </w:pPr>
            <w:r/>
            <w:r>
              <w:rPr>
                <w:sz w:val="18"/>
              </w:rPr>
              <w:t>el gran ascenso (post-2008)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/>
            <w:r>
              <w:rPr>
                <w:sz w:val="18"/>
              </w:rPr>
              <w:t>Plata</w:t>
            </w:r>
          </w:p>
        </w:tc>
        <w:tc>
          <w:tcPr>
            <w:tcW w:type="dxa" w:w="1300"/>
          </w:tcPr>
          <w:p>
            <w:pPr>
              <w:jc w:val="left"/>
            </w:pPr>
            <w:r/>
            <w:r>
              <w:rPr>
                <w:sz w:val="18"/>
              </w:rPr>
              <w:t>15 %</w:t>
            </w:r>
          </w:p>
        </w:tc>
        <w:tc>
          <w:tcPr>
            <w:tcW w:type="dxa" w:w="1300"/>
          </w:tcPr>
          <w:p>
            <w:pPr>
              <w:jc w:val="left"/>
            </w:pPr>
            <w:r/>
            <w:r>
              <w:rPr>
                <w:sz w:val="18"/>
              </w:rPr>
              <w:t>20 %</w:t>
            </w:r>
          </w:p>
        </w:tc>
        <w:tc>
          <w:tcPr>
            <w:tcW w:type="dxa" w:w="1300"/>
          </w:tcPr>
          <w:p>
            <w:pPr>
              <w:jc w:val="left"/>
            </w:pPr>
            <w:r/>
            <w:r>
              <w:rPr>
                <w:sz w:val="18"/>
              </w:rPr>
              <w:t>19 %</w:t>
            </w:r>
          </w:p>
        </w:tc>
        <w:tc>
          <w:tcPr>
            <w:tcW w:type="dxa" w:w="2238"/>
          </w:tcPr>
          <w:p>
            <w:pPr>
              <w:jc w:val="left"/>
            </w:pPr>
            <w:r/>
            <w:r>
              <w:rPr>
                <w:sz w:val="18"/>
              </w:rPr>
              <w:t>alto y estable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/>
            <w:r>
              <w:rPr>
                <w:sz w:val="18"/>
              </w:rPr>
              <w:t>Zinc</w:t>
            </w:r>
          </w:p>
        </w:tc>
        <w:tc>
          <w:tcPr>
            <w:tcW w:type="dxa" w:w="1300"/>
          </w:tcPr>
          <w:p>
            <w:pPr>
              <w:jc w:val="left"/>
            </w:pPr>
            <w:r/>
            <w:r>
              <w:rPr>
                <w:sz w:val="18"/>
              </w:rPr>
              <w:t>22 %</w:t>
            </w:r>
          </w:p>
        </w:tc>
        <w:tc>
          <w:tcPr>
            <w:tcW w:type="dxa" w:w="1300"/>
          </w:tcPr>
          <w:p>
            <w:pPr>
              <w:jc w:val="left"/>
            </w:pPr>
            <w:r/>
            <w:r>
              <w:rPr>
                <w:sz w:val="18"/>
              </w:rPr>
              <w:t>18 %</w:t>
            </w:r>
          </w:p>
        </w:tc>
        <w:tc>
          <w:tcPr>
            <w:tcW w:type="dxa" w:w="1300"/>
          </w:tcPr>
          <w:p>
            <w:pPr>
              <w:jc w:val="left"/>
            </w:pPr>
            <w:r/>
            <w:r>
              <w:rPr>
                <w:sz w:val="18"/>
              </w:rPr>
              <w:t>13 %</w:t>
            </w:r>
          </w:p>
        </w:tc>
        <w:tc>
          <w:tcPr>
            <w:tcW w:type="dxa" w:w="2238"/>
          </w:tcPr>
          <w:p>
            <w:pPr>
              <w:jc w:val="left"/>
            </w:pPr>
            <w:r/>
            <w:r>
              <w:rPr>
                <w:sz w:val="18"/>
              </w:rPr>
              <w:t>desciende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/>
            <w:r>
              <w:rPr>
                <w:sz w:val="18"/>
              </w:rPr>
              <w:t>Plomo</w:t>
            </w:r>
          </w:p>
        </w:tc>
        <w:tc>
          <w:tcPr>
            <w:tcW w:type="dxa" w:w="1300"/>
          </w:tcPr>
          <w:p>
            <w:pPr>
              <w:jc w:val="left"/>
            </w:pPr>
            <w:r/>
            <w:r>
              <w:rPr>
                <w:sz w:val="18"/>
              </w:rPr>
              <w:t>8 %</w:t>
            </w:r>
          </w:p>
        </w:tc>
        <w:tc>
          <w:tcPr>
            <w:tcW w:type="dxa" w:w="1300"/>
          </w:tcPr>
          <w:p>
            <w:pPr>
              <w:jc w:val="left"/>
            </w:pPr>
            <w:r/>
            <w:r>
              <w:rPr>
                <w:sz w:val="18"/>
              </w:rPr>
              <w:t>7 %</w:t>
            </w:r>
          </w:p>
        </w:tc>
        <w:tc>
          <w:tcPr>
            <w:tcW w:type="dxa" w:w="1300"/>
          </w:tcPr>
          <w:p>
            <w:pPr>
              <w:jc w:val="left"/>
            </w:pPr>
            <w:r/>
            <w:r>
              <w:rPr>
                <w:sz w:val="18"/>
              </w:rPr>
              <w:t>4 %</w:t>
            </w:r>
          </w:p>
        </w:tc>
        <w:tc>
          <w:tcPr>
            <w:tcW w:type="dxa" w:w="2238"/>
          </w:tcPr>
          <w:p>
            <w:pPr>
              <w:jc w:val="left"/>
            </w:pPr>
            <w:r/>
            <w:r>
              <w:rPr>
                <w:sz w:val="18"/>
              </w:rPr>
              <w:t>desciende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/>
            <w:r>
              <w:rPr>
                <w:sz w:val="18"/>
              </w:rPr>
              <w:t>Resto (5 minerales)</w:t>
            </w:r>
          </w:p>
        </w:tc>
        <w:tc>
          <w:tcPr>
            <w:tcW w:type="dxa" w:w="1300"/>
          </w:tcPr>
          <w:p>
            <w:pPr>
              <w:jc w:val="left"/>
            </w:pPr>
            <w:r/>
            <w:r>
              <w:rPr>
                <w:sz w:val="18"/>
              </w:rPr>
              <w:t>~11 %</w:t>
            </w:r>
          </w:p>
        </w:tc>
        <w:tc>
          <w:tcPr>
            <w:tcW w:type="dxa" w:w="1300"/>
          </w:tcPr>
          <w:p>
            <w:pPr>
              <w:jc w:val="left"/>
            </w:pPr>
            <w:r/>
            <w:r>
              <w:rPr>
                <w:sz w:val="18"/>
              </w:rPr>
              <w:t>~10 %</w:t>
            </w:r>
          </w:p>
        </w:tc>
        <w:tc>
          <w:tcPr>
            <w:tcW w:type="dxa" w:w="1300"/>
          </w:tcPr>
          <w:p>
            <w:pPr>
              <w:jc w:val="left"/>
            </w:pPr>
            <w:r/>
            <w:r>
              <w:rPr>
                <w:sz w:val="18"/>
              </w:rPr>
              <w:t>~4 %</w:t>
            </w:r>
          </w:p>
        </w:tc>
        <w:tc>
          <w:tcPr>
            <w:tcW w:type="dxa" w:w="2238"/>
          </w:tcPr>
          <w:p>
            <w:pPr>
              <w:jc w:val="left"/>
            </w:pPr>
            <w:r/>
            <w:r>
              <w:rPr>
                <w:sz w:val="18"/>
              </w:rPr>
              <w:t>marginal en valor</w:t>
            </w:r>
          </w:p>
        </w:tc>
      </w:tr>
    </w:tbl>
    <w:p>
      <w:pPr>
        <w:spacing w:before="40" w:after="160"/>
      </w:pPr>
      <w:r>
        <w:rPr>
          <w:i/>
          <w:sz w:val="16"/>
        </w:rPr>
        <w:t>Cuadro. Composición del valor de producción del bloque por mineral (participación %). Fuente: cálculo propio con volúmenes USGS/CAMIMEX y precios USGS.</w:t>
      </w:r>
    </w:p>
    <w:p>
      <w:pPr>
        <w:spacing w:after="120" w:line="276" w:lineRule="auto"/>
        <w:jc w:val="both"/>
      </w:pPr>
      <w:r>
        <w:t xml:space="preserve">Los seis minerales restantes —sílice, fluorita, grafito, manganeso y barita— pesan poco en valor, pero se incorporan por su </w:t>
      </w:r>
      <w:r>
        <w:rPr>
          <w:b/>
          <w:i w:val="0"/>
        </w:rPr>
        <w:t>criticidad estratégica</w:t>
      </w:r>
      <w:r>
        <w:t xml:space="preserve"> como insumos industriales (flúor y fluoropolímeros, vidrio y electrónica, acero, baterías, perforación). La selección de los diez combina, por tanto, </w:t>
      </w:r>
      <w:r>
        <w:rPr>
          <w:b/>
          <w:i w:val="0"/>
        </w:rPr>
        <w:t>peso económico y criticidad</w:t>
      </w:r>
      <w:r>
        <w:t>, y esa dualidad forma parte de la justificación del objeto.</w:t>
      </w:r>
    </w:p>
    <w:p>
      <w:pPr>
        <w:spacing w:after="120" w:line="276" w:lineRule="auto"/>
        <w:jc w:val="both"/>
      </w:pPr>
      <w:r>
        <w:t xml:space="preserve">Este retrato cuantitativo no debilita la elección por el tamaño acotado del sector: la </w:t>
      </w:r>
      <w:r>
        <w:rPr>
          <w:b/>
          <w:i w:val="0"/>
        </w:rPr>
        <w:t>refuerza</w:t>
      </w:r>
      <w:r>
        <w:t xml:space="preserve">. El aporte de la investigación no reside en la magnitud del sector, sino en la </w:t>
      </w:r>
      <w:r>
        <w:rPr>
          <w:b/>
          <w:i w:val="0"/>
        </w:rPr>
        <w:t>caracterización histórica de su inserción</w:t>
      </w:r>
      <w:r>
        <w:t xml:space="preserve"> en las cadenas de valor: un crecimiento traccionado por precios, sin generación proporcional de empleo ni de cadena doméstica —precisamente el enclave estructural que la tesis describe—.</w:t>
      </w:r>
    </w:p>
    <w:p>
      <w:pPr>
        <w:spacing w:before="200"/>
      </w:pPr>
      <w:r>
        <w:rPr>
          <w:i/>
          <w:sz w:val="18"/>
        </w:rPr>
        <w:t>Fuentes: cálculo propio. MIP INEGI 2013/2018 (PIB B.1bP, empleo PT); UN Comtrade 1992-2024; Banco Mundial (exportaciones totales de México); USGS Minerals Yearbook (producción 1992-2003 y 2019-2022) y CAMIMEX (2004-2018); precios USGS empalmados. Detalle y validación en la memoria «Peso del bloque de 10 minerales (PIB, exportaciones, empleo)» y en el Catálogo de Bases de Datos, §21.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