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Anexo D. Declaración de vacíos por indicador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s-ES"/>
            </w:rP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7764333cf08ba1386d301b518874557262d1c04"/>
    <w:p>
      <w:pPr>
        <w:pStyle w:val="Heading1"/>
      </w:pPr>
      <w:r>
        <w:rPr>
          <w:lang w:val="es-ES"/>
        </w:rPr>
        <w:t xml:space="preserve">Anexo D. Declaración de vacíos por indicador</w:t>
      </w:r>
    </w:p>
    <w:p>
      <w:pPr>
        <w:pStyle w:val="FirstParagraph"/>
      </w:pPr>
      <w:r>
        <w:rPr>
          <w:lang w:val="es-ES"/>
        </w:rPr>
        <w:t xml:space="preserve">Fiel al criterio metodológico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declarar, no imputar</w:t>
      </w:r>
      <w:r>
        <w:rPr>
          <w:lang w:val="es-ES"/>
        </w:rPr>
        <w:t xml:space="preserve"> </w:t>
      </w:r>
      <w:r>
        <w:rPr>
          <w:lang w:val="es-ES"/>
        </w:rPr>
        <w:t xml:space="preserve">(Capítulo III, III.11), este anexo detalla, para cada indicador, los vacíos de sus series, su causa y el tratamiento aplicado. Ningún vacío se rellenó con supuestos; cuando se completó, se hizo con una fuente identificada y marcada.</w:t>
      </w:r>
    </w:p>
    <w:p>
      <w:pPr>
        <w:pStyle w:val="TableCaption"/>
      </w:pPr>
      <w:r>
        <w:rPr>
          <w:b/>
          <w:bCs/>
          <w:lang w:val="es-ES"/>
        </w:rPr>
        <w:t xml:space="preserve">Cuadro D.1.</w:t>
      </w:r>
      <w:r>
        <w:rPr>
          <w:lang w:val="es-ES"/>
        </w:rPr>
        <w:t xml:space="preserve"> </w:t>
      </w:r>
      <w:r>
        <w:rPr>
          <w:lang w:val="es-ES"/>
        </w:rPr>
        <w:t xml:space="preserve">Declaración de vacíos por indicador, causa y tratamiento. Fuente: elaboración propia.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uadro D.1. Declaración de vacíos por indicador, causa y tratamiento. Fuente: elaboración propia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Vacío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Causa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Tratamiento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HHI concentración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1994-2003 sin desglose por empresa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Ausencia de datos de participación por empresa en fuentes abiertas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Declarado; recuperación futura con USGS</w:t>
            </w:r>
            <w:r>
              <w:rPr>
                <w:lang w:val="es-ES"/>
              </w:rPr>
              <w:t xml:space="preserve"> </w:t>
            </w:r>
            <w:r>
              <w:rPr>
                <w:i/>
                <w:iCs/>
                <w:lang w:val="es-ES"/>
              </w:rPr>
              <w:t xml:space="preserve">Minerals Yearbook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histórico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HHI concentración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2004-2020 aproximado (cota inferior)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Reconstrucción por régimen de mercado (líder + grupos, residual atomístico)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No comparable en nivel con 2021-2024 (por mina); se lee por trayectoria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HHI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Sílice sin dato 2024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Falta distribución por empresa ese año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Declarado; se usa el dato más reciente disponible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CCV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Plomo 1994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Sin comercio espejo para completar el hueco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Declarado, no imputado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CCV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Oro y plata no informativos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Artefacto de ley (el valor unitario refleja la ley, no la forma)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Se sustituye por el comercio por etapa (Cap. VII)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CCV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Años completados por espejo (valores CIF)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El numerador propio (FOB) tenía huecos de peso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Marcados como espejo; se leen con reserva por posible sobrestimación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Encadenamientos MIP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Plomo y zinc en clase combinada (212232)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Coextracción; el INEGI no los separa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Reportados de forma conjunta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Encadenamientos por eslabón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Clases de transformación no atribuibles por mineral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Las clases 331/325 agregan varios minerales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El valor no se atribuye al mineral; se ancla con comercio y capacidad instalada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Encadenamientos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Corte 2008 no encadenado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Cambio de año base y de clasificación SCIAN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Referencia histórica; se lee por patrón y orden, no por nivel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Comercio por etapa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Destino = socio declarado (Comtrade)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Reexportación y</w:t>
            </w:r>
            <w:r>
              <w:rPr>
                <w:lang w:val="es-ES"/>
              </w:rPr>
              <w:t xml:space="preserve"> </w:t>
            </w:r>
            <w:r>
              <w:rPr>
                <w:i/>
                <w:iCs/>
                <w:lang w:val="es-ES"/>
              </w:rPr>
              <w:t xml:space="preserve">entrepôt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no depurados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Declarado; no altera la dirección del desplazamiento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Comparación internacional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Nivel sector-minería agregado, no por mineral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La clasificación ISIC de OECD ICIO no desagrega por mineral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Se cruza con el comercio por etapa por mineral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Peso del bloque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PIB y empleo solo en cortes de MIP (2013, 2018)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La MIP no es anual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Declarado; las series de valor y exportaciones sí son anuales</w:t>
            </w:r>
          </w:p>
        </w:tc>
      </w:tr>
    </w:tbl>
    <w:p>
      <w:pPr>
        <w:pStyle w:val="BodyText"/>
      </w:pPr>
      <w:r>
        <w:rPr>
          <w:lang w:val="es-ES"/>
        </w:rPr>
        <w:t xml:space="preserve">La convergencia de indicadores independientes —estructura, encadenamientos, captura de valor, comercio por etapa y comparación internacional— sostiene el retrato descriptivo sin que ninguno de estos vacíos comprometa las conclusiones.</w:t>
      </w:r>
    </w:p>
    <w:bookmarkEnd w:id="9"/>
    <w:sectPr>
      <w:footnotePr>
        <w:numRestart w:val="eachSect"/>
      </w:footnotePr>
      <w:pgSz w:h="15840" w:w="12240"/>
      <w:pgMar w:bottom="1417" w:left="1701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  <w:jc w:val="both"/>
    </w:pPr>
    <w:rPr>
      <w:rFonts w:ascii="Times New Roman" w:cs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20" w:before="0" w:line="360" w:lineRule="auto"/>
      <w:jc w:val="both"/>
    </w:pPr>
    <w:rPr>
      <w:rFonts w:ascii="Times New Roman" w:cs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  <w:jc w:val="both"/>
    </w:pPr>
    <w:rPr>
      <w:rFonts w:ascii="Times New Roman" w:cs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120" w:before="0" w:line="360" w:lineRule="auto"/>
      <w:jc w:val="both"/>
    </w:pPr>
    <w:rPr>
      <w:rFonts w:ascii="Times New Roman" w:cs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276" w:lineRule="auto"/>
      <w:jc w:val="left"/>
      <w:outlineLvl w:val="0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76" w:lineRule="auto"/>
      <w:jc w:val="left"/>
      <w:outlineLvl w:val="1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="276" w:lineRule="auto"/>
      <w:jc w:val="left"/>
      <w:outlineLvl w:val="2"/>
    </w:pPr>
    <w:rPr>
      <w:rFonts w:ascii="Times New Roman" w:cs="Times New Roman" w:cstheme="majorBidi" w:eastAsiaTheme="majorEastAsia" w:hAnsi="Times New Roman"/>
      <w:b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 w:line="276" w:lineRule="auto"/>
      <w:jc w:val="left"/>
      <w:outlineLvl w:val="3"/>
    </w:pPr>
    <w:rPr>
      <w:rFonts w:ascii="Times New Roman" w:cs="Times New Roman" w:cstheme="majorBidi" w:eastAsiaTheme="majorEastAsia" w:hAnsi="Times New Roman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200" w:before="60" w:line="240" w:lineRule="auto"/>
      <w:jc w:val="left"/>
    </w:pPr>
    <w:rPr>
      <w:rFonts w:ascii="Times New Roman" w:cs="Times New Roman" w:hAnsi="Times New Roman"/>
      <w:i w:val="0"/>
      <w:sz w:val="20"/>
    </w:rPr>
  </w:style>
  <w:style w:customStyle="1" w:styleId="ImageCaption" w:type="paragraph">
    <w:name w:val="Image Caption"/>
    <w:basedOn w:val="Caption"/>
    <w:pPr>
      <w:spacing w:after="200" w:before="60" w:line="240" w:lineRule="auto"/>
      <w:jc w:val="left"/>
    </w:pPr>
    <w:rPr>
      <w:rFonts w:ascii="Times New Roman" w:cs="Times New Roman" w:hAnsi="Times New Roman"/>
      <w:i w:val="0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D. Declaración de vacíos por indicador</dc:title>
  <dc:creator/>
  <dc:language>es-ES</dc:language>
  <cp:keywords/>
  <dcterms:created xsi:type="dcterms:W3CDTF">2026-09-16T18:52:23Z</dcterms:created>
  <dcterms:modified xsi:type="dcterms:W3CDTF">2026-09-16T18:52:23Z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chapter">
    <vt:lpwstr>D</vt:lpwstr>
  </property>
  <property fmtid="{D5CDD505-2E9C-101B-9397-08002B2CF9AE}" pid="4" name="csl">
    <vt:lpwstr>pandoc\apa.csl</vt:lpwstr>
  </property>
</Properties>
</file>