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Capítulo II. Marco conceptual y teórico</w:t>
      </w:r>
    </w:p>
    <w:sdt>
      <w:sdtPr>
        <w:docPartObj>
          <w:docPartGallery w:val="Table of Contents"/>
          <w:docPartUnique/>
        </w:docPartObj>
      </w:sdtPr>
      <w:sdtContent>
        <w:p>
          <w:pPr>
            <w:pStyle w:val="TOCHeading"/>
          </w:pPr>
          <w:r>
            <w:rPr>
              <w:lang w:val="es-ES"/>
            </w:rPr>
            <w:t xml:space="preserve">Table of Contents</w:t>
          </w:r>
        </w:p>
        <w:p>
          <w:r>
            <w:fldChar w:fldCharType="begin" w:dirty="true"/>
            <w:instrText xml:space="preserve">TOC \o "1-3" \h \z \u</w:instrText>
            <w:fldChar w:fldCharType="separate"/>
            <w:fldChar w:fldCharType="end"/>
          </w:r>
        </w:p>
      </w:sdtContent>
    </w:sdt>
    <w:bookmarkStart w:id="9" w:name="índice-de-cuadros"/>
    <w:p>
      <w:pPr>
        <w:pStyle w:val="Heading1"/>
      </w:pPr>
      <w:r>
        <w:rPr>
          <w:lang w:val="es-ES"/>
        </w:rPr>
        <w:t xml:space="preserve">Índice de cuadros</w:t>
      </w:r>
    </w:p>
    <w:p>
      <w:pPr>
        <w:pStyle w:val="FirstParagraph"/>
      </w:pPr>
      <w:r>
        <w:rPr>
          <w:lang w:val="es-ES"/>
        </w:rPr>
        <w:t xml:space="preserve">Cuadro II.1. Producto de mayor criticidad por mineral y su base oficial. Escala: estratégico &gt; crítico &gt; medio &gt; bajo. Fuente: USGS (2022, 2025), UE (CRMA, 2023) e IEA; clasificación en criticidad_productos.csv.</w:t>
      </w:r>
    </w:p>
    <w:bookmarkEnd w:id="9"/>
    <w:bookmarkStart w:id="27" w:name="capítulo-ii.-marco-conceptual-y-teórico"/>
    <w:p>
      <w:pPr>
        <w:pStyle w:val="Heading1"/>
      </w:pPr>
      <w:r>
        <w:rPr>
          <w:lang w:val="es-ES"/>
        </w:rPr>
        <w:t xml:space="preserve">Capítulo II. Marco conceptual y teórico</w:t>
      </w:r>
    </w:p>
    <w:p>
      <w:pPr>
        <w:pStyle w:val="FirstParagraph"/>
      </w:pPr>
      <w:r>
        <w:rPr>
          <w:lang w:val="es-ES"/>
        </w:rPr>
        <w:t xml:space="preserve">Este capítulo cumple tres funciones. Primero, define con precisión los conceptos centrales de la investigación —mineral crítico, materia prima estratégica y coeficiente de captura de valor— y establece las distinciones y relaciones entre ellos. Segundo, justifica la selección del corpus de diez minerales a partir de criterios metodológicos explícitos, documentados en la literatura oficial y académica. Tercero, sitúa la investigación en sus tres tradiciones teóricas: la economía del desarrollo en su vertiente estructuralista latinoamericana, la economía industrial en su paradigma Estructura-Conducta-Desempeño, y la economía institucional.</w:t>
      </w:r>
    </w:p>
    <w:bookmarkStart w:id="13" w:name="X8e73fa3879eabe4577263d34580e6e94ae0cbbd"/>
    <w:p>
      <w:pPr>
        <w:pStyle w:val="Heading2"/>
      </w:pPr>
      <w:r>
        <w:rPr>
          <w:lang w:val="es-ES"/>
        </w:rPr>
        <w:t xml:space="preserve">II.1 Definición de mineral crítico y términos relacionados</w:t>
      </w:r>
    </w:p>
    <w:bookmarkStart w:id="10" w:name="ii.1.1-el-concepto-de-mineral-crítico"/>
    <w:p>
      <w:pPr>
        <w:pStyle w:val="Heading3"/>
      </w:pPr>
      <w:r>
        <w:rPr>
          <w:lang w:val="es-ES"/>
        </w:rPr>
        <w:t xml:space="preserve">II.1.1 El concepto de mineral crítico</w:t>
      </w:r>
    </w:p>
    <w:p>
      <w:pPr>
        <w:pStyle w:val="FirstParagraph"/>
      </w:pPr>
      <w:r>
        <w:rPr>
          <w:lang w:val="es-ES"/>
        </w:rPr>
        <w:t xml:space="preserve">El término mineral crítico —o en inglés critical mineral— no tiene una definición universal fija: su contenido varía según el país, la institución y el momento histórico que lo acuña. El Foro Intergubernamental sobre Minería, Minerales, Metales y Desarrollo Sostenible (IGF) lo define en términos de dos dimensiones que deben concurrir simultáneamente: la importancia económica del mineral para uno o más sectores clave de la economía, y el riesgo de interrupción de su suministro derivado de factores geológicos, geopolíticos, tecnológicos o comerciales (Hendriwardani y Ramdoo, 2022). La tensión entre esas dos dimensiones es la que hace a un mineral «crítico»: no basta con que sea económicamente importante si su suministro es abundante y diversificado; tampoco basta con que sea escaso si su uso económico es marginal.</w:t>
      </w:r>
    </w:p>
    <w:p>
      <w:pPr>
        <w:pStyle w:val="BodyText"/>
      </w:pPr>
      <w:r>
        <w:rPr>
          <w:lang w:val="es-ES"/>
        </w:rPr>
        <w:t xml:space="preserve">El mismo IGF advierte explícitamente que la criticidad depende mucho del contexto y el país, sobre todo respecto de la dotación de minerales, la importancia relativa de los minerales para el desarrollo industrial y económico, y la evaluación estratégica de los riesgos del suministro (Hendriwardani y Ramdoo, 2022, p. 3). Esta advertencia es metodológicamente relevante para la presente investigación, porque implica que la lista de minerales críticos pertinente para México no es necesariamente idéntica a la que elaboran la Unión Europea o Estados Unidos desde la perspectiva de países importadores netos.</w:t>
      </w:r>
    </w:p>
    <w:bookmarkEnd w:id="10"/>
    <w:bookmarkStart w:id="11" w:name="Xa9d9293c19dc23d212fe1eed9bd01337f2ff497"/>
    <w:p>
      <w:pPr>
        <w:pStyle w:val="Heading3"/>
      </w:pPr>
      <w:r>
        <w:rPr>
          <w:lang w:val="es-ES"/>
        </w:rPr>
        <w:t xml:space="preserve">II.1.2 Materias primas estratégicas y minerales estratégicos</w:t>
      </w:r>
    </w:p>
    <w:p>
      <w:pPr>
        <w:pStyle w:val="FirstParagraph"/>
      </w:pPr>
      <w:r>
        <w:rPr>
          <w:lang w:val="es-ES"/>
        </w:rPr>
        <w:t xml:space="preserve">Los términos materia prima estratégica y mineral estratégico son frecuentes en la literatura de política industrial y en los documentos de política exterior, y se superponen parcialmente con el de mineral crítico, aunque no son sinónimos. En el uso de la Comisión Europea, la noción de materia prima estratégica (strategic raw material) se reserva para aquellos materiales que son simultáneamente críticos —en el sentido de alto riesgo de suministro y alta importancia económica— y relevantes para las cadenas de valor de las tecnologías de transición energética y digitalización, como el grafito, el cobalto o el litio (European Commission, 2023). En el marco de la política exterior estadounidense, el término mineral estratégico ha tendido a usarse históricamente en un sentido más amplio, asociado a la seguridad nacional y la defensa, y fue reactivado por la orden ejecutiva del 20 de marzo de 2025 que declaró al oro, el cobre y el uranio como minerales críticos para efectos de seguridad nacional (The White House, 2025).</w:t>
      </w:r>
    </w:p>
    <w:p>
      <w:pPr>
        <w:pStyle w:val="BodyText"/>
      </w:pPr>
      <w:r>
        <w:rPr>
          <w:lang w:val="es-ES"/>
        </w:rPr>
        <w:t xml:space="preserve">Para los efectos de esta investigación, los tres términos se usan de la siguiente manera. El término mineral crítico es el genérico y el más amplio, y se aplica a cualquier mineral que, en el contexto de un país o región específica, satisfaga las dos dimensiones del IGF: importancia económica y riesgo de suministro. El término materia prima estratégica se usa de forma intercambiable con mineral crítico cuando se quiere enfatizar la dimensión de política industrial o de política exterior, particularmente en el contexto de la negociación binacional México-Estados Unidos. El término mineral estratégico se reserva para el contexto específico de la política de seguridad nacional, siguiendo el uso de los documentos oficiales. En todos los casos, la unidad de análisis es el mineral o grupo de minerales producidos en México, y la perspectiva es la de un país productor —no importador— que evalúa su posición en las cadenas de valor globales.</w:t>
      </w:r>
    </w:p>
    <w:bookmarkEnd w:id="11"/>
    <w:bookmarkStart w:id="12" w:name="X22265428d05d7e90a764823f1e1337905ec746f"/>
    <w:p>
      <w:pPr>
        <w:pStyle w:val="Heading3"/>
      </w:pPr>
      <w:r>
        <w:rPr>
          <w:lang w:val="es-ES"/>
        </w:rPr>
        <w:t xml:space="preserve">II.1.3 La distinción entre criticidad desde el país importador y desde el país productor</w:t>
      </w:r>
    </w:p>
    <w:p>
      <w:pPr>
        <w:pStyle w:val="FirstParagraph"/>
      </w:pPr>
      <w:r>
        <w:rPr>
          <w:lang w:val="es-ES"/>
        </w:rPr>
        <w:t xml:space="preserve">La literatura distingue dos perspectivas para determinar la criticidad de un mineral. La perspectiva de seguridad y control del suministro es la que adoptan los países importadores netos como la Unión Europea, Estados Unidos o Japón: para ellos, un mineral es crítico si es escaso en su territorio, si su producción mundial está concentrada en pocos países o empresas, y si su interrupción generaría pérdidas económicas significativas. Es la perspectiva que subyace a las listas del USGS y la Comisión Europea. La perspectiva de captura de valor es la que adoptan los países con posición dominante en la oferta, como Canadá, Australia o Chile: para ellos, un mineral es crítico no porque escasee, sino porque su abundancia puede convertirse en ventaja competitiva en la cadena de suministro mundial, y el desafío es transitar de exportadores de materia prima a participantes en etapas superiores de valor (Hendriwardani y Ramdoo, 2022).</w:t>
      </w:r>
    </w:p>
    <w:p>
      <w:pPr>
        <w:pStyle w:val="BodyText"/>
      </w:pPr>
      <w:r>
        <w:rPr>
          <w:lang w:val="es-ES"/>
        </w:rPr>
        <w:t xml:space="preserve">México encaja estructuralmente con la segunda perspectiva. Como lo señalaron en febrero de 2026 la directora del Servicio Geológico Mexicano, Flor de María Harp, y el secretario de Economía, Marcelo Ebrard, la condición de crítico varía de nación en nación: México sí cuenta, a diferencia de otras economías, con reservas, capacidad de extracción y cadenas de valor —en distintos grados de desarrollo— para los diez minerales analizados en esta investigación. Esta distinción no es meramente semántica: tiene implicaciones directas para el tipo de política pública que resulta apropiada, pues los instrumentos relevantes para un importador neto (acuerdos de acceso, reservas estratégicas, diversificación de proveedores) son distintos de los relevantes para un exportador productor (política industrial de encadenamiento hacia adelante, incentivos a la integración vertical, condicionamiento de las concesiones).</w:t>
      </w:r>
    </w:p>
    <w:bookmarkEnd w:id="12"/>
    <w:bookmarkEnd w:id="13"/>
    <w:bookmarkStart w:id="19" w:name="X0aa6a3374ba1db600103caac27449fca5e4de1c"/>
    <w:p>
      <w:pPr>
        <w:pStyle w:val="Heading2"/>
      </w:pPr>
      <w:r>
        <w:rPr>
          <w:lang w:val="es-ES"/>
        </w:rPr>
        <w:t xml:space="preserve">II.2 Justificación del corpus de diez minerales</w:t>
      </w:r>
    </w:p>
    <w:p>
      <w:pPr>
        <w:pStyle w:val="FirstParagraph"/>
      </w:pPr>
      <w:r>
        <w:rPr>
          <w:lang w:val="es-ES"/>
        </w:rPr>
        <w:t xml:space="preserve">La investigación analiza los siguientes diez minerales: barita, cobre, fluorita, grafito, manganeso, oro, plata, plomo, sílice y zinc. La selección no es arbitraria: resulta de la confluencia de tres criterios que se aplican de forma simultánea.</w:t>
      </w:r>
    </w:p>
    <w:bookmarkStart w:id="14" w:name="Xa99ea6e0017d0b940c9cb8817b306181c424156"/>
    <w:p>
      <w:pPr>
        <w:pStyle w:val="Heading3"/>
      </w:pPr>
      <w:r>
        <w:rPr>
          <w:lang w:val="es-ES"/>
        </w:rPr>
        <w:t xml:space="preserve">II.2.1 Criterio 1: presencia en las listas oficiales de criticidad</w:t>
      </w:r>
    </w:p>
    <w:p>
      <w:pPr>
        <w:pStyle w:val="FirstParagraph"/>
      </w:pPr>
      <w:r>
        <w:rPr>
          <w:lang w:val="es-ES"/>
        </w:rPr>
        <w:t xml:space="preserve">El primer criterio es que el mineral figure en al menos una de las dos listas de criticidad de mayor influencia geopolítica para México: la lista del USGS (2025a) o la de la Comisión Europea (European Commission, 2023). Micheli Thirion y Cortés Morales (2026) documentan que, del cruce de ambas listas con los minerales que efectivamente produce México, resultan los mismos diez minerales analizados en esta investigación, con variaciones en qué lista incluye a cada uno: ocho de los diez figuran en la lista estadounidense, seis en la europea, y varios en ambas. El manganeso, la plata, el plomo, el zinc y el oro son reconocidos únicamente por la lista estadounidense; la fluorita, la barita, el grafito, el cobre y la sílice aparecen también en la lista europea.</w:t>
      </w:r>
    </w:p>
    <w:p>
      <w:pPr>
        <w:pStyle w:val="BodyText"/>
      </w:pPr>
      <w:r>
        <w:rPr>
          <w:lang w:val="es-ES"/>
        </w:rPr>
        <w:t xml:space="preserve">El caso del oro merece una mención específica: fue declarado mineral crítico para efectos de seguridad nacional por una orden ejecutiva presidencial del 20 de marzo de 2025 (The White House, 2025), un giro histórico respecto de su tratamiento tradicional como reserva de valor más que como insumo industrial crítico, motivado por su creciente uso en dispositivos digitales y electrónica de precisión (Micheli Thirion y Cortés Morales, 2026, p. 3).</w:t>
      </w:r>
    </w:p>
    <w:bookmarkEnd w:id="14"/>
    <w:bookmarkStart w:id="15" w:name="X5ec3b5a7f2335102c31ef1fc9ed50ec1d755945"/>
    <w:p>
      <w:pPr>
        <w:pStyle w:val="Heading3"/>
      </w:pPr>
      <w:r>
        <w:rPr>
          <w:lang w:val="es-ES"/>
        </w:rPr>
        <w:t xml:space="preserve">II.2.2 Criterio 2: producción comercial documentada en México</w:t>
      </w:r>
    </w:p>
    <w:p>
      <w:pPr>
        <w:pStyle w:val="FirstParagraph"/>
      </w:pPr>
      <w:r>
        <w:rPr>
          <w:lang w:val="es-ES"/>
        </w:rPr>
        <w:t xml:space="preserve">El segundo criterio es que México tenga producción comercial relevante del mineral, con estructura empresarial identificable y datos de concentración de mercado verificables para el periodo 1993-2025. Este criterio excluye minerales que, aunque presentes en las listas internacionales, no tienen producción comercial en México al cierre de esta investigación: el litio, el cobalto, el níquel y las tierras raras no cumplen este requisito. Según información del propio Servicio Geológico Mexicano, en febrero de 2026, México depende del 100% de las importaciones para catorce minerales, entre ellos litio, cobalto, titanio y cromo. Estudiar la conformación histórica de mercados de minerales que México no produce no tendría el mismo sentido empírico que el ejercicio de concentración empresarial que es el objeto central de esta tesis.</w:t>
      </w:r>
    </w:p>
    <w:bookmarkEnd w:id="15"/>
    <w:bookmarkStart w:id="16" w:name="X6ce92c9447b8f7e96c91c337455f461c180247c"/>
    <w:p>
      <w:pPr>
        <w:pStyle w:val="Heading3"/>
      </w:pPr>
      <w:r>
        <w:rPr>
          <w:lang w:val="es-ES"/>
        </w:rPr>
        <w:t xml:space="preserve">II.2.3 Criterio 3: variación en la estructura de mercado</w:t>
      </w:r>
    </w:p>
    <w:p>
      <w:pPr>
        <w:pStyle w:val="FirstParagraph"/>
      </w:pPr>
      <w:r>
        <w:rPr>
          <w:lang w:val="es-ES"/>
        </w:rPr>
        <w:t xml:space="preserve">El tercer criterio es metodológico: el corpus debe incluir minerales con estructuras de mercado suficientemente heterogéneas como para que la caracterización comparativa cubra todo el rango de concentración. Los diez minerales seleccionados satisfacen este criterio de forma excepcional: el HHI oscila desde 10,000 en manganeso —monopolio de Compañía Minera Autlán desde 1993—, la fluorita (desde la consolidación de 2012) y el grafito (productor único desde 2014), hasta valores mucho menores en los minerales con más productores, como el oro y la plata (HHI &lt; 2,000), pasando por grados intermedios y por casos de concentración decreciente como el de la barita. Esta variación permite describir y comparar la relación entre concentración de mercado y encadenamiento productivo a lo largo de todo el espectro, sin presuponer una dirección causal.</w:t>
      </w:r>
    </w:p>
    <w:bookmarkEnd w:id="16"/>
    <w:bookmarkStart w:id="17" w:name="X5a50ee396f4db31c4d9e0131b963b5eb3a5e380"/>
    <w:p>
      <w:pPr>
        <w:pStyle w:val="Heading3"/>
      </w:pPr>
      <w:r>
        <w:rPr>
          <w:lang w:val="es-ES"/>
        </w:rPr>
        <w:t xml:space="preserve">II.2.4 El espectro de concentración del corpus</w:t>
      </w:r>
    </w:p>
    <w:p>
      <w:pPr>
        <w:pStyle w:val="FirstParagraph"/>
      </w:pPr>
      <w:r>
        <w:rPr>
          <w:lang w:val="es-ES"/>
        </w:rPr>
        <w:t xml:space="preserve">En lugar de designar un único mineral como caso de contraste, el corpus se describe a lo largo de todo su espectro de concentración. En el extremo más concentrado se ubican el manganeso (productor único), la fluorita (monopolio de grupo desde la consolidación de enero de 2012) y el grafito (productor formal único desde 2014). En el extremo de menor concentración se ubican los minerales con más productores —oro y plata (HHI &lt; 2,000)— y la barita, cuyo líder ha reducido su participación de forma sostenida (Baramin, de aproximadamente 82% en 2021 a 24.6% en 2024). La revisión de los datos de producción por empresa mostró que dos minerales que inicialmente se supusieron fragmentados no lo son: la sílice está concentrada en Grupo Materias Primas (subsidiaria de Covia Corporation), como se documenta en IV.10, y el grafito, lejos de estar atomizado, es un mercado concentrado según la Tabla 2 del USGS. El corpus, por tanto, no incluye un mercado genuinamente atomizado; su valor descriptivo está en cubrir el rango de estructuras y verificar cómo varía el encadenamiento a lo largo de él.</w:t>
      </w:r>
    </w:p>
    <w:tbl>
      <w:tblPr>
        <w:tblStyle w:val="Table"/>
        <w:tblW w:type="pct" w:w="4943"/>
        <w:tblLayout w:type="fixed"/>
        <w:tblLook w:firstRow="1" w:lastRow="0" w:firstColumn="0" w:lastColumn="0" w:noHBand="0" w:noVBand="0" w:val="0020"/>
      </w:tblPr>
      <w:tblGrid>
        <w:gridCol w:w="633"/>
        <w:gridCol w:w="995"/>
        <w:gridCol w:w="905"/>
        <w:gridCol w:w="1629"/>
        <w:gridCol w:w="3665"/>
      </w:tblGrid>
      <w:tr>
        <w:trPr>
          <w:tblHeader w:val="on"/>
        </w:trPr>
        <w:tc>
          <w:tcPr/>
          <w:p>
            <w:pPr>
              <w:pStyle w:val="Compact"/>
              <w:jc w:val="left"/>
            </w:pPr>
            <w:r>
              <w:rPr>
                <w:b/>
                <w:bCs/>
                <w:lang w:val="es-ES"/>
              </w:rPr>
              <w:t xml:space="preserve">Mineral</w:t>
            </w:r>
          </w:p>
        </w:tc>
        <w:tc>
          <w:tcPr/>
          <w:p>
            <w:pPr>
              <w:pStyle w:val="Compact"/>
              <w:jc w:val="left"/>
            </w:pPr>
            <w:r>
              <w:rPr>
                <w:b/>
                <w:bCs/>
                <w:lang w:val="es-ES"/>
              </w:rPr>
              <w:t xml:space="preserve">Lista USGS 2025</w:t>
            </w:r>
          </w:p>
        </w:tc>
        <w:tc>
          <w:tcPr/>
          <w:p>
            <w:pPr>
              <w:pStyle w:val="Compact"/>
              <w:jc w:val="left"/>
            </w:pPr>
            <w:r>
              <w:rPr>
                <w:b/>
                <w:bCs/>
                <w:lang w:val="es-ES"/>
              </w:rPr>
              <w:t xml:space="preserve">Lista UE 2023</w:t>
            </w:r>
          </w:p>
        </w:tc>
        <w:tc>
          <w:tcPr/>
          <w:p>
            <w:pPr>
              <w:pStyle w:val="Compact"/>
              <w:jc w:val="left"/>
            </w:pPr>
            <w:r>
              <w:rPr>
                <w:b/>
                <w:bCs/>
                <w:lang w:val="es-ES"/>
              </w:rPr>
              <w:t xml:space="preserve">HHI estimado (aprox.)</w:t>
            </w:r>
          </w:p>
        </w:tc>
        <w:tc>
          <w:tcPr/>
          <w:p>
            <w:pPr>
              <w:pStyle w:val="Compact"/>
              <w:jc w:val="left"/>
            </w:pPr>
            <w:r>
              <w:rPr>
                <w:b/>
                <w:bCs/>
                <w:lang w:val="es-ES"/>
              </w:rPr>
              <w:t xml:space="preserve">Tipo de estructura</w:t>
            </w:r>
          </w:p>
        </w:tc>
      </w:tr>
      <w:tr>
        <w:tc>
          <w:tcPr/>
          <w:p>
            <w:pPr>
              <w:pStyle w:val="Compact"/>
              <w:jc w:val="left"/>
            </w:pPr>
            <w:r>
              <w:rPr>
                <w:lang w:val="es-ES"/>
              </w:rPr>
              <w:t xml:space="preserve">Barita</w:t>
            </w:r>
          </w:p>
        </w:tc>
        <w:tc>
          <w:tcPr/>
          <w:p>
            <w:pPr>
              <w:pStyle w:val="Compact"/>
              <w:jc w:val="left"/>
            </w:pPr>
            <w:r>
              <w:rPr>
                <w:lang w:val="es-ES"/>
              </w:rPr>
              <w:t xml:space="preserve">Sí</w:t>
            </w:r>
          </w:p>
        </w:tc>
        <w:tc>
          <w:tcPr/>
          <w:p>
            <w:pPr>
              <w:pStyle w:val="Compact"/>
              <w:jc w:val="left"/>
            </w:pPr>
            <w:r>
              <w:rPr>
                <w:lang w:val="es-ES"/>
              </w:rPr>
              <w:t xml:space="preserve">Sí</w:t>
            </w:r>
          </w:p>
        </w:tc>
        <w:tc>
          <w:tcPr/>
          <w:p>
            <w:pPr>
              <w:pStyle w:val="Compact"/>
              <w:jc w:val="left"/>
            </w:pPr>
            <w:r>
              <w:rPr>
                <w:lang w:val="es-ES"/>
              </w:rPr>
              <w:t xml:space="preserve">&lt; 3,000</w:t>
            </w:r>
          </w:p>
        </w:tc>
        <w:tc>
          <w:tcPr/>
          <w:p>
            <w:pPr>
              <w:pStyle w:val="Compact"/>
              <w:jc w:val="left"/>
            </w:pPr>
            <w:r>
              <w:rPr>
                <w:lang w:val="es-ES"/>
              </w:rPr>
              <w:t xml:space="preserve">Oligopolio (4 empresas)</w:t>
            </w:r>
          </w:p>
        </w:tc>
      </w:tr>
      <w:tr>
        <w:tc>
          <w:tcPr/>
          <w:p>
            <w:pPr>
              <w:pStyle w:val="Compact"/>
              <w:jc w:val="left"/>
            </w:pPr>
            <w:r>
              <w:rPr>
                <w:lang w:val="es-ES"/>
              </w:rPr>
              <w:t xml:space="preserve">Cobre</w:t>
            </w:r>
          </w:p>
        </w:tc>
        <w:tc>
          <w:tcPr/>
          <w:p>
            <w:pPr>
              <w:pStyle w:val="Compact"/>
              <w:jc w:val="left"/>
            </w:pPr>
            <w:r>
              <w:rPr>
                <w:lang w:val="es-ES"/>
              </w:rPr>
              <w:t xml:space="preserve">Sí</w:t>
            </w:r>
          </w:p>
        </w:tc>
        <w:tc>
          <w:tcPr/>
          <w:p>
            <w:pPr>
              <w:pStyle w:val="Compact"/>
              <w:jc w:val="left"/>
            </w:pPr>
            <w:r>
              <w:rPr>
                <w:lang w:val="es-ES"/>
              </w:rPr>
              <w:t xml:space="preserve">Sí</w:t>
            </w:r>
          </w:p>
        </w:tc>
        <w:tc>
          <w:tcPr/>
          <w:p>
            <w:pPr>
              <w:pStyle w:val="Compact"/>
              <w:jc w:val="left"/>
            </w:pPr>
            <w:r>
              <w:rPr>
                <w:lang w:val="es-ES"/>
              </w:rPr>
              <w:t xml:space="preserve">~6,000-7,000</w:t>
            </w:r>
          </w:p>
        </w:tc>
        <w:tc>
          <w:tcPr/>
          <w:p>
            <w:pPr>
              <w:pStyle w:val="Compact"/>
              <w:jc w:val="left"/>
            </w:pPr>
            <w:r>
              <w:rPr>
                <w:lang w:val="es-ES"/>
              </w:rPr>
              <w:t xml:space="preserve">Cuasi-monopolio (Grupo México ≈78%)</w:t>
            </w:r>
          </w:p>
        </w:tc>
      </w:tr>
      <w:tr>
        <w:tc>
          <w:tcPr/>
          <w:p>
            <w:pPr>
              <w:pStyle w:val="Compact"/>
              <w:jc w:val="left"/>
            </w:pPr>
            <w:r>
              <w:rPr>
                <w:lang w:val="es-ES"/>
              </w:rPr>
              <w:t xml:space="preserve">Fluorita</w:t>
            </w:r>
          </w:p>
        </w:tc>
        <w:tc>
          <w:tcPr/>
          <w:p>
            <w:pPr>
              <w:pStyle w:val="Compact"/>
              <w:jc w:val="left"/>
            </w:pPr>
            <w:r>
              <w:rPr>
                <w:lang w:val="es-ES"/>
              </w:rPr>
              <w:t xml:space="preserve">Sí</w:t>
            </w:r>
          </w:p>
        </w:tc>
        <w:tc>
          <w:tcPr/>
          <w:p>
            <w:pPr>
              <w:pStyle w:val="Compact"/>
              <w:jc w:val="left"/>
            </w:pPr>
            <w:r>
              <w:rPr>
                <w:lang w:val="es-ES"/>
              </w:rPr>
              <w:t xml:space="preserve">Sí</w:t>
            </w:r>
          </w:p>
        </w:tc>
        <w:tc>
          <w:tcPr/>
          <w:p>
            <w:pPr>
              <w:pStyle w:val="Compact"/>
              <w:jc w:val="left"/>
            </w:pPr>
            <w:r>
              <w:rPr>
                <w:lang w:val="es-ES"/>
              </w:rPr>
              <w:t xml:space="preserve">≈6,525 (2004-11) → 10,000 (2012+)</w:t>
            </w:r>
          </w:p>
        </w:tc>
        <w:tc>
          <w:tcPr/>
          <w:p>
            <w:pPr>
              <w:pStyle w:val="Compact"/>
              <w:jc w:val="left"/>
            </w:pPr>
            <w:r>
              <w:rPr>
                <w:lang w:val="es-ES"/>
              </w:rPr>
              <w:t xml:space="preserve">Duopolio hasta 2011; monopolio de grupo (Orbia/Koura) desde ene-2012</w:t>
            </w:r>
          </w:p>
        </w:tc>
      </w:tr>
      <w:tr>
        <w:tc>
          <w:tcPr/>
          <w:p>
            <w:pPr>
              <w:pStyle w:val="Compact"/>
              <w:jc w:val="left"/>
            </w:pPr>
            <w:r>
              <w:rPr>
                <w:lang w:val="es-ES"/>
              </w:rPr>
              <w:t xml:space="preserve">Grafito</w:t>
            </w:r>
          </w:p>
        </w:tc>
        <w:tc>
          <w:tcPr/>
          <w:p>
            <w:pPr>
              <w:pStyle w:val="Compact"/>
              <w:jc w:val="left"/>
            </w:pPr>
            <w:r>
              <w:rPr>
                <w:lang w:val="es-ES"/>
              </w:rPr>
              <w:t xml:space="preserve">Sí</w:t>
            </w:r>
          </w:p>
        </w:tc>
        <w:tc>
          <w:tcPr/>
          <w:p>
            <w:pPr>
              <w:pStyle w:val="Compact"/>
              <w:jc w:val="left"/>
            </w:pPr>
            <w:r>
              <w:rPr>
                <w:lang w:val="es-ES"/>
              </w:rPr>
              <w:t xml:space="preserve">Sí</w:t>
            </w:r>
          </w:p>
        </w:tc>
        <w:tc>
          <w:tcPr/>
          <w:p>
            <w:pPr>
              <w:pStyle w:val="Compact"/>
              <w:jc w:val="left"/>
            </w:pPr>
            <w:r>
              <w:rPr>
                <w:lang w:val="es-ES"/>
              </w:rPr>
              <w:t xml:space="preserve">≈5,848 (2004-13) → 10,000 (2014+)</w:t>
            </w:r>
          </w:p>
        </w:tc>
        <w:tc>
          <w:tcPr/>
          <w:p>
            <w:pPr>
              <w:pStyle w:val="Compact"/>
              <w:jc w:val="left"/>
            </w:pPr>
            <w:r>
              <w:rPr>
                <w:lang w:val="es-ES"/>
              </w:rPr>
              <w:t xml:space="preserve">Duopolio hasta 2013; monopolio de Grafitos Mexicanos desde 2014</w:t>
            </w:r>
          </w:p>
        </w:tc>
      </w:tr>
      <w:tr>
        <w:tc>
          <w:tcPr/>
          <w:p>
            <w:pPr>
              <w:pStyle w:val="Compact"/>
              <w:jc w:val="left"/>
            </w:pPr>
            <w:r>
              <w:rPr>
                <w:lang w:val="es-ES"/>
              </w:rPr>
              <w:t xml:space="preserve">Manganeso</w:t>
            </w:r>
          </w:p>
        </w:tc>
        <w:tc>
          <w:tcPr/>
          <w:p>
            <w:pPr>
              <w:pStyle w:val="Compact"/>
              <w:jc w:val="left"/>
            </w:pPr>
            <w:r>
              <w:rPr>
                <w:lang w:val="es-ES"/>
              </w:rPr>
              <w:t xml:space="preserve">Sí</w:t>
            </w:r>
          </w:p>
        </w:tc>
        <w:tc>
          <w:tcPr/>
          <w:p>
            <w:pPr>
              <w:pStyle w:val="Compact"/>
              <w:jc w:val="left"/>
            </w:pPr>
            <w:r>
              <w:rPr>
                <w:lang w:val="es-ES"/>
              </w:rPr>
              <w:t xml:space="preserve">No</w:t>
            </w:r>
          </w:p>
        </w:tc>
        <w:tc>
          <w:tcPr/>
          <w:p>
            <w:pPr>
              <w:pStyle w:val="Compact"/>
              <w:jc w:val="left"/>
            </w:pPr>
            <w:r>
              <w:rPr>
                <w:lang w:val="es-ES"/>
              </w:rPr>
              <w:t xml:space="preserve">10,000</w:t>
            </w:r>
          </w:p>
        </w:tc>
        <w:tc>
          <w:tcPr/>
          <w:p>
            <w:pPr>
              <w:pStyle w:val="Compact"/>
              <w:jc w:val="left"/>
            </w:pPr>
            <w:r>
              <w:rPr>
                <w:lang w:val="es-ES"/>
              </w:rPr>
              <w:t xml:space="preserve">Monopolio absoluto (Autlán 100%)</w:t>
            </w:r>
          </w:p>
        </w:tc>
      </w:tr>
      <w:tr>
        <w:tc>
          <w:tcPr/>
          <w:p>
            <w:pPr>
              <w:pStyle w:val="Compact"/>
              <w:jc w:val="left"/>
            </w:pPr>
            <w:r>
              <w:rPr>
                <w:lang w:val="es-ES"/>
              </w:rPr>
              <w:t xml:space="preserve">Oro</w:t>
            </w:r>
          </w:p>
        </w:tc>
        <w:tc>
          <w:tcPr/>
          <w:p>
            <w:pPr>
              <w:pStyle w:val="Compact"/>
              <w:jc w:val="left"/>
            </w:pPr>
            <w:r>
              <w:rPr>
                <w:lang w:val="es-ES"/>
              </w:rPr>
              <w:t xml:space="preserve">Sí*</w:t>
            </w:r>
          </w:p>
        </w:tc>
        <w:tc>
          <w:tcPr/>
          <w:p>
            <w:pPr>
              <w:pStyle w:val="Compact"/>
              <w:jc w:val="left"/>
            </w:pPr>
            <w:r>
              <w:rPr>
                <w:lang w:val="es-ES"/>
              </w:rPr>
              <w:t xml:space="preserve">No</w:t>
            </w:r>
          </w:p>
        </w:tc>
        <w:tc>
          <w:tcPr/>
          <w:p>
            <w:pPr>
              <w:pStyle w:val="Compact"/>
              <w:jc w:val="left"/>
            </w:pPr>
            <w:r>
              <w:rPr>
                <w:lang w:val="es-ES"/>
              </w:rPr>
              <w:t xml:space="preserve">&lt; 2,000</w:t>
            </w:r>
          </w:p>
        </w:tc>
        <w:tc>
          <w:tcPr/>
          <w:p>
            <w:pPr>
              <w:pStyle w:val="Compact"/>
              <w:jc w:val="left"/>
            </w:pPr>
            <w:r>
              <w:rPr>
                <w:lang w:val="es-ES"/>
              </w:rPr>
              <w:t xml:space="preserve">Oligopolio moderado-bajo (5 grandes ≈42-45%)</w:t>
            </w:r>
          </w:p>
        </w:tc>
      </w:tr>
      <w:tr>
        <w:tc>
          <w:tcPr/>
          <w:p>
            <w:pPr>
              <w:pStyle w:val="Compact"/>
              <w:jc w:val="left"/>
            </w:pPr>
            <w:r>
              <w:rPr>
                <w:lang w:val="es-ES"/>
              </w:rPr>
              <w:t xml:space="preserve">Plata</w:t>
            </w:r>
          </w:p>
        </w:tc>
        <w:tc>
          <w:tcPr/>
          <w:p>
            <w:pPr>
              <w:pStyle w:val="Compact"/>
              <w:jc w:val="left"/>
            </w:pPr>
            <w:r>
              <w:rPr>
                <w:lang w:val="es-ES"/>
              </w:rPr>
              <w:t xml:space="preserve">Sí</w:t>
            </w:r>
          </w:p>
        </w:tc>
        <w:tc>
          <w:tcPr/>
          <w:p>
            <w:pPr>
              <w:pStyle w:val="Compact"/>
              <w:jc w:val="left"/>
            </w:pPr>
            <w:r>
              <w:rPr>
                <w:lang w:val="es-ES"/>
              </w:rPr>
              <w:t xml:space="preserve">No</w:t>
            </w:r>
          </w:p>
        </w:tc>
        <w:tc>
          <w:tcPr/>
          <w:p>
            <w:pPr>
              <w:pStyle w:val="Compact"/>
              <w:jc w:val="left"/>
            </w:pPr>
            <w:r>
              <w:rPr>
                <w:lang w:val="es-ES"/>
              </w:rPr>
              <w:t xml:space="preserve">&lt; 2,000</w:t>
            </w:r>
          </w:p>
        </w:tc>
        <w:tc>
          <w:tcPr/>
          <w:p>
            <w:pPr>
              <w:pStyle w:val="Compact"/>
              <w:jc w:val="left"/>
            </w:pPr>
            <w:r>
              <w:rPr>
                <w:lang w:val="es-ES"/>
              </w:rPr>
              <w:t xml:space="preserve">Oligopolio moderado (5 grandes; Fresnillo plc ≈30% extracción)</w:t>
            </w:r>
          </w:p>
        </w:tc>
      </w:tr>
      <w:tr>
        <w:tc>
          <w:tcPr/>
          <w:p>
            <w:pPr>
              <w:pStyle w:val="Compact"/>
              <w:jc w:val="left"/>
            </w:pPr>
            <w:r>
              <w:rPr>
                <w:lang w:val="es-ES"/>
              </w:rPr>
              <w:t xml:space="preserve">Plomo</w:t>
            </w:r>
          </w:p>
        </w:tc>
        <w:tc>
          <w:tcPr/>
          <w:p>
            <w:pPr>
              <w:pStyle w:val="Compact"/>
              <w:jc w:val="left"/>
            </w:pPr>
            <w:r>
              <w:rPr>
                <w:lang w:val="es-ES"/>
              </w:rPr>
              <w:t xml:space="preserve">Sí</w:t>
            </w:r>
          </w:p>
        </w:tc>
        <w:tc>
          <w:tcPr/>
          <w:p>
            <w:pPr>
              <w:pStyle w:val="Compact"/>
              <w:jc w:val="left"/>
            </w:pPr>
            <w:r>
              <w:rPr>
                <w:lang w:val="es-ES"/>
              </w:rPr>
              <w:t xml:space="preserve">No</w:t>
            </w:r>
          </w:p>
        </w:tc>
        <w:tc>
          <w:tcPr/>
          <w:p>
            <w:pPr>
              <w:pStyle w:val="Compact"/>
              <w:jc w:val="left"/>
            </w:pPr>
            <w:r>
              <w:rPr>
                <w:lang w:val="es-ES"/>
              </w:rPr>
              <w:t xml:space="preserve">~5,000-6,000</w:t>
            </w:r>
          </w:p>
        </w:tc>
        <w:tc>
          <w:tcPr/>
          <w:p>
            <w:pPr>
              <w:pStyle w:val="Compact"/>
              <w:jc w:val="left"/>
            </w:pPr>
            <w:r>
              <w:rPr>
                <w:lang w:val="es-ES"/>
              </w:rPr>
              <w:t xml:space="preserve">Monopolio refinación (Peñoles 100%); oligopolio extracción</w:t>
            </w:r>
          </w:p>
        </w:tc>
      </w:tr>
      <w:tr>
        <w:tc>
          <w:tcPr/>
          <w:p>
            <w:pPr>
              <w:pStyle w:val="Compact"/>
              <w:jc w:val="left"/>
            </w:pPr>
            <w:r>
              <w:rPr>
                <w:lang w:val="es-ES"/>
              </w:rPr>
              <w:t xml:space="preserve">Sílice</w:t>
            </w:r>
          </w:p>
        </w:tc>
        <w:tc>
          <w:tcPr/>
          <w:p>
            <w:pPr>
              <w:pStyle w:val="Compact"/>
              <w:jc w:val="left"/>
            </w:pPr>
            <w:r>
              <w:rPr>
                <w:lang w:val="es-ES"/>
              </w:rPr>
              <w:t xml:space="preserve">Sí</w:t>
            </w:r>
          </w:p>
        </w:tc>
        <w:tc>
          <w:tcPr/>
          <w:p>
            <w:pPr>
              <w:pStyle w:val="Compact"/>
              <w:jc w:val="left"/>
            </w:pPr>
            <w:r>
              <w:rPr>
                <w:lang w:val="es-ES"/>
              </w:rPr>
              <w:t xml:space="preserve">Sí</w:t>
            </w:r>
          </w:p>
        </w:tc>
        <w:tc>
          <w:tcPr/>
          <w:p>
            <w:pPr>
              <w:pStyle w:val="Compact"/>
              <w:jc w:val="left"/>
            </w:pPr>
            <w:r>
              <w:rPr>
                <w:lang w:val="es-ES"/>
              </w:rPr>
              <w:t xml:space="preserve">~6,700–9,700</w:t>
            </w:r>
          </w:p>
        </w:tc>
        <w:tc>
          <w:tcPr/>
          <w:p>
            <w:pPr>
              <w:pStyle w:val="Compact"/>
              <w:jc w:val="left"/>
            </w:pPr>
            <w:r>
              <w:rPr>
                <w:lang w:val="es-ES"/>
              </w:rPr>
              <w:t xml:space="preserve">Concentrado (Covia/Grupo Materias Primas ≈ 74–99%)</w:t>
            </w:r>
          </w:p>
        </w:tc>
      </w:tr>
      <w:tr>
        <w:tc>
          <w:tcPr/>
          <w:p>
            <w:pPr>
              <w:pStyle w:val="Compact"/>
              <w:jc w:val="left"/>
            </w:pPr>
            <w:r>
              <w:rPr>
                <w:lang w:val="es-ES"/>
              </w:rPr>
              <w:t xml:space="preserve">Zinc</w:t>
            </w:r>
          </w:p>
        </w:tc>
        <w:tc>
          <w:tcPr/>
          <w:p>
            <w:pPr>
              <w:pStyle w:val="Compact"/>
              <w:jc w:val="left"/>
            </w:pPr>
            <w:r>
              <w:rPr>
                <w:lang w:val="es-ES"/>
              </w:rPr>
              <w:t xml:space="preserve">Sí</w:t>
            </w:r>
          </w:p>
        </w:tc>
        <w:tc>
          <w:tcPr/>
          <w:p>
            <w:pPr>
              <w:pStyle w:val="Compact"/>
              <w:jc w:val="left"/>
            </w:pPr>
            <w:r>
              <w:rPr>
                <w:lang w:val="es-ES"/>
              </w:rPr>
              <w:t xml:space="preserve">No</w:t>
            </w:r>
          </w:p>
        </w:tc>
        <w:tc>
          <w:tcPr/>
          <w:p>
            <w:pPr>
              <w:pStyle w:val="Compact"/>
              <w:jc w:val="left"/>
            </w:pPr>
            <w:r>
              <w:rPr>
                <w:lang w:val="es-ES"/>
              </w:rPr>
              <w:t xml:space="preserve">~3,500-4,000</w:t>
            </w:r>
          </w:p>
        </w:tc>
        <w:tc>
          <w:tcPr/>
          <w:p>
            <w:pPr>
              <w:pStyle w:val="Compact"/>
              <w:jc w:val="left"/>
            </w:pPr>
            <w:r>
              <w:rPr>
                <w:lang w:val="es-ES"/>
              </w:rPr>
              <w:t xml:space="preserve">Oligopolio concentrado (Newmont 33.4% extracción 2024; Peñoles 69% refinación)</w:t>
            </w:r>
          </w:p>
        </w:tc>
      </w:tr>
    </w:tbl>
    <w:p>
      <w:pPr>
        <w:pStyle w:val="BodyText"/>
      </w:pPr>
      <w:r>
        <w:rPr>
          <w:i/>
          <w:iCs/>
          <w:lang w:val="es-ES"/>
        </w:rPr>
        <w:t xml:space="preserve">Nota: * Incluido como mineral crítico para efectos de seguridad nacional por orden ejecutiva de EE.UU. del 20 de marzo de 2025 (The White House, 2025). Cifras de HHI son estimaciones basadas en datos de participación de mercado; las fuentes primarias se detallan en el Capítulo V, para los minerales no metálicos se revisaron con datos de producción por empresa de CAMIMEX 2021–2024. Fuentes: Micheli Thirion y Cortés Morales (2026); U.S. Geological Survey (2025a); European Commission (2023); Cámara Minera de México (2024).</w:t>
      </w:r>
    </w:p>
    <w:bookmarkEnd w:id="17"/>
    <w:bookmarkStart w:id="18" w:name="Xebc2c44de61f8b60690c7a0de02304034855459"/>
    <w:p>
      <w:pPr>
        <w:pStyle w:val="Heading3"/>
      </w:pPr>
      <w:r>
        <w:rPr>
          <w:lang w:val="es-ES"/>
        </w:rPr>
        <w:t xml:space="preserve">II.2.5 La criticidad se concentra en productos y grados, no en el mineral</w:t>
      </w:r>
    </w:p>
    <w:p>
      <w:pPr>
        <w:pStyle w:val="FirstParagraph"/>
      </w:pPr>
      <w:r>
        <w:rPr>
          <w:lang w:val="es-ES"/>
        </w:rPr>
        <w:t xml:space="preserve">La designación de un mineral como crítico no recae de manera uniforme sobre todo lo que se extrae de él, sino sobre</w:t>
      </w:r>
      <w:r>
        <w:rPr>
          <w:lang w:val="es-ES"/>
        </w:rPr>
        <w:t xml:space="preserve"> </w:t>
      </w:r>
      <w:r>
        <w:rPr>
          <w:b/>
          <w:bCs/>
          <w:lang w:val="es-ES"/>
        </w:rPr>
        <w:t xml:space="preserve">productos y grados específicos</w:t>
      </w:r>
      <w:r>
        <w:rPr>
          <w:lang w:val="es-ES"/>
        </w:rPr>
        <w:t xml:space="preserve"> </w:t>
      </w:r>
      <w:r>
        <w:rPr>
          <w:lang w:val="es-ES"/>
        </w:rPr>
        <w:t xml:space="preserve">de su cadena. Las propias listas oficiales lo hacen explícito: la</w:t>
      </w:r>
      <w:r>
        <w:rPr>
          <w:lang w:val="es-ES"/>
        </w:rPr>
        <w:t xml:space="preserve"> </w:t>
      </w:r>
      <w:r>
        <w:rPr>
          <w:i/>
          <w:iCs/>
          <w:lang w:val="es-ES"/>
        </w:rPr>
        <w:t xml:space="preserve">Critical Raw Materials Act</w:t>
      </w:r>
      <w:r>
        <w:rPr>
          <w:lang w:val="es-ES"/>
        </w:rPr>
        <w:t xml:space="preserve"> </w:t>
      </w:r>
      <w:r>
        <w:rPr>
          <w:lang w:val="es-ES"/>
        </w:rPr>
        <w:t xml:space="preserve">de la Unión Europea (2023) no clasifica como estratégico al "grafito" o al "silicio" en abstracto, sino al</w:t>
      </w:r>
      <w:r>
        <w:rPr>
          <w:lang w:val="es-ES"/>
        </w:rPr>
        <w:t xml:space="preserve"> </w:t>
      </w:r>
      <w:r>
        <w:rPr>
          <w:b/>
          <w:bCs/>
          <w:lang w:val="es-ES"/>
        </w:rPr>
        <w:t xml:space="preserve">grafito natural grado batería</w:t>
      </w:r>
      <w:r>
        <w:rPr>
          <w:lang w:val="es-ES"/>
        </w:rPr>
        <w:t xml:space="preserve">, al</w:t>
      </w:r>
      <w:r>
        <w:rPr>
          <w:lang w:val="es-ES"/>
        </w:rPr>
        <w:t xml:space="preserve"> </w:t>
      </w:r>
      <w:r>
        <w:rPr>
          <w:b/>
          <w:bCs/>
          <w:lang w:val="es-ES"/>
        </w:rPr>
        <w:t xml:space="preserve">manganeso grado batería</w:t>
      </w:r>
      <w:r>
        <w:rPr>
          <w:lang w:val="es-ES"/>
        </w:rPr>
        <w:t xml:space="preserve"> </w:t>
      </w:r>
      <w:r>
        <w:rPr>
          <w:lang w:val="es-ES"/>
        </w:rPr>
        <w:t xml:space="preserve">y al</w:t>
      </w:r>
      <w:r>
        <w:rPr>
          <w:lang w:val="es-ES"/>
        </w:rPr>
        <w:t xml:space="preserve"> </w:t>
      </w:r>
      <w:r>
        <w:rPr>
          <w:b/>
          <w:bCs/>
          <w:lang w:val="es-ES"/>
        </w:rPr>
        <w:t xml:space="preserve">silicio metálico</w:t>
      </w:r>
      <w:r>
        <w:rPr>
          <w:lang w:val="es-ES"/>
        </w:rPr>
        <w:t xml:space="preserve">; y el Servicio Geológico de los Estados Unidos (USGS), que en 2022 listaba cincuenta minerales, amplió la lista en</w:t>
      </w:r>
      <w:r>
        <w:rPr>
          <w:lang w:val="es-ES"/>
        </w:rPr>
        <w:t xml:space="preserve"> </w:t>
      </w:r>
      <w:r>
        <w:rPr>
          <w:b/>
          <w:bCs/>
          <w:lang w:val="es-ES"/>
        </w:rPr>
        <w:t xml:space="preserve">2025 a sesenta</w:t>
      </w:r>
      <w:r>
        <w:rPr>
          <w:lang w:val="es-ES"/>
        </w:rPr>
        <w:t xml:space="preserve">, incorporando el cobre, el plomo, la plata y el silicio. La criticidad, así, es una propiedad del</w:t>
      </w:r>
      <w:r>
        <w:rPr>
          <w:lang w:val="es-ES"/>
        </w:rPr>
        <w:t xml:space="preserve"> </w:t>
      </w:r>
      <w:r>
        <w:rPr>
          <w:b/>
          <w:bCs/>
          <w:lang w:val="es-ES"/>
        </w:rPr>
        <w:t xml:space="preserve">eslabón</w:t>
      </w:r>
      <w:r>
        <w:rPr>
          <w:lang w:val="es-ES"/>
        </w:rPr>
        <w:t xml:space="preserve">, no del yacimiento: dentro de un mismo mineral conviven productos de máxima prioridad estratégica —los que habilitan la transición energética, la electrónica y la defensa— con otros de uso común y baja criticidad.</w:t>
      </w:r>
    </w:p>
    <w:p>
      <w:pPr>
        <w:pStyle w:val="BodyText"/>
      </w:pPr>
      <w:r>
        <w:rPr>
          <w:lang w:val="es-ES"/>
        </w:rPr>
        <w:t xml:space="preserve">Esta distinción es central para la pregunta de esta investigación. Si la criticidad se concentra en el producto transformado —el cátodo, el ácido fluorhídrico, el silicio metálico, el grafito grado batería—, entonces el problema de un país productor no es solo</w:t>
      </w:r>
      <w:r>
        <w:rPr>
          <w:lang w:val="es-ES"/>
        </w:rPr>
        <w:t xml:space="preserve"> </w:t>
      </w:r>
      <w:r>
        <w:rPr>
          <w:i/>
          <w:iCs/>
          <w:lang w:val="es-ES"/>
        </w:rPr>
        <w:t xml:space="preserve">cuánto</w:t>
      </w:r>
      <w:r>
        <w:rPr>
          <w:lang w:val="es-ES"/>
        </w:rPr>
        <w:t xml:space="preserve"> </w:t>
      </w:r>
      <w:r>
        <w:rPr>
          <w:lang w:val="es-ES"/>
        </w:rPr>
        <w:t xml:space="preserve">mineral extrae, sino</w:t>
      </w:r>
      <w:r>
        <w:rPr>
          <w:lang w:val="es-ES"/>
        </w:rPr>
        <w:t xml:space="preserve"> </w:t>
      </w:r>
      <w:r>
        <w:rPr>
          <w:i/>
          <w:iCs/>
          <w:lang w:val="es-ES"/>
        </w:rPr>
        <w:t xml:space="preserve">hasta qué eslabón de su cadena llega</w:t>
      </w:r>
      <w:r>
        <w:rPr>
          <w:lang w:val="es-ES"/>
        </w:rPr>
        <w:t xml:space="preserve">: describir dónde se detiene la cadena (Cap. VIII) equivale a describir</w:t>
      </w:r>
      <w:r>
        <w:rPr>
          <w:lang w:val="es-ES"/>
        </w:rPr>
        <w:t xml:space="preserve"> </w:t>
      </w:r>
      <w:r>
        <w:rPr>
          <w:b/>
          <w:bCs/>
          <w:lang w:val="es-ES"/>
        </w:rPr>
        <w:t xml:space="preserve">cuánta de la criticidad —y del valor asociado— capta el país</w:t>
      </w:r>
      <w:r>
        <w:rPr>
          <w:lang w:val="es-ES"/>
        </w:rPr>
        <w:t xml:space="preserve">. El Cuadro II.x resume, para cada mineral del corpus, el producto de mayor criticidad y la lista oficial que lo respalda.</w:t>
      </w:r>
    </w:p>
    <w:p>
      <w:pPr>
        <w:pStyle w:val="TableCaption"/>
      </w:pPr>
      <w:r>
        <w:rPr>
          <w:b/>
          <w:bCs/>
          <w:lang w:val="es-ES"/>
        </w:rPr>
        <w:t xml:space="preserve">Cuadro II.1.</w:t>
      </w:r>
      <w:r>
        <w:rPr>
          <w:lang w:val="es-ES"/>
        </w:rPr>
        <w:t xml:space="preserve"> </w:t>
      </w:r>
      <w:r>
        <w:rPr>
          <w:lang w:val="es-ES"/>
        </w:rPr>
        <w:t xml:space="preserve">Producto de mayor criticidad por mineral y su base oficial. Escala: estratégico &gt; crítico &gt; medio &gt; bajo. Fuente: USGS (2022, 2025), UE (CRMA, 2023) e IEA; clasificación en criticidad_productos.csv.</w:t>
      </w:r>
    </w:p>
    <w:tbl>
      <w:tblPr>
        <w:tblStyle w:val="Table"/>
        <w:tblW w:type="pct" w:w="4928"/>
        <w:tblLayout w:type="fixed"/>
        <w:tblLook w:firstRow="1" w:lastRow="0" w:firstColumn="0" w:lastColumn="0" w:noHBand="0" w:noVBand="0" w:val="0020"/>
        <w:tblCaption w:val="Cuadro II.1. Producto de mayor criticidad por mineral y su base oficial. Escala: estratégico &gt; crítico &gt; medio &gt; bajo. Fuente: USGS (2022, 2025), UE (CRMA, 2023) e IEA; clasificación en criticidad_productos.csv."/>
      </w:tblPr>
      <w:tblGrid>
        <w:gridCol w:w="1033"/>
        <w:gridCol w:w="2697"/>
        <w:gridCol w:w="2353"/>
        <w:gridCol w:w="1721"/>
      </w:tblGrid>
      <w:tr>
        <w:trPr>
          <w:tblHeader w:val="on"/>
        </w:trPr>
        <w:tc>
          <w:tcPr/>
          <w:p>
            <w:pPr>
              <w:pStyle w:val="Compact"/>
              <w:jc w:val="left"/>
            </w:pPr>
            <w:r>
              <w:rPr>
                <w:b/>
                <w:bCs/>
                <w:lang w:val="es-ES"/>
              </w:rPr>
              <w:t xml:space="preserve">Mineral</w:t>
            </w:r>
          </w:p>
        </w:tc>
        <w:tc>
          <w:tcPr/>
          <w:p>
            <w:pPr>
              <w:pStyle w:val="Compact"/>
              <w:jc w:val="left"/>
            </w:pPr>
            <w:r>
              <w:rPr>
                <w:b/>
                <w:bCs/>
                <w:lang w:val="es-ES"/>
              </w:rPr>
              <w:t xml:space="preserve">Producto de mayor criticidad</w:t>
            </w:r>
          </w:p>
        </w:tc>
        <w:tc>
          <w:tcPr/>
          <w:p>
            <w:pPr>
              <w:pStyle w:val="Compact"/>
              <w:jc w:val="left"/>
            </w:pPr>
            <w:r>
              <w:rPr>
                <w:b/>
                <w:bCs/>
                <w:lang w:val="es-ES"/>
              </w:rPr>
              <w:t xml:space="preserve">Sector estratégico</w:t>
            </w:r>
          </w:p>
        </w:tc>
        <w:tc>
          <w:tcPr/>
          <w:p>
            <w:pPr>
              <w:pStyle w:val="Compact"/>
              <w:jc w:val="left"/>
            </w:pPr>
            <w:r>
              <w:rPr>
                <w:b/>
                <w:bCs/>
                <w:lang w:val="es-ES"/>
              </w:rPr>
              <w:t xml:space="preserve">Base oficial</w:t>
            </w:r>
          </w:p>
        </w:tc>
      </w:tr>
      <w:tr>
        <w:tc>
          <w:tcPr/>
          <w:p>
            <w:pPr>
              <w:pStyle w:val="Compact"/>
              <w:jc w:val="left"/>
            </w:pPr>
            <w:r>
              <w:rPr>
                <w:lang w:val="es-ES"/>
              </w:rPr>
              <w:t xml:space="preserve">Cobre</w:t>
            </w:r>
          </w:p>
        </w:tc>
        <w:tc>
          <w:tcPr/>
          <w:p>
            <w:pPr>
              <w:pStyle w:val="Compact"/>
              <w:jc w:val="left"/>
            </w:pPr>
            <w:r>
              <w:rPr>
                <w:lang w:val="es-ES"/>
              </w:rPr>
              <w:t xml:space="preserve">Cátodo de cobre refinado</w:t>
            </w:r>
          </w:p>
        </w:tc>
        <w:tc>
          <w:tcPr/>
          <w:p>
            <w:pPr>
              <w:pStyle w:val="Compact"/>
              <w:jc w:val="left"/>
            </w:pPr>
            <w:r>
              <w:rPr>
                <w:lang w:val="es-ES"/>
              </w:rPr>
              <w:t xml:space="preserve">Electrificación, EV, red eléctrica</w:t>
            </w:r>
          </w:p>
        </w:tc>
        <w:tc>
          <w:tcPr/>
          <w:p>
            <w:pPr>
              <w:pStyle w:val="Compact"/>
              <w:jc w:val="left"/>
            </w:pPr>
            <w:r>
              <w:rPr>
                <w:lang w:val="es-ES"/>
              </w:rPr>
              <w:t xml:space="preserve">UE estratégico · USGS 2025</w:t>
            </w:r>
          </w:p>
        </w:tc>
      </w:tr>
      <w:tr>
        <w:tc>
          <w:tcPr/>
          <w:p>
            <w:pPr>
              <w:pStyle w:val="Compact"/>
              <w:jc w:val="left"/>
            </w:pPr>
            <w:r>
              <w:rPr>
                <w:lang w:val="es-ES"/>
              </w:rPr>
              <w:t xml:space="preserve">Fluorita</w:t>
            </w:r>
          </w:p>
        </w:tc>
        <w:tc>
          <w:tcPr/>
          <w:p>
            <w:pPr>
              <w:pStyle w:val="Compact"/>
              <w:jc w:val="left"/>
            </w:pPr>
            <w:r>
              <w:rPr>
                <w:lang w:val="es-ES"/>
              </w:rPr>
              <w:t xml:space="preserve">Ácido fluorhídrico → fluoropolímeros / LiPF₆</w:t>
            </w:r>
          </w:p>
        </w:tc>
        <w:tc>
          <w:tcPr/>
          <w:p>
            <w:pPr>
              <w:pStyle w:val="Compact"/>
              <w:jc w:val="left"/>
            </w:pPr>
            <w:r>
              <w:rPr>
                <w:lang w:val="es-ES"/>
              </w:rPr>
              <w:t xml:space="preserve">Baterías, semiconductores, aluminio</w:t>
            </w:r>
          </w:p>
        </w:tc>
        <w:tc>
          <w:tcPr/>
          <w:p>
            <w:pPr>
              <w:pStyle w:val="Compact"/>
              <w:jc w:val="left"/>
            </w:pPr>
            <w:r>
              <w:rPr>
                <w:lang w:val="es-ES"/>
              </w:rPr>
              <w:t xml:space="preserve">UE crítico · IEA</w:t>
            </w:r>
          </w:p>
        </w:tc>
      </w:tr>
      <w:tr>
        <w:tc>
          <w:tcPr/>
          <w:p>
            <w:pPr>
              <w:pStyle w:val="Compact"/>
              <w:jc w:val="left"/>
            </w:pPr>
            <w:r>
              <w:rPr>
                <w:lang w:val="es-ES"/>
              </w:rPr>
              <w:t xml:space="preserve">Grafito</w:t>
            </w:r>
          </w:p>
        </w:tc>
        <w:tc>
          <w:tcPr/>
          <w:p>
            <w:pPr>
              <w:pStyle w:val="Compact"/>
              <w:jc w:val="left"/>
            </w:pPr>
            <w:r>
              <w:rPr>
                <w:lang w:val="es-ES"/>
              </w:rPr>
              <w:t xml:space="preserve">Grafito grado batería / sintético</w:t>
            </w:r>
          </w:p>
        </w:tc>
        <w:tc>
          <w:tcPr/>
          <w:p>
            <w:pPr>
              <w:pStyle w:val="Compact"/>
              <w:jc w:val="left"/>
            </w:pPr>
            <w:r>
              <w:rPr>
                <w:lang w:val="es-ES"/>
              </w:rPr>
              <w:t xml:space="preserve">Ánodos de baterías; acero (electrodos)</w:t>
            </w:r>
          </w:p>
        </w:tc>
        <w:tc>
          <w:tcPr/>
          <w:p>
            <w:pPr>
              <w:pStyle w:val="Compact"/>
              <w:jc w:val="left"/>
            </w:pPr>
            <w:r>
              <w:rPr>
                <w:lang w:val="es-ES"/>
              </w:rPr>
              <w:t xml:space="preserve">UE estratégico · USGS</w:t>
            </w:r>
          </w:p>
        </w:tc>
      </w:tr>
      <w:tr>
        <w:tc>
          <w:tcPr/>
          <w:p>
            <w:pPr>
              <w:pStyle w:val="Compact"/>
              <w:jc w:val="left"/>
            </w:pPr>
            <w:r>
              <w:rPr>
                <w:lang w:val="es-ES"/>
              </w:rPr>
              <w:t xml:space="preserve">Manganeso</w:t>
            </w:r>
          </w:p>
        </w:tc>
        <w:tc>
          <w:tcPr/>
          <w:p>
            <w:pPr>
              <w:pStyle w:val="Compact"/>
              <w:jc w:val="left"/>
            </w:pPr>
            <w:r>
              <w:rPr>
                <w:lang w:val="es-ES"/>
              </w:rPr>
              <w:t xml:space="preserve">Sulfato de manganeso grado batería</w:t>
            </w:r>
          </w:p>
        </w:tc>
        <w:tc>
          <w:tcPr/>
          <w:p>
            <w:pPr>
              <w:pStyle w:val="Compact"/>
              <w:jc w:val="left"/>
            </w:pPr>
            <w:r>
              <w:rPr>
                <w:lang w:val="es-ES"/>
              </w:rPr>
              <w:t xml:space="preserve">Cátodos de baterías (NMC)</w:t>
            </w:r>
          </w:p>
        </w:tc>
        <w:tc>
          <w:tcPr/>
          <w:p>
            <w:pPr>
              <w:pStyle w:val="Compact"/>
              <w:jc w:val="left"/>
            </w:pPr>
            <w:r>
              <w:rPr>
                <w:lang w:val="es-ES"/>
              </w:rPr>
              <w:t xml:space="preserve">UE estratégico · IEA</w:t>
            </w:r>
          </w:p>
        </w:tc>
      </w:tr>
      <w:tr>
        <w:tc>
          <w:tcPr/>
          <w:p>
            <w:pPr>
              <w:pStyle w:val="Compact"/>
              <w:jc w:val="left"/>
            </w:pPr>
            <w:r>
              <w:rPr>
                <w:lang w:val="es-ES"/>
              </w:rPr>
              <w:t xml:space="preserve">Sílice</w:t>
            </w:r>
          </w:p>
        </w:tc>
        <w:tc>
          <w:tcPr/>
          <w:p>
            <w:pPr>
              <w:pStyle w:val="Compact"/>
              <w:jc w:val="left"/>
            </w:pPr>
            <w:r>
              <w:rPr>
                <w:lang w:val="es-ES"/>
              </w:rPr>
              <w:t xml:space="preserve">Silicio metálico</w:t>
            </w:r>
          </w:p>
        </w:tc>
        <w:tc>
          <w:tcPr/>
          <w:p>
            <w:pPr>
              <w:pStyle w:val="Compact"/>
              <w:jc w:val="left"/>
            </w:pPr>
            <w:r>
              <w:rPr>
                <w:lang w:val="es-ES"/>
              </w:rPr>
              <w:t xml:space="preserve">Semiconductores, fotovoltaica</w:t>
            </w:r>
          </w:p>
        </w:tc>
        <w:tc>
          <w:tcPr/>
          <w:p>
            <w:pPr>
              <w:pStyle w:val="Compact"/>
              <w:jc w:val="left"/>
            </w:pPr>
            <w:r>
              <w:rPr>
                <w:lang w:val="es-ES"/>
              </w:rPr>
              <w:t xml:space="preserve">UE estratégico · USGS 2025</w:t>
            </w:r>
          </w:p>
        </w:tc>
      </w:tr>
      <w:tr>
        <w:tc>
          <w:tcPr/>
          <w:p>
            <w:pPr>
              <w:pStyle w:val="Compact"/>
              <w:jc w:val="left"/>
            </w:pPr>
            <w:r>
              <w:rPr>
                <w:lang w:val="es-ES"/>
              </w:rPr>
              <w:t xml:space="preserve">Plata</w:t>
            </w:r>
          </w:p>
        </w:tc>
        <w:tc>
          <w:tcPr/>
          <w:p>
            <w:pPr>
              <w:pStyle w:val="Compact"/>
              <w:jc w:val="left"/>
            </w:pPr>
            <w:r>
              <w:rPr>
                <w:lang w:val="es-ES"/>
              </w:rPr>
              <w:t xml:space="preserve">Plata refinada</w:t>
            </w:r>
          </w:p>
        </w:tc>
        <w:tc>
          <w:tcPr/>
          <w:p>
            <w:pPr>
              <w:pStyle w:val="Compact"/>
              <w:jc w:val="left"/>
            </w:pPr>
            <w:r>
              <w:rPr>
                <w:lang w:val="es-ES"/>
              </w:rPr>
              <w:t xml:space="preserve">Fotovoltaica, electrónica</w:t>
            </w:r>
          </w:p>
        </w:tc>
        <w:tc>
          <w:tcPr/>
          <w:p>
            <w:pPr>
              <w:pStyle w:val="Compact"/>
              <w:jc w:val="left"/>
            </w:pPr>
            <w:r>
              <w:rPr>
                <w:lang w:val="es-ES"/>
              </w:rPr>
              <w:t xml:space="preserve">USGS 2025 · IEA</w:t>
            </w:r>
          </w:p>
        </w:tc>
      </w:tr>
      <w:tr>
        <w:tc>
          <w:tcPr/>
          <w:p>
            <w:pPr>
              <w:pStyle w:val="Compact"/>
              <w:jc w:val="left"/>
            </w:pPr>
            <w:r>
              <w:rPr>
                <w:lang w:val="es-ES"/>
              </w:rPr>
              <w:t xml:space="preserve">Oro</w:t>
            </w:r>
          </w:p>
        </w:tc>
        <w:tc>
          <w:tcPr/>
          <w:p>
            <w:pPr>
              <w:pStyle w:val="Compact"/>
              <w:jc w:val="left"/>
            </w:pPr>
            <w:r>
              <w:rPr>
                <w:lang w:val="es-ES"/>
              </w:rPr>
              <w:t xml:space="preserve">Oro refinado</w:t>
            </w:r>
          </w:p>
        </w:tc>
        <w:tc>
          <w:tcPr/>
          <w:p>
            <w:pPr>
              <w:pStyle w:val="Compact"/>
              <w:jc w:val="left"/>
            </w:pPr>
            <w:r>
              <w:rPr>
                <w:lang w:val="es-ES"/>
              </w:rPr>
              <w:t xml:space="preserve">Seguridad nacional, electrónica</w:t>
            </w:r>
          </w:p>
        </w:tc>
        <w:tc>
          <w:tcPr/>
          <w:p>
            <w:pPr>
              <w:pStyle w:val="Compact"/>
              <w:jc w:val="left"/>
            </w:pPr>
            <w:r>
              <w:rPr>
                <w:lang w:val="es-ES"/>
              </w:rPr>
              <w:t xml:space="preserve">Orden ejecutiva EE.UU. 2025</w:t>
            </w:r>
          </w:p>
        </w:tc>
      </w:tr>
      <w:tr>
        <w:tc>
          <w:tcPr/>
          <w:p>
            <w:pPr>
              <w:pStyle w:val="Compact"/>
              <w:jc w:val="left"/>
            </w:pPr>
            <w:r>
              <w:rPr>
                <w:lang w:val="es-ES"/>
              </w:rPr>
              <w:t xml:space="preserve">Plomo</w:t>
            </w:r>
          </w:p>
        </w:tc>
        <w:tc>
          <w:tcPr/>
          <w:p>
            <w:pPr>
              <w:pStyle w:val="Compact"/>
              <w:jc w:val="left"/>
            </w:pPr>
            <w:r>
              <w:rPr>
                <w:lang w:val="es-ES"/>
              </w:rPr>
              <w:t xml:space="preserve">Plomo refinado / baterías</w:t>
            </w:r>
          </w:p>
        </w:tc>
        <w:tc>
          <w:tcPr/>
          <w:p>
            <w:pPr>
              <w:pStyle w:val="Compact"/>
              <w:jc w:val="left"/>
            </w:pPr>
            <w:r>
              <w:rPr>
                <w:lang w:val="es-ES"/>
              </w:rPr>
              <w:t xml:space="preserve">Almacenamiento (Pb-ácido)</w:t>
            </w:r>
          </w:p>
        </w:tc>
        <w:tc>
          <w:tcPr/>
          <w:p>
            <w:pPr>
              <w:pStyle w:val="Compact"/>
              <w:jc w:val="left"/>
            </w:pPr>
            <w:r>
              <w:rPr>
                <w:lang w:val="es-ES"/>
              </w:rPr>
              <w:t xml:space="preserve">USGS 2025</w:t>
            </w:r>
          </w:p>
        </w:tc>
      </w:tr>
      <w:tr>
        <w:tc>
          <w:tcPr/>
          <w:p>
            <w:pPr>
              <w:pStyle w:val="Compact"/>
              <w:jc w:val="left"/>
            </w:pPr>
            <w:r>
              <w:rPr>
                <w:lang w:val="es-ES"/>
              </w:rPr>
              <w:t xml:space="preserve">Zinc</w:t>
            </w:r>
          </w:p>
        </w:tc>
        <w:tc>
          <w:tcPr/>
          <w:p>
            <w:pPr>
              <w:pStyle w:val="Compact"/>
              <w:jc w:val="left"/>
            </w:pPr>
            <w:r>
              <w:rPr>
                <w:lang w:val="es-ES"/>
              </w:rPr>
              <w:t xml:space="preserve">Zinc refinado / galvanizado</w:t>
            </w:r>
          </w:p>
        </w:tc>
        <w:tc>
          <w:tcPr/>
          <w:p>
            <w:pPr>
              <w:pStyle w:val="Compact"/>
              <w:jc w:val="left"/>
            </w:pPr>
            <w:r>
              <w:rPr>
                <w:lang w:val="es-ES"/>
              </w:rPr>
              <w:t xml:space="preserve">Acero recubierto, aleaciones</w:t>
            </w:r>
          </w:p>
        </w:tc>
        <w:tc>
          <w:tcPr/>
          <w:p>
            <w:pPr>
              <w:pStyle w:val="Compact"/>
              <w:jc w:val="left"/>
            </w:pPr>
            <w:r>
              <w:rPr>
                <w:lang w:val="es-ES"/>
              </w:rPr>
              <w:t xml:space="preserve">USGS 2022</w:t>
            </w:r>
          </w:p>
        </w:tc>
      </w:tr>
      <w:tr>
        <w:tc>
          <w:tcPr/>
          <w:p>
            <w:pPr>
              <w:pStyle w:val="Compact"/>
              <w:jc w:val="left"/>
            </w:pPr>
            <w:r>
              <w:rPr>
                <w:lang w:val="es-ES"/>
              </w:rPr>
              <w:t xml:space="preserve">Barita</w:t>
            </w:r>
          </w:p>
        </w:tc>
        <w:tc>
          <w:tcPr/>
          <w:p>
            <w:pPr>
              <w:pStyle w:val="Compact"/>
              <w:jc w:val="left"/>
            </w:pPr>
            <w:r>
              <w:rPr>
                <w:lang w:val="es-ES"/>
              </w:rPr>
              <w:t xml:space="preserve">Químicos de bario</w:t>
            </w:r>
          </w:p>
        </w:tc>
        <w:tc>
          <w:tcPr/>
          <w:p>
            <w:pPr>
              <w:pStyle w:val="Compact"/>
              <w:jc w:val="left"/>
            </w:pPr>
            <w:r>
              <w:rPr>
                <w:lang w:val="es-ES"/>
              </w:rPr>
              <w:t xml:space="preserve">Química, pinturas, electrónica</w:t>
            </w:r>
          </w:p>
        </w:tc>
        <w:tc>
          <w:tcPr/>
          <w:p>
            <w:pPr>
              <w:pStyle w:val="Compact"/>
              <w:jc w:val="left"/>
            </w:pPr>
            <w:r>
              <w:rPr>
                <w:lang w:val="es-ES"/>
              </w:rPr>
              <w:t xml:space="preserve">UE crítico · USGS</w:t>
            </w:r>
          </w:p>
        </w:tc>
      </w:tr>
    </w:tbl>
    <w:p>
      <w:pPr>
        <w:pStyle w:val="BodyText"/>
      </w:pPr>
      <w:r>
        <w:rPr>
          <w:lang w:val="es-ES"/>
        </w:rPr>
        <w:t xml:space="preserve">Como se verá en los capítulos VIII y VII, este mapa de criticidad por producto se superpone de manera reveladora con el punto donde la cadena de cada mineral se interrumpe en México: en varios casos —notablemente el grafito, la sílice y el manganeso— el producto de mayor criticidad es, justamente, el que el país</w:t>
      </w:r>
      <w:r>
        <w:rPr>
          <w:lang w:val="es-ES"/>
        </w:rPr>
        <w:t xml:space="preserve"> </w:t>
      </w:r>
      <w:r>
        <w:rPr>
          <w:b/>
          <w:bCs/>
          <w:lang w:val="es-ES"/>
        </w:rPr>
        <w:t xml:space="preserve">no produce</w:t>
      </w:r>
      <w:r>
        <w:rPr>
          <w:lang w:val="es-ES"/>
        </w:rPr>
        <w:t xml:space="preserve"> </w:t>
      </w:r>
      <w:r>
        <w:rPr>
          <w:lang w:val="es-ES"/>
        </w:rPr>
        <w:t xml:space="preserve">y debe importar.</w:t>
      </w:r>
    </w:p>
    <w:bookmarkEnd w:id="18"/>
    <w:bookmarkEnd w:id="19"/>
    <w:bookmarkStart w:id="20" w:name="Xb10f8a27df0b1085307abfc8047bf0bf5a901c9"/>
    <w:p>
      <w:pPr>
        <w:pStyle w:val="Heading2"/>
      </w:pPr>
      <w:r>
        <w:rPr>
          <w:lang w:val="es-ES"/>
        </w:rPr>
        <w:t xml:space="preserve">II.3 Factores que impulsan la demanda de minerales críticos</w:t>
      </w:r>
    </w:p>
    <w:p>
      <w:pPr>
        <w:pStyle w:val="FirstParagraph"/>
      </w:pPr>
      <w:r>
        <w:rPr>
          <w:lang w:val="es-ES"/>
        </w:rPr>
        <w:t xml:space="preserve">Comprender por qué los minerales del corpus de esta investigación son considerados críticos requiere entender qué impulsa su demanda. El IGF (Hendriwardani y Ramdoo, 2022) identifica seis vías de demanda que, en conjunto, explican el auge reciente de la demanda mundial de minerales críticos y que conectan directamente con los diez minerales analizados en esta tesis.</w:t>
      </w:r>
    </w:p>
    <w:p>
      <w:pPr>
        <w:numPr>
          <w:ilvl w:val="0"/>
          <w:numId w:val="1001"/>
        </w:numPr>
      </w:pPr>
      <w:r>
        <w:rPr>
          <w:lang w:val="es-ES"/>
        </w:rPr>
        <w:t xml:space="preserve">Descarbonización y tecnologías energéticas: el cobre y la plata son los minerales del corpus más directamente vinculados a esta vía. El IGF documenta que la energía eólica y solar emplea más de diez minerales críticos distintos, y el cobre es indispensable para el cableado de cualquier instalación de generación renovable. Un vehículo eléctrico requiere 53.2 kg de cobre y 24.5 kg de manganeso —hasta seis veces más contenido mineral que un vehículo convencional (Hendriwardani y Ramdoo, 2022, p. 8).</w:t>
      </w:r>
    </w:p>
    <w:p>
      <w:pPr>
        <w:numPr>
          <w:ilvl w:val="0"/>
          <w:numId w:val="1001"/>
        </w:numPr>
      </w:pPr>
      <w:r>
        <w:rPr>
          <w:lang w:val="es-ES"/>
        </w:rPr>
        <w:t xml:space="preserve">Movilidad eléctrica: el manganeso es insumo estándar de los cátodos de baterías de ion-litio tipo NMC y del acero especial para carrocerías de vehículos eléctricos, lo que explica el interés industrial reciente en el Distrito de Molango (Hidalgo), el único yacimiento de manganeso a escala industrial de todo Centro y Norteamérica.</w:t>
      </w:r>
    </w:p>
    <w:p>
      <w:pPr>
        <w:numPr>
          <w:ilvl w:val="0"/>
          <w:numId w:val="1001"/>
        </w:numPr>
      </w:pPr>
      <w:r>
        <w:rPr>
          <w:lang w:val="es-ES"/>
        </w:rPr>
        <w:t xml:space="preserve">Digitalización: el IGF estima que se requieren unos 42 minerales distintos para fabricar los dispositivos digitales emergentes. La sílice de alta pureza es el material base de las obleas de silicio para semiconductores; el oro se usa en conectores y componentes electrónicos de precisión.</w:t>
      </w:r>
    </w:p>
    <w:p>
      <w:pPr>
        <w:numPr>
          <w:ilvl w:val="0"/>
          <w:numId w:val="1001"/>
        </w:numPr>
      </w:pPr>
      <w:r>
        <w:rPr>
          <w:lang w:val="es-ES"/>
        </w:rPr>
        <w:t xml:space="preserve">Aplicaciones industriales avanzadas: el zinc y el plomo son insumos de la galvanización anticorrosiva y de las baterías de plomo-ácido, respectivamente; la fluorita es el insumo del ácido fluorhídrico usado en semiconductores, refrigerantes y baterías de nueva generación.</w:t>
      </w:r>
    </w:p>
    <w:p>
      <w:pPr>
        <w:numPr>
          <w:ilvl w:val="0"/>
          <w:numId w:val="1001"/>
        </w:numPr>
      </w:pPr>
      <w:r>
        <w:rPr>
          <w:lang w:val="es-ES"/>
        </w:rPr>
        <w:t xml:space="preserve">Infraestructura y construcción: la barita (insumo casi exclusivo de los lodos de perforación petrolera) y la sílice (componente del concreto, el vidrio plano y los ladrillos) son minerales cuya demanda está más ligada al ciclo de inversión en hidrocarburos y construcción que a la transición energética propiamente dicha.</w:t>
      </w:r>
    </w:p>
    <w:bookmarkEnd w:id="20"/>
    <w:bookmarkStart w:id="25" w:name="ii.4-marco-teórico"/>
    <w:p>
      <w:pPr>
        <w:pStyle w:val="Heading2"/>
      </w:pPr>
      <w:r>
        <w:rPr>
          <w:lang w:val="es-ES"/>
        </w:rPr>
        <w:t xml:space="preserve">II.4 Marco teórico</w:t>
      </w:r>
    </w:p>
    <w:p>
      <w:pPr>
        <w:pStyle w:val="FirstParagraph"/>
      </w:pPr>
      <w:r>
        <w:rPr>
          <w:lang w:val="es-ES"/>
        </w:rPr>
        <w:t xml:space="preserve">El marco teórico de esta investigación se organiza en torno a un argumento único: la minería mexicana de minerales críticos opera como un enclave estructural —extrae y exporta con encadenamientos hacia adelante débiles, con independencia de la nacionalidad de su capital— y describir su posición en las cadenas de valor, eslabón por eslabón, es la base para discutir una política industrial que la reconfigure. Cuatro cuerpos teóricos se articulan en ese hilo: la economía del desarrollo define el punto de partida; el análisis de eslabonamientos y la organización industrial proveen el mecanismo y su medición; el enfoque de cadenas globales de valor sitúa la posición del país y fundamenta su carácter dado; y la economía institucional aporta las reglas del juego y el horizonte de política.</w:t>
      </w:r>
    </w:p>
    <w:bookmarkStart w:id="21" w:name="Xd51ffd0d149b96159c889af4780943a0cfdb4f8"/>
    <w:p>
      <w:pPr>
        <w:pStyle w:val="Heading3"/>
      </w:pPr>
      <w:r>
        <w:rPr>
          <w:lang w:val="es-ES"/>
        </w:rPr>
        <w:t xml:space="preserve">II.4.1 El punto de partida: la minería como enclave estructural</w:t>
      </w:r>
    </w:p>
    <w:p>
      <w:pPr>
        <w:pStyle w:val="FirstParagraph"/>
      </w:pPr>
      <w:r>
        <w:rPr>
          <w:lang w:val="es-ES"/>
        </w:rPr>
        <w:t xml:space="preserve">La economía del desarrollo, en su vertiente estructuralista latinoamericana, ofrece el punto de partida. Prebisch (1950) y Furtado (1966) argumentaron que la inserción de América Latina como exportadora de materias primas e importadora de manufacturas genera una transferencia sistemática de valor hacia los países del centro y perpetúa la asimetría tecnológica, en lo que se conoce como el deterioro de los términos de intercambio. En esa tradición, Cardoso y Faletto (1969) acuñaron la noción de economía de enclave: un sector exportador controlado por capital extranjero, prolongación de la economía metropolitana en la periferia, cuyo excedente se repatría y cuyas decisiones se toman fuera; una situación que oponen expresamente a aquella en que la producción está en manos de una burguesía nacional.</w:t>
      </w:r>
    </w:p>
    <w:p>
      <w:pPr>
        <w:pStyle w:val="BodyText"/>
      </w:pPr>
      <w:r>
        <w:rPr>
          <w:lang w:val="es-ES"/>
        </w:rPr>
        <w:t xml:space="preserve">La minería mexicana no encaja en esa definición por el lado de la propiedad: sus alturas dominantes son de capital nacional —Grupo México, Industrias Peñoles, Grupo Frisco, Autlán—, de modo que, en sentido estricto, correspondería al caso de burguesía nacional que Cardoso y Faletto contraponen al enclave. Y, sin embargo, reproduce el rasgo definitorio del enclave por el lado estructural: la desconexión respecto del tejido industrial nacional, con encadenamientos hacia adelante débiles, exportación en bruto e importación de los derivados procesados. Esta investigación adopta, por tanto, la noción de enclave estructural: una configuración en la que el sector extractivo permanece articulado al mercado mundial y desarticulado de la industria de transformación doméstica, con independencia de la nacionalidad del capital que lo controla. El concepto de neo-extractivismo (Svampa, 2013) da cuenta de esta forma contemporánea, en la que el extractivismo, con participación de capital y Estado nacionales, mantiene no obstante el patrón primario-exportador y la reprimarización de la estructura productiva.</w:t>
      </w:r>
    </w:p>
    <w:p>
      <w:pPr>
        <w:pStyle w:val="BodyText"/>
      </w:pPr>
      <w:r>
        <w:rPr>
          <w:lang w:val="es-ES"/>
        </w:rPr>
        <w:t xml:space="preserve">La hipótesis de la maldición de los recursos (Sachs y Warner, 1995; Auty, 1993) añade una dimensión macroeconómica, aunque su formulación más reciente reconoce que la maldición es condicional y no inevitable: Australia, Noruega y Chile han convertido su abundancia mineral en desarrollo sostenido mediante políticas industriales activas (Lederman y Maloney, 2007; Venables, 2016). Que el enclave estructural pueda o no reconfigurarse mediante política es, por tanto, una cuestión abierta, el horizonte que esta investigación busca informar con evidencia descriptiva (véase II.4.4).</w:t>
      </w:r>
    </w:p>
    <w:bookmarkEnd w:id="21"/>
    <w:bookmarkStart w:id="22" w:name="Xaabeee159d7a62e3ad10417178754084ac16cce"/>
    <w:p>
      <w:pPr>
        <w:pStyle w:val="Heading3"/>
      </w:pPr>
      <w:r>
        <w:rPr>
          <w:lang w:val="es-ES"/>
        </w:rPr>
        <w:t xml:space="preserve">II.4.2 El mecanismo: eslabonamientos y grado de transformación</w:t>
      </w:r>
    </w:p>
    <w:p>
      <w:pPr>
        <w:pStyle w:val="FirstParagraph"/>
      </w:pPr>
      <w:r>
        <w:rPr>
          <w:lang w:val="es-ES"/>
        </w:rPr>
        <w:t xml:space="preserve">Si el enclave estructural se define por su desconexión aguas abajo, el análisis de eslabonamientos provee el mecanismo para observarlo y medirlo. Hirschman (1958) distinguió los encadenamientos hacia atrás y hacia adelante como la medida del grado en que una actividad arrastra al resto de la economía. El instrumental insumo-producto los operacionaliza: el modelo de Leontief (1941) capta los encadenamientos hacia atrás, esto es, cuánto demanda la minería del resto de la economía como comprador de insumos; el modelo de Ghosh (1958) capta los encadenamientos hacia adelante, es decir, cuánto de la producción de cada mineral se incorpora como insumo de otros sectores nacionales en lugar de exportarse; y los índices normalizados de Rasmussen (1956) los hacen comparables entre ramas. El coeficiente de Ghosh y el coeficiente de captura de valor (CCV) son los descriptores centrales del grado de transformación: un coeficiente de Ghosh sistemáticamente bajo es la medida directa del enclave estructural, la cadena que se trunca dentro del país. El CCV complementa al de Ghosh como segunda operacionalización del mismo fenómeno, definido como la razón entre el precio de exportación del mineral mexicano en frontera —de Comtrade, a seis dígitos del Sistema Armonizado— y el precio del producto refinado o manufacturado derivado en el mercado de destino —de las series históricas del USGS—, con la ventaja de disponer de series anuales continuas desde 1992.</w:t>
      </w:r>
    </w:p>
    <w:p>
      <w:pPr>
        <w:pStyle w:val="BodyText"/>
      </w:pPr>
      <w:r>
        <w:rPr>
          <w:lang w:val="es-ES"/>
        </w:rPr>
        <w:t xml:space="preserve">La organización industrial aporta el vocabulario para describir la conducta que subyace a ese patrón, en un papel subordinado al de los eslabonamientos. El paradigma Estructura-Conducta-Desempeño (Mason, 1939; Bain, 1956) describe la estructura de cada mercado —concentración y barreras de entrada— mediante el índice de Herfindahl-Hirschman (HHI), sin postular que la concentración determine mecánicamente la conducta o el desempeño. La teoría de la integración vertical (Williamson, 1985; Klein, Crawford y Alchian, 1978) ayuda a interpretar por qué un grupo exporta concentrado en lugar de integrar aguas abajo: cuando los activos específicos requeridos son costosos y los refinadores del mismo grupo operan en los mercados de destino bajo lógicas de precios de transferencia, la integración hacia adelante en el país resulta menos atractiva. Es un rasgo revelador del enclave estructural mexicano: aun bajo propiedad nacional, la cadena de valor se completa fuera del país. Estos marcos describen la conducta observada; no se plantean como una explicación causal de los encadenamientos, que la investigación se limita a caracterizar.</w:t>
      </w:r>
    </w:p>
    <w:bookmarkEnd w:id="22"/>
    <w:bookmarkStart w:id="23" w:name="Xa107ed6fc18f9a212e641ca1bd2806201d22ca7"/>
    <w:p>
      <w:pPr>
        <w:pStyle w:val="Heading3"/>
      </w:pPr>
      <w:r>
        <w:rPr>
          <w:lang w:val="es-ES"/>
        </w:rPr>
        <w:t xml:space="preserve">II.4.3 La dimensión global: cadenas de valor y la exogeneidad de la posición</w:t>
      </w:r>
    </w:p>
    <w:p>
      <w:pPr>
        <w:pStyle w:val="FirstParagraph"/>
      </w:pPr>
      <w:r>
        <w:rPr>
          <w:lang w:val="es-ES"/>
        </w:rPr>
        <w:t xml:space="preserve">El enfoque de las cadenas globales de valor (Gereffi, 1994; Gereffi, Humphrey y Sturgeon, 2005; Kaplinsky y Morris, 2001) sitúa el enclave en el plano internacional. Describe cómo se distribuyen las actividades de una industria —extracción, procesamiento, manufactura— entre países y empresas, en qué eslabón participa cada actor y cómo se captura y reparte el valor a lo largo de la cadena. Aplicado a los minerales críticos, permite ubicar a México por etapa de procesamiento (mena, concentrado, refinado, producto intermedio y bien final) y caracterizar su posición en las cadenas de valor globales, así como el estado de las cadenas de valor locales y de la industria de transformación doméstica.</w:t>
      </w:r>
    </w:p>
    <w:p>
      <w:pPr>
        <w:pStyle w:val="BodyText"/>
      </w:pPr>
      <w:r>
        <w:rPr>
          <w:lang w:val="es-ES"/>
        </w:rPr>
        <w:t xml:space="preserve">De este enfoque se desprende un supuesto que ordena todo el diseño: para una economía extractiva periférica, la estructura de la cadena global y el eslabón que en ella ocupa le vienen dados, pues la configuración de la demanda internacional, la localización del procesamiento y los estándares de la cadena son exógenos a las decisiones nacionales. Por eso la investigación describe esa posición en lugar de pretender explicar su causa: en el escenario de enclave, la estructura de mercados, los eslabonamientos y las cadenas de valor son variables dadas cuya caracterización —y no cuya determinación— constituye el objeto de estudio. Este es el fundamento teórico del carácter descriptivo del diseño y de la formulación de las preguntas de investigación.</w:t>
      </w:r>
    </w:p>
    <w:bookmarkEnd w:id="23"/>
    <w:bookmarkStart w:id="24" w:name="Xbe5131bf980f17c45c468cde8fc6fb33b61346c"/>
    <w:p>
      <w:pPr>
        <w:pStyle w:val="Heading3"/>
      </w:pPr>
      <w:r>
        <w:rPr>
          <w:lang w:val="es-ES"/>
        </w:rPr>
        <w:t xml:space="preserve">II.4.4 La dimensión institucional y la implicación de política industrial</w:t>
      </w:r>
    </w:p>
    <w:p>
      <w:pPr>
        <w:pStyle w:val="FirstParagraph"/>
      </w:pPr>
      <w:r>
        <w:rPr>
          <w:lang w:val="es-ES"/>
        </w:rPr>
        <w:t xml:space="preserve">Las reglas del juego que enmarcan esa configuración provienen de la economía institucional. Para North (1990), las instituciones —tanto las formales como las informales— reducen la incertidumbre y estructuran los incentivos de los actores económicos. La Ley Minera de 1992 y su reforma de 2023 no son simplemente cambios técnicos en la regulación sectorial, sino modificaciones al marco de incentivos: la de 1992 redujo los costos de transacción de la gran empresa extractiva, prolongó las concesiones hasta 50 años sin condicionarlas a la generación de valor agregado y facilitó la acumulación privada de reservas; la de 2023, al trasladar la exploración al Estado y establecer un nuevo régimen de licitaciones, alteró ese equilibrio de forma asimétrica, pues los consorcios con concesiones de larga data quedan relativamente protegidos, mientras que los nuevos proyectos, incluidos los de procesamiento, enfrentan mayor incertidumbre. El propósito declarado de la reforma fue reforzar la rectoría estatal sobre el recurso y acotar la especulación, no la industrialización; por ello se trata como contexto institucional y no como un instrumento de política industrial.</w:t>
      </w:r>
    </w:p>
    <w:p>
      <w:pPr>
        <w:pStyle w:val="BodyText"/>
      </w:pPr>
      <w:r>
        <w:rPr>
          <w:lang w:val="es-ES"/>
        </w:rPr>
        <w:t xml:space="preserve">De la articulación anterior se sigue la implicación normativa que cierra el marco. Si el enclave estructural es una configuración y no un destino, y su reconfiguración depende de la política —la lección condicional de la maldición de los recursos—, entonces la descripción de la posición de cada mineral en sus cadenas de valor es la base para discutir una política industrial orientada a densificar los eslabonamientos aguas abajo y a mejorar la captura de valor doméstica. Determinar qué eslabones ausentes podrían fomentarse, dónde la integración es viable y bajo qué condiciones es el objeto de la síntesis final de esta investigación (Cap. IX).</w:t>
      </w:r>
    </w:p>
    <w:bookmarkEnd w:id="24"/>
    <w:bookmarkEnd w:id="25"/>
    <w:bookmarkStart w:id="26" w:name="fuentes-y-referencias"/>
    <w:p>
      <w:pPr>
        <w:pStyle w:val="Heading2"/>
      </w:pPr>
      <w:r>
        <w:rPr>
          <w:lang w:val="es-ES"/>
        </w:rPr>
        <w:t xml:space="preserve">Fuentes y referencias</w:t>
      </w:r>
    </w:p>
    <w:bookmarkEnd w:id="26"/>
    <w:bookmarkEnd w:id="27"/>
    <w:sectPr>
      <w:footnotePr>
        <w:numRestart w:val="eachSect"/>
      </w:footnotePr>
      <w:pgSz w:h="15840" w:w="12240"/>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hAnsi="Times New Roman"/>
      <w:sz w:val="24"/>
    </w:rPr>
  </w:style>
  <w:style w:styleId="BodyText" w:type="paragraph">
    <w:name w:val="Body Text"/>
    <w:basedOn w:val="Normal"/>
    <w:link w:val="BodyTextChar"/>
    <w:qFormat/>
    <w:pPr>
      <w:spacing w:after="120" w:before="0" w:line="360" w:lineRule="auto"/>
      <w:jc w:val="both"/>
    </w:pPr>
    <w:rPr>
      <w:rFonts w:ascii="Times New Roman" w:cs="Times New Roman" w:hAnsi="Times New Roman"/>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hAnsi="Times New Roman"/>
      <w:sz w:val="24"/>
    </w:rPr>
  </w:style>
  <w:style w:customStyle="1" w:styleId="Compact" w:type="paragraph">
    <w:name w:val="Compact"/>
    <w:basedOn w:val="BodyText"/>
    <w:qFormat/>
    <w:pPr>
      <w:spacing w:after="120" w:before="0" w:line="360" w:lineRule="auto"/>
      <w:jc w:val="both"/>
    </w:pPr>
    <w:rPr>
      <w:rFonts w:ascii="Times New Roman" w:cs="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jc w:val="left"/>
      <w:outlineLvl w:val="0"/>
    </w:pPr>
    <w:rPr>
      <w:rFonts w:ascii="Times New Roman" w:asciiTheme="majorHAnsi" w:cs="Times New Roman"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jc w:val="left"/>
      <w:outlineLvl w:val="1"/>
    </w:pPr>
    <w:rPr>
      <w:rFonts w:ascii="Times New Roman" w:asciiTheme="majorHAnsi" w:cs="Times New Roman"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jc w:val="left"/>
      <w:outlineLvl w:val="2"/>
    </w:pPr>
    <w:rPr>
      <w:rFonts w:ascii="Times New Roman" w:cs="Times New Roman" w:cstheme="majorBidi"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jc w:val="left"/>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before="60" w:line="240" w:lineRule="auto"/>
      <w:jc w:val="left"/>
    </w:pPr>
    <w:rPr>
      <w:rFonts w:ascii="Times New Roman" w:cs="Times New Roman" w:hAnsi="Times New Roman"/>
      <w:i w:val="0"/>
      <w:sz w:val="20"/>
    </w:rPr>
  </w:style>
  <w:style w:customStyle="1" w:styleId="ImageCaption" w:type="paragraph">
    <w:name w:val="Image Caption"/>
    <w:basedOn w:val="Caption"/>
    <w:pPr>
      <w:spacing w:after="200" w:before="60" w:line="240" w:lineRule="auto"/>
      <w:jc w:val="left"/>
    </w:pPr>
    <w:rPr>
      <w:rFonts w:ascii="Times New Roman" w:cs="Times New Roman" w:hAnsi="Times New Roman"/>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II. Marco conceptual y teórico</dc:title>
  <dc:creator/>
  <dc:language>es-ES</dc:language>
  <cp:keywords/>
  <dcterms:created xsi:type="dcterms:W3CDTF">2026-09-16T18:32:35Z</dcterms:created>
  <dcterms:modified xsi:type="dcterms:W3CDTF">2026-09-16T18:32:35Z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hapter">
    <vt:lpwstr>II</vt:lpwstr>
  </property>
  <property fmtid="{D5CDD505-2E9C-101B-9397-08002B2CF9AE}" pid="4" name="csl">
    <vt:lpwstr>pandoc\apa.csl</vt:lpwstr>
  </property>
</Properties>
</file>