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s-ES"/>
        </w:rPr>
        <w:t xml:space="preserve">Capítulo IV. Contexto histórico e institucional de la minería mexicana</w:t>
      </w:r>
    </w:p>
    <w:sdt>
      <w:sdtPr>
        <w:docPartObj>
          <w:docPartGallery w:val="Table of Contents"/>
          <w:docPartUnique/>
        </w:docPartObj>
      </w:sdtPr>
      <w:sdtContent>
        <w:p>
          <w:pPr>
            <w:pStyle w:val="TOCHeading"/>
          </w:pPr>
          <w:r>
            <w:rPr>
              <w:lang w:val="es-ES"/>
            </w:rPr>
            <w:t xml:space="preserve">Table of Contents</w:t>
          </w:r>
        </w:p>
        <w:p>
          <w:r>
            <w:fldChar w:fldCharType="begin" w:dirty="true"/>
            <w:instrText xml:space="preserve">TOC \o "1-3" \h \z \u</w:instrText>
            <w:fldChar w:fldCharType="separate"/>
            <w:fldChar w:fldCharType="end"/>
          </w:r>
        </w:p>
      </w:sdtContent>
    </w:sdt>
    <w:bookmarkStart w:id="24" w:name="X88bceda9c4e1d1040f1068d79a4095f76ea8c83"/>
    <w:p>
      <w:pPr>
        <w:pStyle w:val="Heading1"/>
      </w:pPr>
      <w:r>
        <w:rPr>
          <w:lang w:val="es-ES"/>
        </w:rPr>
        <w:t xml:space="preserve">Capítulo IV. Contexto histórico e institucional de la minería mexicana</w:t>
      </w:r>
    </w:p>
    <w:p>
      <w:pPr>
        <w:pStyle w:val="FirstParagraph"/>
      </w:pPr>
      <w:r>
        <w:rPr>
          <w:lang w:val="es-ES"/>
        </w:rPr>
        <w:t xml:space="preserve">El sistema minero mexicano actual no es el resultado de una evolución gradual del mercado, sino el producto de un rediseño institucional deliberado que ocurrió entre 1988 y 1994 y cuyos efectos estructurales —la concentración oligopólica, la integración vertical incompleta, la exportación sistemática de materia prima— han persistido durante tres décadas prácticamente sin alteraciones de fondo. Este capítulo reconstruye ese proceso y su evolución hasta la coyuntura regulatoria más reciente.</w:t>
      </w:r>
    </w:p>
    <w:bookmarkStart w:id="9" w:name="Xdf4d952f19b49e4e68bea4e4e2f1aacbafc7f4e"/>
    <w:p>
      <w:pPr>
        <w:pStyle w:val="Heading2"/>
      </w:pPr>
      <w:r>
        <w:rPr>
          <w:lang w:val="es-ES"/>
        </w:rPr>
        <w:t xml:space="preserve">IV.1 El modelo anterior: minería mixta bajo protección estatal (hasta 1988)</w:t>
      </w:r>
    </w:p>
    <w:p>
      <w:pPr>
        <w:pStyle w:val="FirstParagraph"/>
      </w:pPr>
      <w:r>
        <w:rPr>
          <w:lang w:val="es-ES"/>
        </w:rPr>
        <w:t xml:space="preserve">Hasta mediados de los años ochenta, la minería mexicana funcionaba bajo un modelo que combinaba capital privado nacional —históricamente representado por grupos como Peñoles y Frisco desde las primeras décadas del siglo XX— con una presencia estatal significativa en los yacimientos más estratégicos y en la fijación de las condiciones de explotación. La Ley de Mexicanización de 1961 había establecido la obligatoriedad de que al menos 51% del capital de las empresas mineras fuera de origen nacional, limitando la entrada de inversión extranjera directa y creando una estructura de mercado en la que los grandes consorcios nacionales dominaban de forma estable.</w:t>
      </w:r>
    </w:p>
    <w:p>
      <w:pPr>
        <w:pStyle w:val="BodyText"/>
      </w:pPr>
      <w:r>
        <w:rPr>
          <w:lang w:val="es-ES"/>
        </w:rPr>
        <w:t xml:space="preserve">La crisis de la deuda de 1982 y la posterior adopción del modelo de ajuste estructural bajo la influencia del Fondo Monetario Internacional y el Banco Mundial marcaron el inicio del desmantelamiento de ese modelo. La reducción del gasto público, la apertura comercial unilateral que México comenzó en 1985 —antes de la firma del GATT— y la señal explícita de que el Estado se retiraría de las actividades productivas que pudiera gestionar el sector privado crearon las condiciones para la reforma minera de 1988-1994 (Sariego, 2009; Delgado Wise y Del Pozo, 2001).</w:t>
      </w:r>
    </w:p>
    <w:bookmarkEnd w:id="9"/>
    <w:bookmarkStart w:id="10" w:name="X3bcdac3d792b07405f08c9ccc7352f1ae03eb7d"/>
    <w:p>
      <w:pPr>
        <w:pStyle w:val="Heading2"/>
      </w:pPr>
      <w:r>
        <w:rPr>
          <w:lang w:val="es-ES"/>
        </w:rPr>
        <w:t xml:space="preserve">IV.2 La reforma estructural: privatización, desincorporación y nueva ley (1988-1994)</w:t>
      </w:r>
    </w:p>
    <w:p>
      <w:pPr>
        <w:pStyle w:val="FirstParagraph"/>
      </w:pPr>
      <w:r>
        <w:rPr>
          <w:lang w:val="es-ES"/>
        </w:rPr>
        <w:t xml:space="preserve">En 1988, el gobierno federal desincorporó aproximadamente 6.6 millones de hectáreas de reservas mineras nacionales —alrededor del 98% del total administrado por el Estado— que pasaron mayoritariamente a manos de los grupos que ya dominaban la minería mexicana: Grupo México, Industrias Peñoles y Minera Frisco. Entre 1989 y 1993 se privatizaron además las principales empresas paraestatales del sector: Real del Monte y Pachuca en 1989, adquirida por el Grupo Acerero del Norte; la Compañía Minera de Cananea en 1990, adquirida por Grupo México a través de Industrial Minera México por 175 millones de dólares —una cifra 3.7 veces inferior a la oferta que Protexa Monterrey había hecho dos años antes—; y la Compañía Minera Autlán en 1993, adquirida en un 82.7% por el Grupo Ferrominero, hoy Autlán Holding.</w:t>
      </w:r>
    </w:p>
    <w:p>
      <w:pPr>
        <w:pStyle w:val="BodyText"/>
      </w:pPr>
      <w:r>
        <w:rPr>
          <w:lang w:val="es-ES"/>
        </w:rPr>
        <w:t xml:space="preserve">La Ley Minera de 1992 consolidó jurídicamente este proceso: declaró la minería actividad preferente sobre cualquier otro uso del suelo donde existan minerales, amplió la duración de las concesiones de 25 a 50 años renovables y eliminó el requisito de mexicanización del capital, abriendo la puerta a la inversión extranjera que el TLCAN (1994) y la posterior reforma a la Ley de Inversión Extranjera (1996) terminarían de liberalizar. Ninguno de estos instrumentos condicionó el otorgamiento o la renovación de las concesiones a la generación de valor agregado nacional, a la integración con cadenas productivas locales, ni a compromisos de transformación del mineral extraído dentro del territorio mexicano. Esta ausencia de condicionalidad es, para los propósitos de esta investigación, el elemento institucional central del modelo que se analiza.</w:t>
      </w:r>
    </w:p>
    <w:bookmarkEnd w:id="10"/>
    <w:bookmarkStart w:id="11" w:name="Xd0c0efc50bd921cd02cfcd109138c3b907857cb"/>
    <w:p>
      <w:pPr>
        <w:pStyle w:val="Heading2"/>
      </w:pPr>
      <w:r>
        <w:rPr>
          <w:lang w:val="es-ES"/>
        </w:rPr>
        <w:t xml:space="preserve">IV.3 La ola de inversión junior canadiense y la diversificación del mapa empresarial (1994-2010)</w:t>
      </w:r>
    </w:p>
    <w:p>
      <w:pPr>
        <w:pStyle w:val="FirstParagraph"/>
      </w:pPr>
      <w:r>
        <w:rPr>
          <w:lang w:val="es-ES"/>
        </w:rPr>
        <w:t xml:space="preserve">La combinación de la Ley Minera de 1992, el TLCAN de 1994 y la reforma de inversión extranjera de 1996 abrió la puerta a una ola de empresas junior canadienses —compañías de exploración de capital reducido y alto riesgo, especializadas en descubrir y poner en producción yacimientos nuevos antes de venderlos o asociarse con operadores mayores— que se convirtió, desde finales de los noventa y sobre todo en la década de 2000, en el segundo gran actor del mapa empresarial de la minería mexicana. Para 2019, la Secretaría de Economía identificaba 711 de los 1,177 proyectos mineros activos en el país como orientados a metales preciosos, con Canadá aportando 153 de las 238 empresas de capital extranjero registradas en el sector.</w:t>
      </w:r>
    </w:p>
    <w:p>
      <w:pPr>
        <w:pStyle w:val="BodyText"/>
      </w:pPr>
      <w:r>
        <w:rPr>
          <w:lang w:val="es-ES"/>
        </w:rPr>
        <w:t xml:space="preserve">Este proceso tuvo efectos estructurales importantes en dos minerales del corpus. En oro, la ola junior canadiense diversificó sustancialmente el mapa de operadores: Goldcorp desarrolló Peñasquito (Zacatecas) desde 2006, iniciando producción comercial en 2010; Torex Gold desarrolló El Limón-Guajes (Guerrero); Alamos Gold desarrolló Mulatos (Sonora). En plata, la creación de Fresnillo plc en 2008 —escisión de las operaciones de metales preciosos de Industrias Peñoles, que debutó en la Bolsa de Londres convirtiéndose en la primera empresa mexicana en integrar el índice FTSE100— reconfiguró la estructura formal del mercado argentífero sin alterar su control familiar último (Grupo BAL, familia Baillères).</w:t>
      </w:r>
    </w:p>
    <w:bookmarkEnd w:id="11"/>
    <w:bookmarkStart w:id="12" w:name="X832d47c8382465c6b628687681f8b9e6500b29c"/>
    <w:p>
      <w:pPr>
        <w:pStyle w:val="Heading2"/>
      </w:pPr>
      <w:r>
        <w:rPr>
          <w:lang w:val="es-ES"/>
        </w:rPr>
        <w:t xml:space="preserve">IV.4 El ciclo de superprecios y sus efectos (2003-2015)</w:t>
      </w:r>
    </w:p>
    <w:p>
      <w:pPr>
        <w:pStyle w:val="FirstParagraph"/>
      </w:pPr>
      <w:r>
        <w:rPr>
          <w:lang w:val="es-ES"/>
        </w:rPr>
        <w:t xml:space="preserve">El ciclo alcista de precios de materias primas que comenzó a principios de la década de 2000 —impulsado por la demanda de China y, más adelante, por los estímulos monetarios posteriores a la crisis financiera global de 2008— tuvo efectos duales sobre la minería mexicana. Por un lado, incrementó notablemente el valor de la producción y las exportaciones mineras, elevando la participación del sector en el PIB y haciéndolo más visible en la agenda de política pública. Por otro, reforzó el modelo extractivo existente: con precios internacionales altos, los márgenes de rentabilidad de la extracción de concentrado sin procesar eran suficientemente atractivos para que los grandes consorcios no tuvieran incentivo alguno para invertir en capacidades de refinación o transformación local. El ciclo de superprecios, paradójicamente, consolidó el enclave exportador en lugar de generar condiciones para su superación.</w:t>
      </w:r>
    </w:p>
    <w:bookmarkEnd w:id="12"/>
    <w:bookmarkStart w:id="13" w:name="X53d8c34fd9e73025dbe3e743dbd369b57999921"/>
    <w:p>
      <w:pPr>
        <w:pStyle w:val="Heading2"/>
      </w:pPr>
      <w:r>
        <w:rPr>
          <w:lang w:val="es-ES"/>
        </w:rPr>
        <w:t xml:space="preserve">IV.5 Consolidaciones corporativas relevantes (2004-2020)</w:t>
      </w:r>
    </w:p>
    <w:p>
      <w:pPr>
        <w:pStyle w:val="FirstParagraph"/>
      </w:pPr>
      <w:r>
        <w:rPr>
          <w:lang w:val="es-ES"/>
        </w:rPr>
        <w:t xml:space="preserve">Dos movimientos corporativos de gran escala reconfiguraron el mapa empresarial durante este periodo. El primero fue la adquisición de ASARCO (Estados Unidos) por parte de Grupo México en 2004, que convirtió al grupo mexicano en la primera compañía del mundo en reservas de cobre y el cuarto productor mundial tanto de cobre como de plata, consolidando su integración vertical en el metal rojo a escala internacional aunque sin generar nuevas capacidades de refinación dentro de México. El segundo fue la adquisición de Goldcorp por parte de Newmont en 2019, que trasladó a la mayor productora de oro del mundo el control de Peñasquito (Zacatecas), en ese momento la mayor mina individual de plata de México y una de las mayores productoras de zinc, lo que convirtió a un solo operador estadounidense en el principal productor de zinc del país (33.4% de la extracción nacional en 2024) al mismo tiempo que figuraba entre los mayores de plata y oro.</w:t>
      </w:r>
    </w:p>
    <w:bookmarkEnd w:id="13"/>
    <w:bookmarkStart w:id="18" w:name="X838675144aef9851d39c1fea5fdb76832285951"/>
    <w:p>
      <w:pPr>
        <w:pStyle w:val="Heading2"/>
      </w:pPr>
      <w:r>
        <w:rPr>
          <w:lang w:val="es-ES"/>
        </w:rPr>
        <w:t xml:space="preserve">IV.6 La reforma de 2023 y el marco institucional</w:t>
      </w:r>
    </w:p>
    <w:bookmarkStart w:id="14" w:name="Xf8c3e60ac515f8d221daeea14bc8e2a6cd3abd7"/>
    <w:p>
      <w:pPr>
        <w:pStyle w:val="Heading3"/>
      </w:pPr>
      <w:r>
        <w:rPr>
          <w:lang w:val="es-ES"/>
        </w:rPr>
        <w:t xml:space="preserve">IV.6.1 La reforma de 2023: contenido y lógica</w:t>
      </w:r>
    </w:p>
    <w:p>
      <w:pPr>
        <w:pStyle w:val="FirstParagraph"/>
      </w:pPr>
      <w:r>
        <w:rPr>
          <w:lang w:val="es-ES"/>
        </w:rPr>
        <w:t xml:space="preserve">El 8 de mayo de 2023 se publicó en el Diario Oficial de la Federación el decreto que reforma la</w:t>
      </w:r>
      <w:r>
        <w:rPr>
          <w:lang w:val="es-ES"/>
        </w:rPr>
        <w:t xml:space="preserve"> </w:t>
      </w:r>
      <w:r>
        <w:rPr>
          <w:b/>
          <w:bCs/>
          <w:lang w:val="es-ES"/>
        </w:rPr>
        <w:t xml:space="preserve">Ley Minera</w:t>
      </w:r>
      <w:r>
        <w:rPr>
          <w:lang w:val="es-ES"/>
        </w:rPr>
        <w:t xml:space="preserve">, la</w:t>
      </w:r>
      <w:r>
        <w:rPr>
          <w:lang w:val="es-ES"/>
        </w:rPr>
        <w:t xml:space="preserve"> </w:t>
      </w:r>
      <w:r>
        <w:rPr>
          <w:b/>
          <w:bCs/>
          <w:lang w:val="es-ES"/>
        </w:rPr>
        <w:t xml:space="preserve">Ley de Aguas Nacionales</w:t>
      </w:r>
      <w:r>
        <w:rPr>
          <w:lang w:val="es-ES"/>
        </w:rPr>
        <w:t xml:space="preserve">, la</w:t>
      </w:r>
      <w:r>
        <w:rPr>
          <w:lang w:val="es-ES"/>
        </w:rPr>
        <w:t xml:space="preserve"> </w:t>
      </w:r>
      <w:r>
        <w:rPr>
          <w:b/>
          <w:bCs/>
          <w:lang w:val="es-ES"/>
        </w:rPr>
        <w:t xml:space="preserve">LGEEPA</w:t>
      </w:r>
      <w:r>
        <w:rPr>
          <w:lang w:val="es-ES"/>
        </w:rPr>
        <w:t xml:space="preserve"> </w:t>
      </w:r>
      <w:r>
        <w:rPr>
          <w:lang w:val="es-ES"/>
        </w:rPr>
        <w:t xml:space="preserve">y la</w:t>
      </w:r>
      <w:r>
        <w:rPr>
          <w:lang w:val="es-ES"/>
        </w:rPr>
        <w:t xml:space="preserve"> </w:t>
      </w:r>
      <w:r>
        <w:rPr>
          <w:b/>
          <w:bCs/>
          <w:lang w:val="es-ES"/>
        </w:rPr>
        <w:t xml:space="preserve">Ley General para la Prevención y Gestión Integral de los Residuos</w:t>
      </w:r>
      <w:r>
        <w:rPr>
          <w:lang w:val="es-ES"/>
        </w:rPr>
        <w:t xml:space="preserve">, "en materia de concesiones para minería y agua", en vigor desde el día siguiente. Su exposición de motivos declara como objetivo</w:t>
      </w:r>
      <w:r>
        <w:rPr>
          <w:lang w:val="es-ES"/>
        </w:rPr>
        <w:t xml:space="preserve"> </w:t>
      </w:r>
      <w:r>
        <w:rPr>
          <w:b/>
          <w:bCs/>
          <w:lang w:val="es-ES"/>
        </w:rPr>
        <w:t xml:space="preserve">recuperar la rectoría del Estado</w:t>
      </w:r>
      <w:r>
        <w:rPr>
          <w:lang w:val="es-ES"/>
        </w:rPr>
        <w:t xml:space="preserve"> </w:t>
      </w:r>
      <w:r>
        <w:rPr>
          <w:lang w:val="es-ES"/>
        </w:rPr>
        <w:t xml:space="preserve">sobre los minerales y el agua del subsuelo, propiedad de la Nación. Sus disposiciones centrales:</w:t>
      </w:r>
    </w:p>
    <w:p>
      <w:pPr>
        <w:numPr>
          <w:ilvl w:val="0"/>
          <w:numId w:val="1001"/>
        </w:numPr>
      </w:pPr>
      <w:r>
        <w:rPr>
          <w:b/>
          <w:bCs/>
          <w:lang w:val="es-ES"/>
        </w:rPr>
        <w:t xml:space="preserve">Concesiones por licitación pública.</w:t>
      </w:r>
      <w:r>
        <w:rPr>
          <w:lang w:val="es-ES"/>
        </w:rPr>
        <w:t xml:space="preserve"> </w:t>
      </w:r>
      <w:r>
        <w:rPr>
          <w:lang w:val="es-ES"/>
        </w:rPr>
        <w:t xml:space="preserve">Se sustituye el otorgamiento por simple solicitud ("primero en tiempo, primero en derecho") por un régimen en el que el</w:t>
      </w:r>
      <w:r>
        <w:rPr>
          <w:lang w:val="es-ES"/>
        </w:rPr>
        <w:t xml:space="preserve"> </w:t>
      </w:r>
      <w:r>
        <w:rPr>
          <w:b/>
          <w:bCs/>
          <w:lang w:val="es-ES"/>
        </w:rPr>
        <w:t xml:space="preserve">Servicio Geológico Mexicano (SGM) explora primero</w:t>
      </w:r>
      <w:r>
        <w:rPr>
          <w:lang w:val="es-ES"/>
        </w:rPr>
        <w:t xml:space="preserve"> </w:t>
      </w:r>
      <w:r>
        <w:rPr>
          <w:lang w:val="es-ES"/>
        </w:rPr>
        <w:t xml:space="preserve">los lotes y las concesiones se asignan mediante</w:t>
      </w:r>
      <w:r>
        <w:rPr>
          <w:lang w:val="es-ES"/>
        </w:rPr>
        <w:t xml:space="preserve"> </w:t>
      </w:r>
      <w:r>
        <w:rPr>
          <w:b/>
          <w:bCs/>
          <w:lang w:val="es-ES"/>
        </w:rPr>
        <w:t xml:space="preserve">concurso</w:t>
      </w:r>
      <w:r>
        <w:rPr>
          <w:lang w:val="es-ES"/>
        </w:rPr>
        <w:t xml:space="preserve">. La Secretaría de Economía concentra la rectoría.</w:t>
      </w:r>
    </w:p>
    <w:p>
      <w:pPr>
        <w:numPr>
          <w:ilvl w:val="0"/>
          <w:numId w:val="1001"/>
        </w:numPr>
      </w:pPr>
      <w:r>
        <w:rPr>
          <w:b/>
          <w:bCs/>
          <w:lang w:val="es-ES"/>
        </w:rPr>
        <w:t xml:space="preserve">Reducción del plazo de las concesiones.</w:t>
      </w:r>
      <w:r>
        <w:rPr>
          <w:lang w:val="es-ES"/>
        </w:rPr>
        <w:t xml:space="preserve"> </w:t>
      </w:r>
      <w:r>
        <w:rPr>
          <w:lang w:val="es-ES"/>
        </w:rPr>
        <w:t xml:space="preserve">La vigencia baja de 50 años (prorrogables por otros 50) a</w:t>
      </w:r>
      <w:r>
        <w:rPr>
          <w:lang w:val="es-ES"/>
        </w:rPr>
        <w:t xml:space="preserve"> </w:t>
      </w:r>
      <w:r>
        <w:rPr>
          <w:b/>
          <w:bCs/>
          <w:lang w:val="es-ES"/>
        </w:rPr>
        <w:t xml:space="preserve">30 años, prorrogables una sola vez por 25</w:t>
      </w:r>
      <w:r>
        <w:rPr>
          <w:lang w:val="es-ES"/>
        </w:rPr>
        <w:t xml:space="preserve">, condicionada al cumplimiento.</w:t>
      </w:r>
    </w:p>
    <w:p>
      <w:pPr>
        <w:numPr>
          <w:ilvl w:val="0"/>
          <w:numId w:val="1001"/>
        </w:numPr>
      </w:pPr>
      <w:r>
        <w:rPr>
          <w:b/>
          <w:bCs/>
          <w:lang w:val="es-ES"/>
        </w:rPr>
        <w:t xml:space="preserve">Prohibiciones territoriales y de agua.</w:t>
      </w:r>
      <w:r>
        <w:rPr>
          <w:lang w:val="es-ES"/>
        </w:rPr>
        <w:t xml:space="preserve"> </w:t>
      </w:r>
      <w:r>
        <w:rPr>
          <w:lang w:val="es-ES"/>
        </w:rPr>
        <w:t xml:space="preserve">Se prohíbe otorgar concesiones en</w:t>
      </w:r>
      <w:r>
        <w:rPr>
          <w:lang w:val="es-ES"/>
        </w:rPr>
        <w:t xml:space="preserve"> </w:t>
      </w:r>
      <w:r>
        <w:rPr>
          <w:b/>
          <w:bCs/>
          <w:lang w:val="es-ES"/>
        </w:rPr>
        <w:t xml:space="preserve">áreas naturales protegidas</w:t>
      </w:r>
      <w:r>
        <w:rPr>
          <w:lang w:val="es-ES"/>
        </w:rPr>
        <w:t xml:space="preserve">, donde se ponga en riesgo a la población y</w:t>
      </w:r>
      <w:r>
        <w:rPr>
          <w:lang w:val="es-ES"/>
        </w:rPr>
        <w:t xml:space="preserve"> </w:t>
      </w:r>
      <w:r>
        <w:rPr>
          <w:b/>
          <w:bCs/>
          <w:lang w:val="es-ES"/>
        </w:rPr>
        <w:t xml:space="preserve">en zonas sin disponibilidad de agua</w:t>
      </w:r>
      <w:r>
        <w:rPr>
          <w:lang w:val="es-ES"/>
        </w:rPr>
        <w:t xml:space="preserve">; el uso doméstico y personal tiene prioridad sobre el minero. Los concesionarios deben reciclar</w:t>
      </w:r>
      <w:r>
        <w:rPr>
          <w:lang w:val="es-ES"/>
        </w:rPr>
        <w:t xml:space="preserve"> </w:t>
      </w:r>
      <w:r>
        <w:rPr>
          <w:b/>
          <w:bCs/>
          <w:lang w:val="es-ES"/>
        </w:rPr>
        <w:t xml:space="preserve">al menos el 60 %</w:t>
      </w:r>
      <w:r>
        <w:rPr>
          <w:lang w:val="es-ES"/>
        </w:rPr>
        <w:t xml:space="preserve"> </w:t>
      </w:r>
      <w:r>
        <w:rPr>
          <w:lang w:val="es-ES"/>
        </w:rPr>
        <w:t xml:space="preserve">del agua tratada.</w:t>
      </w:r>
    </w:p>
    <w:p>
      <w:pPr>
        <w:numPr>
          <w:ilvl w:val="0"/>
          <w:numId w:val="1001"/>
        </w:numPr>
      </w:pPr>
      <w:r>
        <w:rPr>
          <w:b/>
          <w:bCs/>
          <w:lang w:val="es-ES"/>
        </w:rPr>
        <w:t xml:space="preserve">Consulta previa y estudio de impacto social.</w:t>
      </w:r>
      <w:r>
        <w:rPr>
          <w:lang w:val="es-ES"/>
        </w:rPr>
        <w:t xml:space="preserve"> </w:t>
      </w:r>
      <w:r>
        <w:rPr>
          <w:lang w:val="es-ES"/>
        </w:rPr>
        <w:t xml:space="preserve">Antes de otorgar el título, la autoridad debe realizar</w:t>
      </w:r>
      <w:r>
        <w:rPr>
          <w:lang w:val="es-ES"/>
        </w:rPr>
        <w:t xml:space="preserve"> </w:t>
      </w:r>
      <w:r>
        <w:rPr>
          <w:b/>
          <w:bCs/>
          <w:lang w:val="es-ES"/>
        </w:rPr>
        <w:t xml:space="preserve">consulta previa, libre, informada, culturalmente adecuada y de buena fe</w:t>
      </w:r>
      <w:r>
        <w:rPr>
          <w:lang w:val="es-ES"/>
        </w:rPr>
        <w:t xml:space="preserve"> </w:t>
      </w:r>
      <w:r>
        <w:rPr>
          <w:lang w:val="es-ES"/>
        </w:rPr>
        <w:t xml:space="preserve">a pueblos y comunidades indígenas, simultánea a la manifestación de impacto ambiental; su costo lo cubre el solicitante.</w:t>
      </w:r>
    </w:p>
    <w:p>
      <w:pPr>
        <w:numPr>
          <w:ilvl w:val="0"/>
          <w:numId w:val="1001"/>
        </w:numPr>
      </w:pPr>
      <w:r>
        <w:rPr>
          <w:b/>
          <w:bCs/>
          <w:lang w:val="es-ES"/>
        </w:rPr>
        <w:t xml:space="preserve">Responsabilidad permanente por residuos</w:t>
      </w:r>
      <w:r>
        <w:rPr>
          <w:lang w:val="es-ES"/>
        </w:rPr>
        <w:t xml:space="preserve"> </w:t>
      </w:r>
      <w:r>
        <w:rPr>
          <w:lang w:val="es-ES"/>
        </w:rPr>
        <w:t xml:space="preserve">minero-metalúrgicos a cargo del concesionario, y facultades de</w:t>
      </w:r>
      <w:r>
        <w:rPr>
          <w:lang w:val="es-ES"/>
        </w:rPr>
        <w:t xml:space="preserve"> </w:t>
      </w:r>
      <w:r>
        <w:rPr>
          <w:b/>
          <w:bCs/>
          <w:lang w:val="es-ES"/>
        </w:rPr>
        <w:t xml:space="preserve">nulidad</w:t>
      </w:r>
      <w:r>
        <w:rPr>
          <w:lang w:val="es-ES"/>
        </w:rPr>
        <w:t xml:space="preserve"> </w:t>
      </w:r>
      <w:r>
        <w:rPr>
          <w:lang w:val="es-ES"/>
        </w:rPr>
        <w:t xml:space="preserve">y</w:t>
      </w:r>
      <w:r>
        <w:rPr>
          <w:lang w:val="es-ES"/>
        </w:rPr>
        <w:t xml:space="preserve"> </w:t>
      </w:r>
      <w:r>
        <w:rPr>
          <w:b/>
          <w:bCs/>
          <w:lang w:val="es-ES"/>
        </w:rPr>
        <w:t xml:space="preserve">juicio de lesividad</w:t>
      </w:r>
      <w:r>
        <w:rPr>
          <w:lang w:val="es-ES"/>
        </w:rPr>
        <w:t xml:space="preserve"> </w:t>
      </w:r>
      <w:r>
        <w:rPr>
          <w:lang w:val="es-ES"/>
        </w:rPr>
        <w:t xml:space="preserve">para revertir concesiones que lesionen el interés público.</w:t>
      </w:r>
    </w:p>
    <w:p>
      <w:pPr>
        <w:pStyle w:val="FirstParagraph"/>
      </w:pPr>
      <w:r>
        <w:rPr>
          <w:lang w:val="es-ES"/>
        </w:rPr>
        <w:t xml:space="preserve">La lógica es de</w:t>
      </w:r>
      <w:r>
        <w:rPr>
          <w:lang w:val="es-ES"/>
        </w:rPr>
        <w:t xml:space="preserve"> </w:t>
      </w:r>
      <w:r>
        <w:rPr>
          <w:b/>
          <w:bCs/>
          <w:lang w:val="es-ES"/>
        </w:rPr>
        <w:t xml:space="preserve">control de acceso al recurso</w:t>
      </w:r>
      <w:r>
        <w:rPr>
          <w:lang w:val="es-ES"/>
        </w:rPr>
        <w:t xml:space="preserve">: quién extrae, bajo qué condiciones ambientales y sociales, y por cuánto tiempo.</w:t>
      </w:r>
    </w:p>
    <w:bookmarkEnd w:id="14"/>
    <w:bookmarkStart w:id="15" w:name="iv.6.2-el-marco-ampliado-2022-2025"/>
    <w:p>
      <w:pPr>
        <w:pStyle w:val="Heading3"/>
      </w:pPr>
      <w:r>
        <w:rPr>
          <w:lang w:val="es-ES"/>
        </w:rPr>
        <w:t xml:space="preserve">IV.6.2 El marco ampliado 2022-2025</w:t>
      </w:r>
    </w:p>
    <w:p>
      <w:pPr>
        <w:pStyle w:val="FirstParagraph"/>
      </w:pPr>
      <w:r>
        <w:rPr>
          <w:lang w:val="es-ES"/>
        </w:rPr>
        <w:t xml:space="preserve">La reforma de 2023 no es un hecho aislado, sino parte de un giro hacia la</w:t>
      </w:r>
      <w:r>
        <w:rPr>
          <w:lang w:val="es-ES"/>
        </w:rPr>
        <w:t xml:space="preserve"> </w:t>
      </w:r>
      <w:r>
        <w:rPr>
          <w:b/>
          <w:bCs/>
          <w:lang w:val="es-ES"/>
        </w:rPr>
        <w:t xml:space="preserve">rectoría estatal del subsuelo</w:t>
      </w:r>
      <w:r>
        <w:rPr>
          <w:lang w:val="es-ES"/>
        </w:rPr>
        <w:t xml:space="preserve">:</w:t>
      </w:r>
    </w:p>
    <w:p>
      <w:pPr>
        <w:numPr>
          <w:ilvl w:val="0"/>
          <w:numId w:val="1002"/>
        </w:numPr>
      </w:pPr>
      <w:r>
        <w:rPr>
          <w:b/>
          <w:bCs/>
          <w:lang w:val="es-ES"/>
        </w:rPr>
        <w:t xml:space="preserve">Nacionalización del litio (2022).</w:t>
      </w:r>
      <w:r>
        <w:rPr>
          <w:lang w:val="es-ES"/>
        </w:rPr>
        <w:t xml:space="preserve"> </w:t>
      </w:r>
      <w:r>
        <w:rPr>
          <w:lang w:val="es-ES"/>
        </w:rPr>
        <w:t xml:space="preserve">La reforma a la Ley Minera de abril de 2022 declaró el litio</w:t>
      </w:r>
      <w:r>
        <w:rPr>
          <w:lang w:val="es-ES"/>
        </w:rPr>
        <w:t xml:space="preserve"> </w:t>
      </w:r>
      <w:r>
        <w:rPr>
          <w:b/>
          <w:bCs/>
          <w:lang w:val="es-ES"/>
        </w:rPr>
        <w:t xml:space="preserve">mineral estratégico, patrimonio de la Nación</w:t>
      </w:r>
      <w:r>
        <w:rPr>
          <w:lang w:val="es-ES"/>
        </w:rPr>
        <w:t xml:space="preserve">, y reservó su exploración y explotación</w:t>
      </w:r>
      <w:r>
        <w:rPr>
          <w:lang w:val="es-ES"/>
        </w:rPr>
        <w:t xml:space="preserve"> </w:t>
      </w:r>
      <w:r>
        <w:rPr>
          <w:b/>
          <w:bCs/>
          <w:lang w:val="es-ES"/>
        </w:rPr>
        <w:t xml:space="preserve">en exclusiva para el Estado</w:t>
      </w:r>
      <w:r>
        <w:rPr>
          <w:lang w:val="es-ES"/>
        </w:rPr>
        <w:t xml:space="preserve">, sin concesiones a privados; se creó la empresa pública</w:t>
      </w:r>
      <w:r>
        <w:rPr>
          <w:lang w:val="es-ES"/>
        </w:rPr>
        <w:t xml:space="preserve"> </w:t>
      </w:r>
      <w:r>
        <w:rPr>
          <w:b/>
          <w:bCs/>
          <w:lang w:val="es-ES"/>
        </w:rPr>
        <w:t xml:space="preserve">LitioMx</w:t>
      </w:r>
      <w:r>
        <w:rPr>
          <w:lang w:val="es-ES"/>
        </w:rPr>
        <w:t xml:space="preserve">. La Suprema Corte (SCJN)</w:t>
      </w:r>
      <w:r>
        <w:rPr>
          <w:lang w:val="es-ES"/>
        </w:rPr>
        <w:t xml:space="preserve"> </w:t>
      </w:r>
      <w:r>
        <w:rPr>
          <w:b/>
          <w:bCs/>
          <w:lang w:val="es-ES"/>
        </w:rPr>
        <w:t xml:space="preserve">validó</w:t>
      </w:r>
      <w:r>
        <w:rPr>
          <w:lang w:val="es-ES"/>
        </w:rPr>
        <w:t xml:space="preserve"> </w:t>
      </w:r>
      <w:r>
        <w:rPr>
          <w:lang w:val="es-ES"/>
        </w:rPr>
        <w:t xml:space="preserve">el marco. Sin embargo, LitioMx opera</w:t>
      </w:r>
      <w:r>
        <w:rPr>
          <w:lang w:val="es-ES"/>
        </w:rPr>
        <w:t xml:space="preserve"> </w:t>
      </w:r>
      <w:r>
        <w:rPr>
          <w:b/>
          <w:bCs/>
          <w:lang w:val="es-ES"/>
        </w:rPr>
        <w:t xml:space="preserve">sin los recursos ni la tecnología</w:t>
      </w:r>
      <w:r>
        <w:rPr>
          <w:lang w:val="es-ES"/>
        </w:rPr>
        <w:t xml:space="preserve"> </w:t>
      </w:r>
      <w:r>
        <w:rPr>
          <w:lang w:val="es-ES"/>
        </w:rPr>
        <w:t xml:space="preserve">para extraer el litio de arcillas (Sonora), y el desarrollo de la cadena se encomendó al Instituto Mexicano del Petróleo y a CONAHCYT.</w:t>
      </w:r>
    </w:p>
    <w:p>
      <w:pPr>
        <w:numPr>
          <w:ilvl w:val="0"/>
          <w:numId w:val="1002"/>
        </w:numPr>
      </w:pPr>
      <w:r>
        <w:rPr>
          <w:b/>
          <w:bCs/>
          <w:lang w:val="es-ES"/>
        </w:rPr>
        <w:t xml:space="preserve">"100 pasos para la transformación" (Sheinbaum, 2024-2025).</w:t>
      </w:r>
      <w:r>
        <w:rPr>
          <w:lang w:val="es-ES"/>
        </w:rPr>
        <w:t xml:space="preserve"> </w:t>
      </w:r>
      <w:r>
        <w:rPr>
          <w:lang w:val="es-ES"/>
        </w:rPr>
        <w:t xml:space="preserve">El gobierno anunció que</w:t>
      </w:r>
      <w:r>
        <w:rPr>
          <w:lang w:val="es-ES"/>
        </w:rPr>
        <w:t xml:space="preserve"> </w:t>
      </w:r>
      <w:r>
        <w:rPr>
          <w:b/>
          <w:bCs/>
          <w:lang w:val="es-ES"/>
        </w:rPr>
        <w:t xml:space="preserve">no otorgará nuevas concesiones mineras</w:t>
      </w:r>
      <w:r>
        <w:rPr>
          <w:lang w:val="es-ES"/>
        </w:rPr>
        <w:t xml:space="preserve"> </w:t>
      </w:r>
      <w:r>
        <w:rPr>
          <w:lang w:val="es-ES"/>
        </w:rPr>
        <w:t xml:space="preserve">durante el sexenio, que las existentes se evaluarán y que revisará una eventual</w:t>
      </w:r>
      <w:r>
        <w:rPr>
          <w:lang w:val="es-ES"/>
        </w:rPr>
        <w:t xml:space="preserve"> </w:t>
      </w:r>
      <w:r>
        <w:rPr>
          <w:b/>
          <w:bCs/>
          <w:lang w:val="es-ES"/>
        </w:rPr>
        <w:t xml:space="preserve">prohibición del tajo abierto</w:t>
      </w:r>
      <w:r>
        <w:rPr>
          <w:lang w:val="es-ES"/>
        </w:rPr>
        <w:t xml:space="preserve"> </w:t>
      </w:r>
      <w:r>
        <w:rPr>
          <w:lang w:val="es-ES"/>
        </w:rPr>
        <w:t xml:space="preserve">—matizada después, al reconocer que el tajo abierto es indispensable para el litio y la arena para cemento y representa</w:t>
      </w:r>
      <w:r>
        <w:rPr>
          <w:lang w:val="es-ES"/>
        </w:rPr>
        <w:t xml:space="preserve"> </w:t>
      </w:r>
      <w:r>
        <w:rPr>
          <w:b/>
          <w:bCs/>
          <w:lang w:val="es-ES"/>
        </w:rPr>
        <w:t xml:space="preserve">~60 % del valor</w:t>
      </w:r>
      <w:r>
        <w:rPr>
          <w:lang w:val="es-ES"/>
        </w:rPr>
        <w:t xml:space="preserve"> </w:t>
      </w:r>
      <w:r>
        <w:rPr>
          <w:lang w:val="es-ES"/>
        </w:rPr>
        <w:t xml:space="preserve">de la producción minero-metalúrgica nacional—.</w:t>
      </w:r>
    </w:p>
    <w:p>
      <w:pPr>
        <w:numPr>
          <w:ilvl w:val="0"/>
          <w:numId w:val="1002"/>
        </w:numPr>
      </w:pPr>
      <w:r>
        <w:rPr>
          <w:b/>
          <w:bCs/>
          <w:lang w:val="es-ES"/>
        </w:rPr>
        <w:t xml:space="preserve">Vacío reglamentario.</w:t>
      </w:r>
      <w:r>
        <w:rPr>
          <w:lang w:val="es-ES"/>
        </w:rPr>
        <w:t xml:space="preserve"> </w:t>
      </w:r>
      <w:r>
        <w:rPr>
          <w:lang w:val="es-ES"/>
        </w:rPr>
        <w:t xml:space="preserve">A la fecha</w:t>
      </w:r>
      <w:r>
        <w:rPr>
          <w:lang w:val="es-ES"/>
        </w:rPr>
        <w:t xml:space="preserve"> </w:t>
      </w:r>
      <w:r>
        <w:rPr>
          <w:b/>
          <w:bCs/>
          <w:lang w:val="es-ES"/>
        </w:rPr>
        <w:t xml:space="preserve">no se ha publicado el Reglamento</w:t>
      </w:r>
      <w:r>
        <w:rPr>
          <w:lang w:val="es-ES"/>
        </w:rPr>
        <w:t xml:space="preserve"> </w:t>
      </w:r>
      <w:r>
        <w:rPr>
          <w:lang w:val="es-ES"/>
        </w:rPr>
        <w:t xml:space="preserve">de la Ley Minera reformada, lo que mantiene en la incertidumbre el procedimiento de licitación y de permisos.</w:t>
      </w:r>
    </w:p>
    <w:bookmarkEnd w:id="15"/>
    <w:bookmarkStart w:id="16" w:name="iv.6.3-impactos-observados-2023-2025"/>
    <w:p>
      <w:pPr>
        <w:pStyle w:val="Heading3"/>
      </w:pPr>
      <w:r>
        <w:rPr>
          <w:lang w:val="es-ES"/>
        </w:rPr>
        <w:t xml:space="preserve">IV.6.3 Impactos observados (2023-2025)</w:t>
      </w:r>
    </w:p>
    <w:p>
      <w:pPr>
        <w:pStyle w:val="FirstParagraph"/>
      </w:pPr>
      <w:r>
        <w:rPr>
          <w:lang w:val="es-ES"/>
        </w:rPr>
        <w:t xml:space="preserve">Los efectos documentados operan sobre la</w:t>
      </w:r>
      <w:r>
        <w:rPr>
          <w:lang w:val="es-ES"/>
        </w:rPr>
        <w:t xml:space="preserve"> </w:t>
      </w:r>
      <w:r>
        <w:rPr>
          <w:b/>
          <w:bCs/>
          <w:lang w:val="es-ES"/>
        </w:rPr>
        <w:t xml:space="preserve">inversión y la exploración</w:t>
      </w:r>
      <w:r>
        <w:rPr>
          <w:lang w:val="es-ES"/>
        </w:rPr>
        <w:t xml:space="preserve">, no sobre la transformación:</w:t>
      </w:r>
    </w:p>
    <w:p>
      <w:pPr>
        <w:numPr>
          <w:ilvl w:val="0"/>
          <w:numId w:val="1003"/>
        </w:numPr>
      </w:pPr>
      <w:r>
        <w:rPr>
          <w:lang w:val="es-ES"/>
        </w:rPr>
        <w:t xml:space="preserve">La</w:t>
      </w:r>
      <w:r>
        <w:rPr>
          <w:lang w:val="es-ES"/>
        </w:rPr>
        <w:t xml:space="preserve"> </w:t>
      </w:r>
      <w:r>
        <w:rPr>
          <w:b/>
          <w:bCs/>
          <w:lang w:val="es-ES"/>
        </w:rPr>
        <w:t xml:space="preserve">inversión en exploración cayó 11.5 %</w:t>
      </w:r>
      <w:r>
        <w:rPr>
          <w:lang w:val="es-ES"/>
        </w:rPr>
        <w:t xml:space="preserve">, de 452.9 a 437.7 millones de dólares entre 2023 y 2024.</w:t>
      </w:r>
    </w:p>
    <w:p>
      <w:pPr>
        <w:numPr>
          <w:ilvl w:val="0"/>
          <w:numId w:val="1003"/>
        </w:numPr>
      </w:pPr>
      <w:r>
        <w:rPr>
          <w:lang w:val="es-ES"/>
        </w:rPr>
        <w:t xml:space="preserve">La</w:t>
      </w:r>
      <w:r>
        <w:rPr>
          <w:lang w:val="es-ES"/>
        </w:rPr>
        <w:t xml:space="preserve"> </w:t>
      </w:r>
      <w:r>
        <w:rPr>
          <w:b/>
          <w:bCs/>
          <w:lang w:val="es-ES"/>
        </w:rPr>
        <w:t xml:space="preserve">inversión minera total bajó 3.3 % en 2025</w:t>
      </w:r>
      <w:r>
        <w:rPr>
          <w:lang w:val="es-ES"/>
        </w:rPr>
        <w:t xml:space="preserve"> </w:t>
      </w:r>
      <w:r>
        <w:rPr>
          <w:lang w:val="es-ES"/>
        </w:rPr>
        <w:t xml:space="preserve">(de 5,063 a 4,896 millones de dólares), por el freno a proyectos nuevos y los retrasos de permisos.</w:t>
      </w:r>
    </w:p>
    <w:p>
      <w:pPr>
        <w:numPr>
          <w:ilvl w:val="0"/>
          <w:numId w:val="1003"/>
        </w:numPr>
      </w:pPr>
      <w:r>
        <w:rPr>
          <w:lang w:val="es-ES"/>
        </w:rPr>
        <w:t xml:space="preserve">Alrededor de</w:t>
      </w:r>
      <w:r>
        <w:rPr>
          <w:lang w:val="es-ES"/>
        </w:rPr>
        <w:t xml:space="preserve"> </w:t>
      </w:r>
      <w:r>
        <w:rPr>
          <w:b/>
          <w:bCs/>
          <w:lang w:val="es-ES"/>
        </w:rPr>
        <w:t xml:space="preserve">160 proyectos quedaron detenidos</w:t>
      </w:r>
      <w:r>
        <w:rPr>
          <w:lang w:val="es-ES"/>
        </w:rPr>
        <w:t xml:space="preserve"> </w:t>
      </w:r>
      <w:r>
        <w:rPr>
          <w:lang w:val="es-ES"/>
        </w:rPr>
        <w:t xml:space="preserve">por falta de permisos ambientales y por la ausencia de reglamento, con miles de millones en riesgo.</w:t>
      </w:r>
    </w:p>
    <w:p>
      <w:pPr>
        <w:numPr>
          <w:ilvl w:val="0"/>
          <w:numId w:val="1003"/>
        </w:numPr>
      </w:pPr>
      <w:r>
        <w:rPr>
          <w:lang w:val="es-ES"/>
        </w:rPr>
        <w:t xml:space="preserve">CAMIMEX advierte que una prohibición del tajo abierto podría</w:t>
      </w:r>
      <w:r>
        <w:rPr>
          <w:lang w:val="es-ES"/>
        </w:rPr>
        <w:t xml:space="preserve"> </w:t>
      </w:r>
      <w:r>
        <w:rPr>
          <w:b/>
          <w:bCs/>
          <w:lang w:val="es-ES"/>
        </w:rPr>
        <w:t xml:space="preserve">restar ~1 % al PIB</w:t>
      </w:r>
      <w:r>
        <w:rPr>
          <w:lang w:val="es-ES"/>
        </w:rPr>
        <w:t xml:space="preserve"> </w:t>
      </w:r>
      <w:r>
        <w:rPr>
          <w:lang w:val="es-ES"/>
        </w:rPr>
        <w:t xml:space="preserve">y comprometer cerca de</w:t>
      </w:r>
      <w:r>
        <w:rPr>
          <w:lang w:val="es-ES"/>
        </w:rPr>
        <w:t xml:space="preserve"> </w:t>
      </w:r>
      <w:r>
        <w:rPr>
          <w:b/>
          <w:bCs/>
          <w:lang w:val="es-ES"/>
        </w:rPr>
        <w:t xml:space="preserve">200 mil empleos</w:t>
      </w:r>
      <w:r>
        <w:rPr>
          <w:lang w:val="es-ES"/>
        </w:rPr>
        <w:t xml:space="preserve">.</w:t>
      </w:r>
    </w:p>
    <w:bookmarkEnd w:id="16"/>
    <w:bookmarkStart w:id="17" w:name="X04d531d3ce41cb05d12092309fd308898baee50"/>
    <w:p>
      <w:pPr>
        <w:pStyle w:val="Heading3"/>
      </w:pPr>
      <w:r>
        <w:rPr>
          <w:lang w:val="es-ES"/>
        </w:rPr>
        <w:t xml:space="preserve">IV.6.4 El punto descriptivo clave: la reforma actúa sobre la extracción, no sobre la cadena de valor</w:t>
      </w:r>
    </w:p>
    <w:p>
      <w:pPr>
        <w:pStyle w:val="FirstParagraph"/>
      </w:pPr>
      <w:r>
        <w:rPr>
          <w:lang w:val="es-ES"/>
        </w:rPr>
        <w:t xml:space="preserve">Leído en clave de cadenas de valor, el marco institucional mexicano regula</w:t>
      </w:r>
      <w:r>
        <w:rPr>
          <w:lang w:val="es-ES"/>
        </w:rPr>
        <w:t xml:space="preserve"> </w:t>
      </w:r>
      <w:r>
        <w:rPr>
          <w:b/>
          <w:bCs/>
          <w:lang w:val="es-ES"/>
        </w:rPr>
        <w:t xml:space="preserve">la entrada al recurso</w:t>
      </w:r>
      <w:r>
        <w:rPr>
          <w:lang w:val="es-ES"/>
        </w:rPr>
        <w:t xml:space="preserve"> </w:t>
      </w:r>
      <w:r>
        <w:rPr>
          <w:lang w:val="es-ES"/>
        </w:rPr>
        <w:t xml:space="preserve">—concesiones, agua, medio ambiente, consulta, plazos— pero</w:t>
      </w:r>
      <w:r>
        <w:rPr>
          <w:lang w:val="es-ES"/>
        </w:rPr>
        <w:t xml:space="preserve"> </w:t>
      </w:r>
      <w:r>
        <w:rPr>
          <w:b/>
          <w:bCs/>
          <w:lang w:val="es-ES"/>
        </w:rPr>
        <w:t xml:space="preserve">no contiene instrumentos que promuevan el encadenamiento hacia adelante</w:t>
      </w:r>
      <w:r>
        <w:rPr>
          <w:lang w:val="es-ES"/>
        </w:rPr>
        <w:t xml:space="preserve">: no incentiva la fundición, la refinación, la semimanufactura ni la manufactura; no condiciona las concesiones a agregar valor en el país; no crea capacidades de transformación. Incluso donde el Estado asume el recurso en exclusiva —el litio—, lo hace</w:t>
      </w:r>
      <w:r>
        <w:rPr>
          <w:lang w:val="es-ES"/>
        </w:rPr>
        <w:t xml:space="preserve"> </w:t>
      </w:r>
      <w:r>
        <w:rPr>
          <w:b/>
          <w:bCs/>
          <w:lang w:val="es-ES"/>
        </w:rPr>
        <w:t xml:space="preserve">sin capacidad de procesamiento</w:t>
      </w:r>
      <w:r>
        <w:rPr>
          <w:lang w:val="es-ES"/>
        </w:rPr>
        <w:t xml:space="preserve">, de modo que la rectoría sobre la mina no se traduce en control de la cadena.</w:t>
      </w:r>
    </w:p>
    <w:p>
      <w:pPr>
        <w:pStyle w:val="BodyText"/>
      </w:pPr>
      <w:r>
        <w:rPr>
          <w:lang w:val="es-ES"/>
        </w:rPr>
        <w:t xml:space="preserve">Esto es coherente con el hallazgo central de la tesis: el</w:t>
      </w:r>
      <w:r>
        <w:rPr>
          <w:lang w:val="es-ES"/>
        </w:rPr>
        <w:t xml:space="preserve"> </w:t>
      </w:r>
      <w:r>
        <w:rPr>
          <w:b/>
          <w:bCs/>
          <w:lang w:val="es-ES"/>
        </w:rPr>
        <w:t xml:space="preserve">enclave estructural</w:t>
      </w:r>
      <w:r>
        <w:rPr>
          <w:lang w:val="es-ES"/>
        </w:rPr>
        <w:t xml:space="preserve"> </w:t>
      </w:r>
      <w:r>
        <w:rPr>
          <w:lang w:val="es-ES"/>
        </w:rPr>
        <w:t xml:space="preserve">no se corrige con la reforma, porque ésta opera en el eslabón donde el enclave</w:t>
      </w:r>
      <w:r>
        <w:rPr>
          <w:lang w:val="es-ES"/>
        </w:rPr>
        <w:t xml:space="preserve"> </w:t>
      </w:r>
      <w:r>
        <w:rPr>
          <w:b/>
          <w:bCs/>
          <w:lang w:val="es-ES"/>
        </w:rPr>
        <w:t xml:space="preserve">no</w:t>
      </w:r>
      <w:r>
        <w:rPr>
          <w:lang w:val="es-ES"/>
        </w:rPr>
        <w:t xml:space="preserve"> </w:t>
      </w:r>
      <w:r>
        <w:rPr>
          <w:lang w:val="es-ES"/>
        </w:rPr>
        <w:t xml:space="preserve">está —la extracción— y deja intacto el eslabón donde sí está —la transformación—. En los términos del Cap. II, México dispone de un marco orientado a la</w:t>
      </w:r>
      <w:r>
        <w:rPr>
          <w:lang w:val="es-ES"/>
        </w:rPr>
        <w:t xml:space="preserve"> </w:t>
      </w:r>
      <w:r>
        <w:rPr>
          <w:b/>
          <w:bCs/>
          <w:lang w:val="es-ES"/>
        </w:rPr>
        <w:t xml:space="preserve">seguridad/rectoría del recurso</w:t>
      </w:r>
      <w:r>
        <w:rPr>
          <w:lang w:val="es-ES"/>
        </w:rPr>
        <w:t xml:space="preserve">, pero carece del marco de</w:t>
      </w:r>
      <w:r>
        <w:rPr>
          <w:lang w:val="es-ES"/>
        </w:rPr>
        <w:t xml:space="preserve"> </w:t>
      </w:r>
      <w:r>
        <w:rPr>
          <w:b/>
          <w:bCs/>
          <w:lang w:val="es-ES"/>
        </w:rPr>
        <w:t xml:space="preserve">captura de valor</w:t>
      </w:r>
      <w:r>
        <w:rPr>
          <w:lang w:val="es-ES"/>
        </w:rPr>
        <w:t xml:space="preserve"> </w:t>
      </w:r>
      <w:r>
        <w:rPr>
          <w:lang w:val="es-ES"/>
        </w:rPr>
        <w:t xml:space="preserve">(política industrial de encadenamiento, integración vertical, condicionamiento de concesiones a la transformación) que caracteriza a los países que sí profundizan su cadena (Cap. VII, comparativa internacional). La reforma cambia</w:t>
      </w:r>
      <w:r>
        <w:rPr>
          <w:lang w:val="es-ES"/>
        </w:rPr>
        <w:t xml:space="preserve"> </w:t>
      </w:r>
      <w:r>
        <w:rPr>
          <w:b/>
          <w:bCs/>
          <w:lang w:val="es-ES"/>
        </w:rPr>
        <w:t xml:space="preserve">quién</w:t>
      </w:r>
      <w:r>
        <w:rPr>
          <w:lang w:val="es-ES"/>
        </w:rPr>
        <w:t xml:space="preserve"> </w:t>
      </w:r>
      <w:r>
        <w:rPr>
          <w:lang w:val="es-ES"/>
        </w:rPr>
        <w:t xml:space="preserve">extrae y</w:t>
      </w:r>
      <w:r>
        <w:rPr>
          <w:lang w:val="es-ES"/>
        </w:rPr>
        <w:t xml:space="preserve"> </w:t>
      </w:r>
      <w:r>
        <w:rPr>
          <w:b/>
          <w:bCs/>
          <w:lang w:val="es-ES"/>
        </w:rPr>
        <w:t xml:space="preserve">bajo qué condiciones</w:t>
      </w:r>
      <w:r>
        <w:rPr>
          <w:lang w:val="es-ES"/>
        </w:rPr>
        <w:t xml:space="preserve">, no</w:t>
      </w:r>
      <w:r>
        <w:rPr>
          <w:lang w:val="es-ES"/>
        </w:rPr>
        <w:t xml:space="preserve"> </w:t>
      </w:r>
      <w:r>
        <w:rPr>
          <w:b/>
          <w:bCs/>
          <w:lang w:val="es-ES"/>
        </w:rPr>
        <w:t xml:space="preserve">hasta dónde</w:t>
      </w:r>
      <w:r>
        <w:rPr>
          <w:lang w:val="es-ES"/>
        </w:rPr>
        <w:t xml:space="preserve"> </w:t>
      </w:r>
      <w:r>
        <w:rPr>
          <w:lang w:val="es-ES"/>
        </w:rPr>
        <w:t xml:space="preserve">llega la cadena dentro del país.</w:t>
      </w:r>
    </w:p>
    <w:p>
      <w:pPr>
        <w:pStyle w:val="BodyText"/>
      </w:pPr>
      <w:r>
        <w:rPr>
          <w:b/>
          <w:bCs/>
          <w:lang w:val="es-ES"/>
        </w:rPr>
        <w:t xml:space="preserve">Fuentes (La reforma de 2023 y el marco institucional):</w:t>
      </w:r>
      <w:r>
        <w:rPr>
          <w:lang w:val="es-ES"/>
        </w:rPr>
        <w:t xml:space="preserve"> </w:t>
      </w:r>
      <w:r>
        <w:rPr>
          <w:lang w:val="es-ES"/>
        </w:rPr>
        <w:t xml:space="preserve">-</w:t>
      </w:r>
      <w:r>
        <w:rPr>
          <w:lang w:val="es-ES"/>
        </w:rPr>
        <w:t xml:space="preserve"> </w:t>
      </w:r>
      <w:r>
        <w:rPr>
          <w:b/>
          <w:bCs/>
          <w:lang w:val="es-ES"/>
        </w:rPr>
        <w:t xml:space="preserve">Decreto de reforma</w:t>
      </w:r>
      <w:r>
        <w:rPr>
          <w:lang w:val="es-ES"/>
        </w:rPr>
        <w:t xml:space="preserve"> </w:t>
      </w:r>
      <w:r>
        <w:rPr>
          <w:lang w:val="es-ES"/>
        </w:rPr>
        <w:t xml:space="preserve">a la Ley Minera, Ley de Aguas Nacionales, LGEEPA y LGPGIR (DOF, 8 de mayo de 2023) — Bases Originales/15 Marco Institucional/Mexico/decreto_reforma_ley_minera_DOF_2023-05-08.pdf; Ley Minera vigente (Cámara de Diputados).</w:t>
      </w:r>
    </w:p>
    <w:p>
      <w:pPr>
        <w:numPr>
          <w:ilvl w:val="0"/>
          <w:numId w:val="1004"/>
        </w:numPr>
      </w:pPr>
      <w:r>
        <w:rPr>
          <w:lang w:val="es-ES"/>
        </w:rPr>
        <w:t xml:space="preserve">Nacionalización del litio: Norton Rose Fulbright (2023); resolución SCJN. Análisis: DLA Piper, Holland &amp; Knight, Greenberg Traurig.</w:t>
      </w:r>
    </w:p>
    <w:p>
      <w:pPr>
        <w:numPr>
          <w:ilvl w:val="0"/>
          <w:numId w:val="1004"/>
        </w:numPr>
      </w:pPr>
      <w:r>
        <w:rPr>
          <w:lang w:val="es-ES"/>
        </w:rPr>
        <w:t xml:space="preserve">Impactos e inversión: CAMIMEX vía</w:t>
      </w:r>
      <w:r>
        <w:rPr>
          <w:lang w:val="es-ES"/>
        </w:rPr>
        <w:t xml:space="preserve"> </w:t>
      </w:r>
      <w:r>
        <w:rPr>
          <w:i/>
          <w:iCs/>
          <w:lang w:val="es-ES"/>
        </w:rPr>
        <w:t xml:space="preserve">Mexico Business News</w:t>
      </w:r>
      <w:r>
        <w:rPr>
          <w:lang w:val="es-ES"/>
        </w:rPr>
        <w:t xml:space="preserve"> </w:t>
      </w:r>
      <w:r>
        <w:rPr>
          <w:lang w:val="es-ES"/>
        </w:rPr>
        <w:t xml:space="preserve">(2024-2026); S&amp;P Global (2025, "no new mining concessions"); MINING.COM (2024, revisión del tajo abierto).</w:t>
      </w:r>
    </w:p>
    <w:bookmarkEnd w:id="17"/>
    <w:bookmarkEnd w:id="18"/>
    <w:bookmarkStart w:id="22" w:name="X0b7758d8ddd371e13c347ca3590f07120d026e0"/>
    <w:p>
      <w:pPr>
        <w:pStyle w:val="Heading2"/>
      </w:pPr>
      <w:r>
        <w:rPr>
          <w:lang w:val="es-ES"/>
        </w:rPr>
        <w:t xml:space="preserve">IV.7 La referencia institucional internacional</w:t>
      </w:r>
    </w:p>
    <w:bookmarkStart w:id="19" w:name="Xbc9bf532b804fc8f04f06781c7ef0b3efa21a1c"/>
    <w:p>
      <w:pPr>
        <w:pStyle w:val="Heading3"/>
      </w:pPr>
      <w:r>
        <w:rPr>
          <w:lang w:val="es-ES"/>
        </w:rPr>
        <w:t xml:space="preserve">IV.7.1 China — el procesador global dirigido por el Estado</w:t>
      </w:r>
    </w:p>
    <w:p>
      <w:pPr>
        <w:pStyle w:val="FirstParagraph"/>
      </w:pPr>
      <w:r>
        <w:rPr>
          <w:lang w:val="es-ES"/>
        </w:rPr>
        <w:t xml:space="preserve">China no destaca por su dotación minera, sino por haber construido, con</w:t>
      </w:r>
      <w:r>
        <w:rPr>
          <w:lang w:val="es-ES"/>
        </w:rPr>
        <w:t xml:space="preserve"> </w:t>
      </w:r>
      <w:r>
        <w:rPr>
          <w:b/>
          <w:bCs/>
          <w:lang w:val="es-ES"/>
        </w:rPr>
        <w:t xml:space="preserve">política industrial de Estado</w:t>
      </w:r>
      <w:r>
        <w:rPr>
          <w:lang w:val="es-ES"/>
        </w:rPr>
        <w:t xml:space="preserve">, el</w:t>
      </w:r>
      <w:r>
        <w:rPr>
          <w:lang w:val="es-ES"/>
        </w:rPr>
        <w:t xml:space="preserve"> </w:t>
      </w:r>
      <w:r>
        <w:rPr>
          <w:b/>
          <w:bCs/>
          <w:lang w:val="es-ES"/>
        </w:rPr>
        <w:t xml:space="preserve">dominio de la transformación</w:t>
      </w:r>
      <w:r>
        <w:rPr>
          <w:lang w:val="es-ES"/>
        </w:rPr>
        <w:t xml:space="preserve">: procesa ~</w:t>
      </w:r>
      <w:r>
        <w:rPr>
          <w:b/>
          <w:bCs/>
          <w:lang w:val="es-ES"/>
        </w:rPr>
        <w:t xml:space="preserve">75 % del grafito natural</w:t>
      </w:r>
      <w:r>
        <w:rPr>
          <w:lang w:val="es-ES"/>
        </w:rPr>
        <w:t xml:space="preserve"> </w:t>
      </w:r>
      <w:r>
        <w:rPr>
          <w:lang w:val="es-ES"/>
        </w:rPr>
        <w:t xml:space="preserve">del mundo y domina el</w:t>
      </w:r>
      <w:r>
        <w:rPr>
          <w:lang w:val="es-ES"/>
        </w:rPr>
        <w:t xml:space="preserve"> </w:t>
      </w:r>
      <w:r>
        <w:rPr>
          <w:b/>
          <w:bCs/>
          <w:lang w:val="es-ES"/>
        </w:rPr>
        <w:t xml:space="preserve">grafito esférico</w:t>
      </w:r>
      <w:r>
        <w:rPr>
          <w:lang w:val="es-ES"/>
        </w:rPr>
        <w:t xml:space="preserve"> </w:t>
      </w:r>
      <w:r>
        <w:rPr>
          <w:lang w:val="es-ES"/>
        </w:rPr>
        <w:t xml:space="preserve">para ánodos de batería; concentra cerca del</w:t>
      </w:r>
      <w:r>
        <w:rPr>
          <w:lang w:val="es-ES"/>
        </w:rPr>
        <w:t xml:space="preserve"> </w:t>
      </w:r>
      <w:r>
        <w:rPr>
          <w:b/>
          <w:bCs/>
          <w:lang w:val="es-ES"/>
        </w:rPr>
        <w:t xml:space="preserve">90 % de la refinación de tierras raras</w:t>
      </w:r>
      <w:r>
        <w:rPr>
          <w:lang w:val="es-ES"/>
        </w:rPr>
        <w:t xml:space="preserve">; y es el</w:t>
      </w:r>
      <w:r>
        <w:rPr>
          <w:lang w:val="es-ES"/>
        </w:rPr>
        <w:t xml:space="preserve"> </w:t>
      </w:r>
      <w:r>
        <w:rPr>
          <w:b/>
          <w:bCs/>
          <w:lang w:val="es-ES"/>
        </w:rPr>
        <w:t xml:space="preserve">refinador líder de 19 de 20 minerales estratégicos</w:t>
      </w:r>
      <w:r>
        <w:rPr>
          <w:lang w:val="es-ES"/>
        </w:rPr>
        <w:t xml:space="preserve"> </w:t>
      </w:r>
      <w:r>
        <w:rPr>
          <w:lang w:val="es-ES"/>
        </w:rPr>
        <w:t xml:space="preserve">que sigue la AIE, con una cuota media cercana al</w:t>
      </w:r>
      <w:r>
        <w:rPr>
          <w:lang w:val="es-ES"/>
        </w:rPr>
        <w:t xml:space="preserve"> </w:t>
      </w:r>
      <w:r>
        <w:rPr>
          <w:b/>
          <w:bCs/>
          <w:lang w:val="es-ES"/>
        </w:rPr>
        <w:t xml:space="preserve">70 %</w:t>
      </w:r>
      <w:r>
        <w:rPr>
          <w:lang w:val="es-ES"/>
        </w:rPr>
        <w:t xml:space="preserve">. El marco institucional que lo sostiene:</w:t>
      </w:r>
    </w:p>
    <w:p>
      <w:pPr>
        <w:numPr>
          <w:ilvl w:val="0"/>
          <w:numId w:val="1005"/>
        </w:numPr>
      </w:pPr>
      <w:r>
        <w:rPr>
          <w:b/>
          <w:bCs/>
          <w:lang w:val="es-ES"/>
        </w:rPr>
        <w:t xml:space="preserve">Planeación industrial de largo plazo.</w:t>
      </w:r>
      <w:r>
        <w:rPr>
          <w:lang w:val="es-ES"/>
        </w:rPr>
        <w:t xml:space="preserve"> </w:t>
      </w:r>
      <w:r>
        <w:rPr>
          <w:lang w:val="es-ES"/>
        </w:rPr>
        <w:t xml:space="preserve">Los planes quinquenales y</w:t>
      </w:r>
      <w:r>
        <w:rPr>
          <w:lang w:val="es-ES"/>
        </w:rPr>
        <w:t xml:space="preserve"> </w:t>
      </w:r>
      <w:r>
        <w:rPr>
          <w:i/>
          <w:iCs/>
          <w:lang w:val="es-ES"/>
        </w:rPr>
        <w:t xml:space="preserve">Made in China 2025</w:t>
      </w:r>
      <w:r>
        <w:rPr>
          <w:lang w:val="es-ES"/>
        </w:rPr>
        <w:t xml:space="preserve"> </w:t>
      </w:r>
      <w:r>
        <w:rPr>
          <w:lang w:val="es-ES"/>
        </w:rPr>
        <w:t xml:space="preserve">fijan metas de escalamiento en las cadenas de mayor valor (baterías, semiconductores, vehículos eléctricos), con empresas estatales (SOE), banca de desarrollo y subsidios dirigidos, coordinados por la</w:t>
      </w:r>
      <w:r>
        <w:rPr>
          <w:lang w:val="es-ES"/>
        </w:rPr>
        <w:t xml:space="preserve"> </w:t>
      </w:r>
      <w:r>
        <w:rPr>
          <w:b/>
          <w:bCs/>
          <w:lang w:val="es-ES"/>
        </w:rPr>
        <w:t xml:space="preserve">Comisión Nacional de Desarrollo y Reforma (NDRC)</w:t>
      </w:r>
      <w:r>
        <w:rPr>
          <w:lang w:val="es-ES"/>
        </w:rPr>
        <w:t xml:space="preserve"> </w:t>
      </w:r>
      <w:r>
        <w:rPr>
          <w:lang w:val="es-ES"/>
        </w:rPr>
        <w:t xml:space="preserve">y el</w:t>
      </w:r>
      <w:r>
        <w:rPr>
          <w:lang w:val="es-ES"/>
        </w:rPr>
        <w:t xml:space="preserve"> </w:t>
      </w:r>
      <w:r>
        <w:rPr>
          <w:b/>
          <w:bCs/>
          <w:lang w:val="es-ES"/>
        </w:rPr>
        <w:t xml:space="preserve">MIIT</w:t>
      </w:r>
      <w:r>
        <w:rPr>
          <w:lang w:val="es-ES"/>
        </w:rPr>
        <w:t xml:space="preserve">.</w:t>
      </w:r>
    </w:p>
    <w:p>
      <w:pPr>
        <w:numPr>
          <w:ilvl w:val="0"/>
          <w:numId w:val="1005"/>
        </w:numPr>
      </w:pPr>
      <w:r>
        <w:rPr>
          <w:b/>
          <w:bCs/>
          <w:lang w:val="es-ES"/>
        </w:rPr>
        <w:t xml:space="preserve">Control de la transformación como palanca geopolítica.</w:t>
      </w:r>
      <w:r>
        <w:rPr>
          <w:lang w:val="es-ES"/>
        </w:rPr>
        <w:t xml:space="preserve"> </w:t>
      </w:r>
      <w:r>
        <w:rPr>
          <w:lang w:val="es-ES"/>
        </w:rPr>
        <w:t xml:space="preserve">Desde 2023 China declaró</w:t>
      </w:r>
      <w:r>
        <w:rPr>
          <w:lang w:val="es-ES"/>
        </w:rPr>
        <w:t xml:space="preserve"> </w:t>
      </w:r>
      <w:r>
        <w:rPr>
          <w:b/>
          <w:bCs/>
          <w:lang w:val="es-ES"/>
        </w:rPr>
        <w:t xml:space="preserve">dual-use</w:t>
      </w:r>
      <w:r>
        <w:rPr>
          <w:lang w:val="es-ES"/>
        </w:rPr>
        <w:t xml:space="preserve"> </w:t>
      </w:r>
      <w:r>
        <w:rPr>
          <w:lang w:val="es-ES"/>
        </w:rPr>
        <w:t xml:space="preserve">al galio, el germanio y el</w:t>
      </w:r>
      <w:r>
        <w:rPr>
          <w:lang w:val="es-ES"/>
        </w:rPr>
        <w:t xml:space="preserve"> </w:t>
      </w:r>
      <w:r>
        <w:rPr>
          <w:b/>
          <w:bCs/>
          <w:lang w:val="es-ES"/>
        </w:rPr>
        <w:t xml:space="preserve">grafito</w:t>
      </w:r>
      <w:r>
        <w:rPr>
          <w:lang w:val="es-ES"/>
        </w:rPr>
        <w:t xml:space="preserve"> </w:t>
      </w:r>
      <w:r>
        <w:rPr>
          <w:lang w:val="es-ES"/>
        </w:rPr>
        <w:t xml:space="preserve">(y luego a otros), sujetándolos a</w:t>
      </w:r>
      <w:r>
        <w:rPr>
          <w:lang w:val="es-ES"/>
        </w:rPr>
        <w:t xml:space="preserve"> </w:t>
      </w:r>
      <w:r>
        <w:rPr>
          <w:b/>
          <w:bCs/>
          <w:lang w:val="es-ES"/>
        </w:rPr>
        <w:t xml:space="preserve">licencias de exportación</w:t>
      </w:r>
      <w:r>
        <w:rPr>
          <w:lang w:val="es-ES"/>
        </w:rPr>
        <w:t xml:space="preserve"> </w:t>
      </w:r>
      <w:r>
        <w:rPr>
          <w:lang w:val="es-ES"/>
        </w:rPr>
        <w:t xml:space="preserve">administradas por el</w:t>
      </w:r>
      <w:r>
        <w:rPr>
          <w:lang w:val="es-ES"/>
        </w:rPr>
        <w:t xml:space="preserve"> </w:t>
      </w:r>
      <w:r>
        <w:rPr>
          <w:b/>
          <w:bCs/>
          <w:lang w:val="es-ES"/>
        </w:rPr>
        <w:t xml:space="preserve">MOFCOM</w:t>
      </w:r>
      <w:r>
        <w:rPr>
          <w:lang w:val="es-ES"/>
        </w:rPr>
        <w:t xml:space="preserve">: convirtió su dominio del procesamiento en un instrumento de presión estratégica (señales a EE.UU., Japón, Países Bajos). En 2025-2026 endureció y luego relajó selectivamente esos controles según la coyuntura comercial.</w:t>
      </w:r>
    </w:p>
    <w:p>
      <w:pPr>
        <w:numPr>
          <w:ilvl w:val="0"/>
          <w:numId w:val="1005"/>
        </w:numPr>
      </w:pPr>
      <w:r>
        <w:rPr>
          <w:b/>
          <w:bCs/>
          <w:lang w:val="es-ES"/>
        </w:rPr>
        <w:t xml:space="preserve">Marco unificado de seguridad de cadenas.</w:t>
      </w:r>
      <w:r>
        <w:rPr>
          <w:lang w:val="es-ES"/>
        </w:rPr>
        <w:t xml:space="preserve"> </w:t>
      </w:r>
      <w:r>
        <w:rPr>
          <w:lang w:val="es-ES"/>
        </w:rPr>
        <w:t xml:space="preserve">La normativa reciente (p. ej., las</w:t>
      </w:r>
      <w:r>
        <w:rPr>
          <w:lang w:val="es-ES"/>
        </w:rPr>
        <w:t xml:space="preserve"> </w:t>
      </w:r>
      <w:r>
        <w:rPr>
          <w:i/>
          <w:iCs/>
          <w:lang w:val="es-ES"/>
        </w:rPr>
        <w:t xml:space="preserve">Provisiones sobre Seguridad de las Cadenas Industriales y de Suministro</w:t>
      </w:r>
      <w:r>
        <w:rPr>
          <w:lang w:val="es-ES"/>
        </w:rPr>
        <w:t xml:space="preserve">, 2026) integra controles de exportación, contramedidas y escrutinio de inversiones bajo un mandato único de seguridad nacional.</w:t>
      </w:r>
    </w:p>
    <w:p>
      <w:pPr>
        <w:pStyle w:val="FirstParagraph"/>
      </w:pPr>
      <w:r>
        <w:rPr>
          <w:b/>
          <w:bCs/>
          <w:lang w:val="es-ES"/>
        </w:rPr>
        <w:t xml:space="preserve">Lectura institucional:</w:t>
      </w:r>
      <w:r>
        <w:rPr>
          <w:lang w:val="es-ES"/>
        </w:rPr>
        <w:t xml:space="preserve"> </w:t>
      </w:r>
      <w:r>
        <w:rPr>
          <w:lang w:val="es-ES"/>
        </w:rPr>
        <w:t xml:space="preserve">un Estado desarrollista que</w:t>
      </w:r>
      <w:r>
        <w:rPr>
          <w:lang w:val="es-ES"/>
        </w:rPr>
        <w:t xml:space="preserve"> </w:t>
      </w:r>
      <w:r>
        <w:rPr>
          <w:b/>
          <w:bCs/>
          <w:lang w:val="es-ES"/>
        </w:rPr>
        <w:t xml:space="preserve">subsidia y dirige la transformación aguas abajo</w:t>
      </w:r>
      <w:r>
        <w:rPr>
          <w:lang w:val="es-ES"/>
        </w:rPr>
        <w:t xml:space="preserve"> </w:t>
      </w:r>
      <w:r>
        <w:rPr>
          <w:lang w:val="es-ES"/>
        </w:rPr>
        <w:t xml:space="preserve">y usa su posición en el procesamiento como activo estratégico. El resultado en los indicadores (crudo_share 0.07) es la contracara de ese diseño: capta el valor que los demás exportan en crudo.</w:t>
      </w:r>
    </w:p>
    <w:bookmarkEnd w:id="19"/>
    <w:bookmarkStart w:id="20" w:name="Xcc821df6195bb844bbb0971a173aec6828b366d"/>
    <w:p>
      <w:pPr>
        <w:pStyle w:val="Heading3"/>
      </w:pPr>
      <w:r>
        <w:rPr>
          <w:lang w:val="es-ES"/>
        </w:rPr>
        <w:t xml:space="preserve">IV.7.2 El modelo nórdico (Suecia y Finlandia) — integración vertical con propiedad estatal y política europea</w:t>
      </w:r>
    </w:p>
    <w:p>
      <w:pPr>
        <w:pStyle w:val="FirstParagraph"/>
      </w:pPr>
      <w:r>
        <w:rPr>
          <w:lang w:val="es-ES"/>
        </w:rPr>
        <w:t xml:space="preserve">Finlandia y Suecia integran la cadena mediante una combinación de</w:t>
      </w:r>
      <w:r>
        <w:rPr>
          <w:lang w:val="es-ES"/>
        </w:rPr>
        <w:t xml:space="preserve"> </w:t>
      </w:r>
      <w:r>
        <w:rPr>
          <w:b/>
          <w:bCs/>
          <w:lang w:val="es-ES"/>
        </w:rPr>
        <w:t xml:space="preserve">propiedad estatal estratégica</w:t>
      </w:r>
      <w:r>
        <w:rPr>
          <w:lang w:val="es-ES"/>
        </w:rPr>
        <w:t xml:space="preserve">,</w:t>
      </w:r>
      <w:r>
        <w:rPr>
          <w:lang w:val="es-ES"/>
        </w:rPr>
        <w:t xml:space="preserve"> </w:t>
      </w:r>
      <w:r>
        <w:rPr>
          <w:b/>
          <w:bCs/>
          <w:lang w:val="es-ES"/>
        </w:rPr>
        <w:t xml:space="preserve">integración vertical empresarial</w:t>
      </w:r>
      <w:r>
        <w:rPr>
          <w:lang w:val="es-ES"/>
        </w:rPr>
        <w:t xml:space="preserve"> </w:t>
      </w:r>
      <w:r>
        <w:rPr>
          <w:lang w:val="es-ES"/>
        </w:rPr>
        <w:t xml:space="preserve">y el</w:t>
      </w:r>
      <w:r>
        <w:rPr>
          <w:lang w:val="es-ES"/>
        </w:rPr>
        <w:t xml:space="preserve"> </w:t>
      </w:r>
      <w:r>
        <w:rPr>
          <w:b/>
          <w:bCs/>
          <w:lang w:val="es-ES"/>
        </w:rPr>
        <w:t xml:space="preserve">marco de política industrial de la Unión Europea</w:t>
      </w:r>
      <w:r>
        <w:rPr>
          <w:lang w:val="es-ES"/>
        </w:rPr>
        <w:t xml:space="preserve">:</w:t>
      </w:r>
    </w:p>
    <w:p>
      <w:pPr>
        <w:numPr>
          <w:ilvl w:val="0"/>
          <w:numId w:val="1006"/>
        </w:numPr>
      </w:pPr>
      <w:r>
        <w:rPr>
          <w:b/>
          <w:bCs/>
          <w:lang w:val="es-ES"/>
        </w:rPr>
        <w:t xml:space="preserve">Propiedad estatal orientada a la transformación.</w:t>
      </w:r>
      <w:r>
        <w:rPr>
          <w:lang w:val="es-ES"/>
        </w:rPr>
        <w:t xml:space="preserve"> </w:t>
      </w:r>
      <w:r>
        <w:rPr>
          <w:lang w:val="es-ES"/>
        </w:rPr>
        <w:t xml:space="preserve">La sueca</w:t>
      </w:r>
      <w:r>
        <w:rPr>
          <w:lang w:val="es-ES"/>
        </w:rPr>
        <w:t xml:space="preserve"> </w:t>
      </w:r>
      <w:r>
        <w:rPr>
          <w:b/>
          <w:bCs/>
          <w:lang w:val="es-ES"/>
        </w:rPr>
        <w:t xml:space="preserve">LKAB</w:t>
      </w:r>
      <w:r>
        <w:rPr>
          <w:lang w:val="es-ES"/>
        </w:rPr>
        <w:t xml:space="preserve"> </w:t>
      </w:r>
      <w:r>
        <w:rPr>
          <w:lang w:val="es-ES"/>
        </w:rPr>
        <w:t xml:space="preserve">—empresa</w:t>
      </w:r>
      <w:r>
        <w:rPr>
          <w:lang w:val="es-ES"/>
        </w:rPr>
        <w:t xml:space="preserve"> </w:t>
      </w:r>
      <w:r>
        <w:rPr>
          <w:b/>
          <w:bCs/>
          <w:lang w:val="es-ES"/>
        </w:rPr>
        <w:t xml:space="preserve">100 % estatal</w:t>
      </w:r>
      <w:r>
        <w:rPr>
          <w:lang w:val="es-ES"/>
        </w:rPr>
        <w:t xml:space="preserve">— pasa del hierro a las</w:t>
      </w:r>
      <w:r>
        <w:rPr>
          <w:lang w:val="es-ES"/>
        </w:rPr>
        <w:t xml:space="preserve"> </w:t>
      </w:r>
      <w:r>
        <w:rPr>
          <w:b/>
          <w:bCs/>
          <w:lang w:val="es-ES"/>
        </w:rPr>
        <w:t xml:space="preserve">tierras raras</w:t>
      </w:r>
      <w:r>
        <w:rPr>
          <w:lang w:val="es-ES"/>
        </w:rPr>
        <w:t xml:space="preserve"> </w:t>
      </w:r>
      <w:r>
        <w:rPr>
          <w:lang w:val="es-ES"/>
        </w:rPr>
        <w:t xml:space="preserve">(yacimiento Per Geijer, ~2.2 millones de toneladas de óxidos, el mayor de Europa) y</w:t>
      </w:r>
      <w:r>
        <w:rPr>
          <w:lang w:val="es-ES"/>
        </w:rPr>
        <w:t xml:space="preserve"> </w:t>
      </w:r>
      <w:r>
        <w:rPr>
          <w:b/>
          <w:bCs/>
          <w:lang w:val="es-ES"/>
        </w:rPr>
        <w:t xml:space="preserve">construye en Luleå una planta de procesamiento</w:t>
      </w:r>
      <w:r>
        <w:rPr>
          <w:lang w:val="es-ES"/>
        </w:rPr>
        <w:t xml:space="preserve"> </w:t>
      </w:r>
      <w:r>
        <w:rPr>
          <w:lang w:val="es-ES"/>
        </w:rPr>
        <w:t xml:space="preserve">de minerales críticos (inversión &gt; 1,000 millones de euros), la primera de su tipo en Europa. Su balance estatal le da capacidad de financiar proyectos de alto riesgo técnico.</w:t>
      </w:r>
    </w:p>
    <w:p>
      <w:pPr>
        <w:numPr>
          <w:ilvl w:val="0"/>
          <w:numId w:val="1006"/>
        </w:numPr>
      </w:pPr>
      <w:r>
        <w:rPr>
          <w:b/>
          <w:bCs/>
          <w:lang w:val="es-ES"/>
        </w:rPr>
        <w:t xml:space="preserve">Integración vertical privada.</w:t>
      </w:r>
      <w:r>
        <w:rPr>
          <w:lang w:val="es-ES"/>
        </w:rPr>
        <w:t xml:space="preserve"> </w:t>
      </w:r>
      <w:r>
        <w:rPr>
          <w:b/>
          <w:bCs/>
          <w:lang w:val="es-ES"/>
        </w:rPr>
        <w:t xml:space="preserve">Boliden</w:t>
      </w:r>
      <w:r>
        <w:rPr>
          <w:lang w:val="es-ES"/>
        </w:rPr>
        <w:t xml:space="preserve"> </w:t>
      </w:r>
      <w:r>
        <w:rPr>
          <w:lang w:val="es-ES"/>
        </w:rPr>
        <w:t xml:space="preserve">(Suecia) conecta directamente sus minas de Suecia y Finlandia con sus</w:t>
      </w:r>
      <w:r>
        <w:rPr>
          <w:lang w:val="es-ES"/>
        </w:rPr>
        <w:t xml:space="preserve"> </w:t>
      </w:r>
      <w:r>
        <w:rPr>
          <w:b/>
          <w:bCs/>
          <w:lang w:val="es-ES"/>
        </w:rPr>
        <w:t xml:space="preserve">fundiciones</w:t>
      </w:r>
      <w:r>
        <w:rPr>
          <w:lang w:val="es-ES"/>
        </w:rPr>
        <w:t xml:space="preserve"> </w:t>
      </w:r>
      <w:r>
        <w:rPr>
          <w:lang w:val="es-ES"/>
        </w:rPr>
        <w:t xml:space="preserve">propias (en Suecia, Finlandia y Noruega/Odda), reduciendo riesgo logístico y de capital y reteniendo el valor de la refinación.</w:t>
      </w:r>
      <w:r>
        <w:rPr>
          <w:lang w:val="es-ES"/>
        </w:rPr>
        <w:t xml:space="preserve"> </w:t>
      </w:r>
      <w:r>
        <w:rPr>
          <w:b/>
          <w:bCs/>
          <w:lang w:val="es-ES"/>
        </w:rPr>
        <w:t xml:space="preserve">Finlandia</w:t>
      </w:r>
      <w:r>
        <w:rPr>
          <w:lang w:val="es-ES"/>
        </w:rPr>
        <w:t xml:space="preserve"> </w:t>
      </w:r>
      <w:r>
        <w:rPr>
          <w:lang w:val="es-ES"/>
        </w:rPr>
        <w:t xml:space="preserve">combina recursos upstream con</w:t>
      </w:r>
      <w:r>
        <w:rPr>
          <w:lang w:val="es-ES"/>
        </w:rPr>
        <w:t xml:space="preserve"> </w:t>
      </w:r>
      <w:r>
        <w:rPr>
          <w:b/>
          <w:bCs/>
          <w:lang w:val="es-ES"/>
        </w:rPr>
        <w:t xml:space="preserve">capacidad de refinación de metales de batería</w:t>
      </w:r>
      <w:r>
        <w:rPr>
          <w:lang w:val="es-ES"/>
        </w:rPr>
        <w:t xml:space="preserve"> </w:t>
      </w:r>
      <w:r>
        <w:rPr>
          <w:lang w:val="es-ES"/>
        </w:rPr>
        <w:t xml:space="preserve">(níquel, cobalto) y se posiciona como el "powerhouse" nórdico de metales para batería.</w:t>
      </w:r>
    </w:p>
    <w:p>
      <w:pPr>
        <w:numPr>
          <w:ilvl w:val="0"/>
          <w:numId w:val="1006"/>
        </w:numPr>
      </w:pPr>
      <w:r>
        <w:rPr>
          <w:b/>
          <w:bCs/>
          <w:lang w:val="es-ES"/>
        </w:rPr>
        <w:t xml:space="preserve">Política industrial europea coordinada.</w:t>
      </w:r>
      <w:r>
        <w:rPr>
          <w:lang w:val="es-ES"/>
        </w:rPr>
        <w:t xml:space="preserve"> </w:t>
      </w:r>
      <w:r>
        <w:rPr>
          <w:lang w:val="es-ES"/>
        </w:rPr>
        <w:t xml:space="preserve">El</w:t>
      </w:r>
      <w:r>
        <w:rPr>
          <w:lang w:val="es-ES"/>
        </w:rPr>
        <w:t xml:space="preserve"> </w:t>
      </w:r>
      <w:r>
        <w:rPr>
          <w:b/>
          <w:bCs/>
          <w:lang w:val="es-ES"/>
        </w:rPr>
        <w:t xml:space="preserve">Reglamento UE de Materias Primas Críticas (CRMA, 2024/1252)</w:t>
      </w:r>
      <w:r>
        <w:rPr>
          <w:lang w:val="es-ES"/>
        </w:rPr>
        <w:t xml:space="preserve"> </w:t>
      </w:r>
      <w:r>
        <w:rPr>
          <w:lang w:val="es-ES"/>
        </w:rPr>
        <w:t xml:space="preserve">fija metas para 2030 —extraer ≥10 %,</w:t>
      </w:r>
      <w:r>
        <w:rPr>
          <w:lang w:val="es-ES"/>
        </w:rPr>
        <w:t xml:space="preserve"> </w:t>
      </w:r>
      <w:r>
        <w:rPr>
          <w:b/>
          <w:bCs/>
          <w:lang w:val="es-ES"/>
        </w:rPr>
        <w:t xml:space="preserve">procesar ≥40 %</w:t>
      </w:r>
      <w:r>
        <w:rPr>
          <w:lang w:val="es-ES"/>
        </w:rPr>
        <w:t xml:space="preserve"> </w:t>
      </w:r>
      <w:r>
        <w:rPr>
          <w:lang w:val="es-ES"/>
        </w:rPr>
        <w:t xml:space="preserve">y</w:t>
      </w:r>
      <w:r>
        <w:rPr>
          <w:lang w:val="es-ES"/>
        </w:rPr>
        <w:t xml:space="preserve"> </w:t>
      </w:r>
      <w:r>
        <w:rPr>
          <w:b/>
          <w:bCs/>
          <w:lang w:val="es-ES"/>
        </w:rPr>
        <w:t xml:space="preserve">reciclar ≥25 %</w:t>
      </w:r>
      <w:r>
        <w:rPr>
          <w:lang w:val="es-ES"/>
        </w:rPr>
        <w:t xml:space="preserve"> </w:t>
      </w:r>
      <w:r>
        <w:rPr>
          <w:lang w:val="es-ES"/>
        </w:rPr>
        <w:t xml:space="preserve">del consumo europeo de materias primas estratégicas, y no depender de un solo tercer país en más del 65 %—, designa</w:t>
      </w:r>
      <w:r>
        <w:rPr>
          <w:lang w:val="es-ES"/>
        </w:rPr>
        <w:t xml:space="preserve"> </w:t>
      </w:r>
      <w:r>
        <w:rPr>
          <w:b/>
          <w:bCs/>
          <w:lang w:val="es-ES"/>
        </w:rPr>
        <w:t xml:space="preserve">Proyectos Estratégicos</w:t>
      </w:r>
      <w:r>
        <w:rPr>
          <w:lang w:val="es-ES"/>
        </w:rPr>
        <w:t xml:space="preserve"> </w:t>
      </w:r>
      <w:r>
        <w:rPr>
          <w:lang w:val="es-ES"/>
        </w:rPr>
        <w:t xml:space="preserve">(varios de LKAB) con permisos acelerados y financiamiento, y se articula con la</w:t>
      </w:r>
      <w:r>
        <w:rPr>
          <w:lang w:val="es-ES"/>
        </w:rPr>
        <w:t xml:space="preserve"> </w:t>
      </w:r>
      <w:r>
        <w:rPr>
          <w:b/>
          <w:bCs/>
          <w:lang w:val="es-ES"/>
        </w:rPr>
        <w:t xml:space="preserve">Alianza Europea de Baterías (EBA)</w:t>
      </w:r>
      <w:r>
        <w:rPr>
          <w:lang w:val="es-ES"/>
        </w:rPr>
        <w:t xml:space="preserve"> </w:t>
      </w:r>
      <w:r>
        <w:rPr>
          <w:lang w:val="es-ES"/>
        </w:rPr>
        <w:t xml:space="preserve">y agencias nacionales (Business Finland, Vinnova, Business Sweden). El objetivo declarado es hacer del bloque nórdico el</w:t>
      </w:r>
      <w:r>
        <w:rPr>
          <w:lang w:val="es-ES"/>
        </w:rPr>
        <w:t xml:space="preserve"> </w:t>
      </w:r>
      <w:r>
        <w:rPr>
          <w:b/>
          <w:bCs/>
          <w:lang w:val="es-ES"/>
        </w:rPr>
        <w:t xml:space="preserve">hub europeo de baterías y materias primas críticas</w:t>
      </w:r>
      <w:r>
        <w:rPr>
          <w:lang w:val="es-ES"/>
        </w:rPr>
        <w:t xml:space="preserve">.</w:t>
      </w:r>
    </w:p>
    <w:p>
      <w:pPr>
        <w:pStyle w:val="FirstParagraph"/>
      </w:pPr>
      <w:r>
        <w:rPr>
          <w:b/>
          <w:bCs/>
          <w:lang w:val="es-ES"/>
        </w:rPr>
        <w:t xml:space="preserve">Lectura institucional:</w:t>
      </w:r>
      <w:r>
        <w:rPr>
          <w:lang w:val="es-ES"/>
        </w:rPr>
        <w:t xml:space="preserve"> </w:t>
      </w:r>
      <w:r>
        <w:rPr>
          <w:lang w:val="es-ES"/>
        </w:rPr>
        <w:t xml:space="preserve">el Estado</w:t>
      </w:r>
      <w:r>
        <w:rPr>
          <w:lang w:val="es-ES"/>
        </w:rPr>
        <w:t xml:space="preserve"> </w:t>
      </w:r>
      <w:r>
        <w:rPr>
          <w:b/>
          <w:bCs/>
          <w:lang w:val="es-ES"/>
        </w:rPr>
        <w:t xml:space="preserve">posee y financia</w:t>
      </w:r>
      <w:r>
        <w:rPr>
          <w:lang w:val="es-ES"/>
        </w:rPr>
        <w:t xml:space="preserve"> </w:t>
      </w:r>
      <w:r>
        <w:rPr>
          <w:lang w:val="es-ES"/>
        </w:rPr>
        <w:t xml:space="preserve">los eslabones estratégicos (LKAB), la empresa</w:t>
      </w:r>
      <w:r>
        <w:rPr>
          <w:lang w:val="es-ES"/>
        </w:rPr>
        <w:t xml:space="preserve"> </w:t>
      </w:r>
      <w:r>
        <w:rPr>
          <w:b/>
          <w:bCs/>
          <w:lang w:val="es-ES"/>
        </w:rPr>
        <w:t xml:space="preserve">integra verticalmente</w:t>
      </w:r>
      <w:r>
        <w:rPr>
          <w:lang w:val="es-ES"/>
        </w:rPr>
        <w:t xml:space="preserve"> </w:t>
      </w:r>
      <w:r>
        <w:rPr>
          <w:lang w:val="es-ES"/>
        </w:rPr>
        <w:t xml:space="preserve">mina→fundición (Boliden), y una</w:t>
      </w:r>
      <w:r>
        <w:rPr>
          <w:lang w:val="es-ES"/>
        </w:rPr>
        <w:t xml:space="preserve"> </w:t>
      </w:r>
      <w:r>
        <w:rPr>
          <w:b/>
          <w:bCs/>
          <w:lang w:val="es-ES"/>
        </w:rPr>
        <w:t xml:space="preserve">política supranacional</w:t>
      </w:r>
      <w:r>
        <w:rPr>
          <w:lang w:val="es-ES"/>
        </w:rPr>
        <w:t xml:space="preserve"> </w:t>
      </w:r>
      <w:r>
        <w:rPr>
          <w:lang w:val="es-ES"/>
        </w:rPr>
        <w:t xml:space="preserve">(CRMA/EBA) fija metas de procesamiento doméstico y acelera los permisos. La integración es un objetivo de política, no un resultado espontáneo del mercado.</w:t>
      </w:r>
    </w:p>
    <w:bookmarkEnd w:id="20"/>
    <w:bookmarkStart w:id="21" w:name="Xa99a2a6410dc1115052aa15e3802199c79724cd"/>
    <w:p>
      <w:pPr>
        <w:pStyle w:val="Heading3"/>
      </w:pPr>
      <w:r>
        <w:rPr>
          <w:lang w:val="es-ES"/>
        </w:rPr>
        <w:t xml:space="preserve">IV.7.3 Contraste con México (síntesis descriptiva)</w:t>
      </w:r>
    </w:p>
    <w:tbl>
      <w:tblPr>
        <w:tblStyle w:val="Table"/>
        <w:tblW w:type="pct" w:w="4955"/>
        <w:tblLayout w:type="fixed"/>
        <w:tblLook w:firstRow="1" w:lastRow="0" w:firstColumn="0" w:lastColumn="0" w:noHBand="0" w:noVBand="0" w:val="0020"/>
      </w:tblPr>
      <w:tblGrid>
        <w:gridCol w:w="1641"/>
        <w:gridCol w:w="1819"/>
        <w:gridCol w:w="2033"/>
        <w:gridCol w:w="2354"/>
      </w:tblGrid>
      <w:tr>
        <w:trPr>
          <w:tblHeader w:val="on"/>
        </w:trPr>
        <w:tc>
          <w:tcPr/>
          <w:p>
            <w:pPr>
              <w:pStyle w:val="Compact"/>
              <w:jc w:val="left"/>
            </w:pPr>
            <w:r>
              <w:rPr>
                <w:b/>
                <w:bCs/>
                <w:lang w:val="es-ES"/>
              </w:rPr>
              <w:t xml:space="preserve">Dimensión institucional</w:t>
            </w:r>
          </w:p>
        </w:tc>
        <w:tc>
          <w:tcPr/>
          <w:p>
            <w:pPr>
              <w:pStyle w:val="Compact"/>
              <w:jc w:val="left"/>
            </w:pPr>
            <w:r>
              <w:rPr>
                <w:b/>
                <w:bCs/>
                <w:lang w:val="es-ES"/>
              </w:rPr>
              <w:t xml:space="preserve">China</w:t>
            </w:r>
          </w:p>
        </w:tc>
        <w:tc>
          <w:tcPr/>
          <w:p>
            <w:pPr>
              <w:pStyle w:val="Compact"/>
              <w:jc w:val="left"/>
            </w:pPr>
            <w:r>
              <w:rPr>
                <w:b/>
                <w:bCs/>
                <w:lang w:val="es-ES"/>
              </w:rPr>
              <w:t xml:space="preserve">Nórdicos (SE/FI)</w:t>
            </w:r>
          </w:p>
        </w:tc>
        <w:tc>
          <w:tcPr/>
          <w:p>
            <w:pPr>
              <w:pStyle w:val="Compact"/>
              <w:jc w:val="left"/>
            </w:pPr>
            <w:r>
              <w:rPr>
                <w:b/>
                <w:bCs/>
                <w:lang w:val="es-ES"/>
              </w:rPr>
              <w:t xml:space="preserve">México</w:t>
            </w:r>
          </w:p>
        </w:tc>
      </w:tr>
      <w:tr>
        <w:tc>
          <w:tcPr/>
          <w:p>
            <w:pPr>
              <w:pStyle w:val="Compact"/>
              <w:jc w:val="left"/>
            </w:pPr>
            <w:r>
              <w:rPr>
                <w:lang w:val="es-ES"/>
              </w:rPr>
              <w:t xml:space="preserve">Rol del Estado</w:t>
            </w:r>
          </w:p>
        </w:tc>
        <w:tc>
          <w:tcPr/>
          <w:p>
            <w:pPr>
              <w:pStyle w:val="Compact"/>
              <w:jc w:val="left"/>
            </w:pPr>
            <w:r>
              <w:rPr>
                <w:lang w:val="es-ES"/>
              </w:rPr>
              <w:t xml:space="preserve">Dirige y subsidia la</w:t>
            </w:r>
            <w:r>
              <w:rPr>
                <w:lang w:val="es-ES"/>
              </w:rPr>
              <w:t xml:space="preserve"> </w:t>
            </w:r>
            <w:r>
              <w:rPr>
                <w:b/>
                <w:bCs/>
                <w:lang w:val="es-ES"/>
              </w:rPr>
              <w:t xml:space="preserve">transformación</w:t>
            </w:r>
          </w:p>
        </w:tc>
        <w:tc>
          <w:tcPr/>
          <w:p>
            <w:pPr>
              <w:pStyle w:val="Compact"/>
              <w:jc w:val="left"/>
            </w:pPr>
            <w:r>
              <w:rPr>
                <w:b/>
                <w:bCs/>
                <w:lang w:val="es-ES"/>
              </w:rPr>
              <w:t xml:space="preserve">Posee</w:t>
            </w:r>
            <w:r>
              <w:rPr>
                <w:lang w:val="es-ES"/>
              </w:rPr>
              <w:t xml:space="preserve"> </w:t>
            </w:r>
            <w:r>
              <w:rPr>
                <w:lang w:val="es-ES"/>
              </w:rPr>
              <w:t xml:space="preserve">(LKAB) y financia los eslabones estratégicos</w:t>
            </w:r>
          </w:p>
        </w:tc>
        <w:tc>
          <w:tcPr/>
          <w:p>
            <w:pPr>
              <w:pStyle w:val="Compact"/>
              <w:jc w:val="left"/>
            </w:pPr>
            <w:r>
              <w:rPr>
                <w:lang w:val="es-ES"/>
              </w:rPr>
              <w:t xml:space="preserve">Regula la</w:t>
            </w:r>
            <w:r>
              <w:rPr>
                <w:lang w:val="es-ES"/>
              </w:rPr>
              <w:t xml:space="preserve"> </w:t>
            </w:r>
            <w:r>
              <w:rPr>
                <w:b/>
                <w:bCs/>
                <w:lang w:val="es-ES"/>
              </w:rPr>
              <w:t xml:space="preserve">entrada al recurso</w:t>
            </w:r>
            <w:r>
              <w:rPr>
                <w:lang w:val="es-ES"/>
              </w:rPr>
              <w:t xml:space="preserve"> </w:t>
            </w:r>
            <w:r>
              <w:rPr>
                <w:lang w:val="es-ES"/>
              </w:rPr>
              <w:t xml:space="preserve">(concesiones, agua, ambiental)</w:t>
            </w:r>
          </w:p>
        </w:tc>
      </w:tr>
      <w:tr>
        <w:tc>
          <w:tcPr/>
          <w:p>
            <w:pPr>
              <w:pStyle w:val="Compact"/>
              <w:jc w:val="left"/>
            </w:pPr>
            <w:r>
              <w:rPr>
                <w:lang w:val="es-ES"/>
              </w:rPr>
              <w:t xml:space="preserve">Instrumento principal</w:t>
            </w:r>
          </w:p>
        </w:tc>
        <w:tc>
          <w:tcPr/>
          <w:p>
            <w:pPr>
              <w:pStyle w:val="Compact"/>
              <w:jc w:val="left"/>
            </w:pPr>
            <w:r>
              <w:rPr>
                <w:lang w:val="es-ES"/>
              </w:rPr>
              <w:t xml:space="preserve">Política industrial +</w:t>
            </w:r>
            <w:r>
              <w:rPr>
                <w:lang w:val="es-ES"/>
              </w:rPr>
              <w:t xml:space="preserve"> </w:t>
            </w:r>
            <w:r>
              <w:rPr>
                <w:b/>
                <w:bCs/>
                <w:lang w:val="es-ES"/>
              </w:rPr>
              <w:t xml:space="preserve">control de exportación</w:t>
            </w:r>
          </w:p>
        </w:tc>
        <w:tc>
          <w:tcPr/>
          <w:p>
            <w:pPr>
              <w:pStyle w:val="Compact"/>
              <w:jc w:val="left"/>
            </w:pPr>
            <w:r>
              <w:rPr>
                <w:lang w:val="es-ES"/>
              </w:rPr>
              <w:t xml:space="preserve">UE-CRMA +</w:t>
            </w:r>
            <w:r>
              <w:rPr>
                <w:lang w:val="es-ES"/>
              </w:rPr>
              <w:t xml:space="preserve"> </w:t>
            </w:r>
            <w:r>
              <w:rPr>
                <w:b/>
                <w:bCs/>
                <w:lang w:val="es-ES"/>
              </w:rPr>
              <w:t xml:space="preserve">integración vertical</w:t>
            </w:r>
            <w:r>
              <w:rPr>
                <w:lang w:val="es-ES"/>
              </w:rPr>
              <w:t xml:space="preserve"> </w:t>
            </w:r>
            <w:r>
              <w:rPr>
                <w:lang w:val="es-ES"/>
              </w:rPr>
              <w:t xml:space="preserve">+ propiedad estatal</w:t>
            </w:r>
          </w:p>
        </w:tc>
        <w:tc>
          <w:tcPr/>
          <w:p>
            <w:pPr>
              <w:pStyle w:val="Compact"/>
              <w:jc w:val="left"/>
            </w:pPr>
            <w:r>
              <w:rPr>
                <w:lang w:val="es-ES"/>
              </w:rPr>
              <w:t xml:space="preserve">Ley Minera (licitación, plazos, consulta)</w:t>
            </w:r>
          </w:p>
        </w:tc>
      </w:tr>
      <w:tr>
        <w:tc>
          <w:tcPr/>
          <w:p>
            <w:pPr>
              <w:pStyle w:val="Compact"/>
              <w:jc w:val="left"/>
            </w:pPr>
            <w:r>
              <w:rPr>
                <w:lang w:val="es-ES"/>
              </w:rPr>
              <w:t xml:space="preserve">Foco de la cadena</w:t>
            </w:r>
          </w:p>
        </w:tc>
        <w:tc>
          <w:tcPr/>
          <w:p>
            <w:pPr>
              <w:pStyle w:val="Compact"/>
              <w:jc w:val="left"/>
            </w:pPr>
            <w:r>
              <w:rPr>
                <w:lang w:val="es-ES"/>
              </w:rPr>
              <w:t xml:space="preserve">Aguas abajo (</w:t>
            </w:r>
            <w:r>
              <w:rPr>
                <w:b/>
                <w:bCs/>
                <w:lang w:val="es-ES"/>
              </w:rPr>
              <w:t xml:space="preserve">procesamiento</w:t>
            </w:r>
            <w:r>
              <w:rPr>
                <w:lang w:val="es-ES"/>
              </w:rPr>
              <w:t xml:space="preserve">)</w:t>
            </w:r>
          </w:p>
        </w:tc>
        <w:tc>
          <w:tcPr/>
          <w:p>
            <w:pPr>
              <w:pStyle w:val="Compact"/>
              <w:jc w:val="left"/>
            </w:pPr>
            <w:r>
              <w:rPr>
                <w:b/>
                <w:bCs/>
                <w:lang w:val="es-ES"/>
              </w:rPr>
              <w:t xml:space="preserve">Cadena completa</w:t>
            </w:r>
            <w:r>
              <w:rPr>
                <w:lang w:val="es-ES"/>
              </w:rPr>
              <w:t xml:space="preserve"> </w:t>
            </w:r>
            <w:r>
              <w:rPr>
                <w:lang w:val="es-ES"/>
              </w:rPr>
              <w:t xml:space="preserve">(mina→refinación→batería)</w:t>
            </w:r>
          </w:p>
        </w:tc>
        <w:tc>
          <w:tcPr/>
          <w:p>
            <w:pPr>
              <w:pStyle w:val="Compact"/>
              <w:jc w:val="left"/>
            </w:pPr>
            <w:r>
              <w:rPr>
                <w:lang w:val="es-ES"/>
              </w:rPr>
              <w:t xml:space="preserve">Aguas arriba (</w:t>
            </w:r>
            <w:r>
              <w:rPr>
                <w:b/>
                <w:bCs/>
                <w:lang w:val="es-ES"/>
              </w:rPr>
              <w:t xml:space="preserve">extracción</w:t>
            </w:r>
            <w:r>
              <w:rPr>
                <w:lang w:val="es-ES"/>
              </w:rPr>
              <w:t xml:space="preserve">)</w:t>
            </w:r>
          </w:p>
        </w:tc>
      </w:tr>
      <w:tr>
        <w:tc>
          <w:tcPr/>
          <w:p>
            <w:pPr>
              <w:pStyle w:val="Compact"/>
              <w:jc w:val="left"/>
            </w:pPr>
            <w:r>
              <w:rPr>
                <w:lang w:val="es-ES"/>
              </w:rPr>
              <w:t xml:space="preserve">¿Litio/estratégicos?</w:t>
            </w:r>
          </w:p>
        </w:tc>
        <w:tc>
          <w:tcPr/>
          <w:p>
            <w:pPr>
              <w:pStyle w:val="Compact"/>
              <w:jc w:val="left"/>
            </w:pPr>
            <w:r>
              <w:rPr>
                <w:lang w:val="es-ES"/>
              </w:rPr>
              <w:t xml:space="preserve">Domina el refinado mundial</w:t>
            </w:r>
          </w:p>
        </w:tc>
        <w:tc>
          <w:tcPr/>
          <w:p>
            <w:pPr>
              <w:pStyle w:val="Compact"/>
              <w:jc w:val="left"/>
            </w:pPr>
            <w:r>
              <w:rPr>
                <w:lang w:val="es-ES"/>
              </w:rPr>
              <w:t xml:space="preserve">Metas CRMA de procesamiento 40 % (2030)</w:t>
            </w:r>
          </w:p>
        </w:tc>
        <w:tc>
          <w:tcPr/>
          <w:p>
            <w:pPr>
              <w:pStyle w:val="Compact"/>
              <w:jc w:val="left"/>
            </w:pPr>
            <w:r>
              <w:rPr>
                <w:lang w:val="es-ES"/>
              </w:rPr>
              <w:t xml:space="preserve">Litio al Estado,</w:t>
            </w:r>
            <w:r>
              <w:rPr>
                <w:lang w:val="es-ES"/>
              </w:rPr>
              <w:t xml:space="preserve"> </w:t>
            </w:r>
            <w:r>
              <w:rPr>
                <w:b/>
                <w:bCs/>
                <w:lang w:val="es-ES"/>
              </w:rPr>
              <w:t xml:space="preserve">sin capacidad de procesar</w:t>
            </w:r>
          </w:p>
        </w:tc>
      </w:tr>
      <w:tr>
        <w:tc>
          <w:tcPr/>
          <w:p>
            <w:pPr>
              <w:pStyle w:val="Compact"/>
              <w:jc w:val="left"/>
            </w:pPr>
            <w:r>
              <w:rPr>
                <w:lang w:val="es-ES"/>
              </w:rPr>
              <w:t xml:space="preserve">Resultado en indicadores (crudo_share 2018)</w:t>
            </w:r>
          </w:p>
        </w:tc>
        <w:tc>
          <w:tcPr/>
          <w:p>
            <w:pPr>
              <w:pStyle w:val="Compact"/>
              <w:jc w:val="left"/>
            </w:pPr>
            <w:r>
              <w:rPr>
                <w:b/>
                <w:bCs/>
                <w:lang w:val="es-ES"/>
              </w:rPr>
              <w:t xml:space="preserve">0.07</w:t>
            </w:r>
          </w:p>
        </w:tc>
        <w:tc>
          <w:tcPr/>
          <w:p>
            <w:pPr>
              <w:pStyle w:val="Compact"/>
              <w:jc w:val="left"/>
            </w:pPr>
            <w:r>
              <w:rPr>
                <w:b/>
                <w:bCs/>
                <w:lang w:val="es-ES"/>
              </w:rPr>
              <w:t xml:space="preserve">0.45–0.48</w:t>
            </w:r>
          </w:p>
        </w:tc>
        <w:tc>
          <w:tcPr/>
          <w:p>
            <w:pPr>
              <w:pStyle w:val="Compact"/>
              <w:jc w:val="left"/>
            </w:pPr>
            <w:r>
              <w:rPr>
                <w:lang w:val="es-ES"/>
              </w:rPr>
              <w:t xml:space="preserve">0.38 (agregado engañoso; cobre 94.7 % en concentrado)</w:t>
            </w:r>
          </w:p>
        </w:tc>
      </w:tr>
    </w:tbl>
    <w:p>
      <w:pPr>
        <w:pStyle w:val="BodyText"/>
      </w:pPr>
      <w:r>
        <w:rPr>
          <w:lang w:val="es-ES"/>
        </w:rPr>
        <w:t xml:space="preserve">La comparación deja una lección</w:t>
      </w:r>
      <w:r>
        <w:rPr>
          <w:lang w:val="es-ES"/>
        </w:rPr>
        <w:t xml:space="preserve"> </w:t>
      </w:r>
      <w:r>
        <w:rPr>
          <w:b/>
          <w:bCs/>
          <w:lang w:val="es-ES"/>
        </w:rPr>
        <w:t xml:space="preserve">descriptiva</w:t>
      </w:r>
      <w:r>
        <w:rPr>
          <w:lang w:val="es-ES"/>
        </w:rPr>
        <w:t xml:space="preserve"> </w:t>
      </w:r>
      <w:r>
        <w:rPr>
          <w:lang w:val="es-ES"/>
        </w:rPr>
        <w:t xml:space="preserve">para el Cap. VII y las bases de política del Cap. IX: la diferencia entre integrar y no integrar</w:t>
      </w:r>
      <w:r>
        <w:rPr>
          <w:lang w:val="es-ES"/>
        </w:rPr>
        <w:t xml:space="preserve"> </w:t>
      </w:r>
      <w:r>
        <w:rPr>
          <w:b/>
          <w:bCs/>
          <w:lang w:val="es-ES"/>
        </w:rPr>
        <w:t xml:space="preserve">no está en la dotación</w:t>
      </w:r>
      <w:r>
        <w:rPr>
          <w:lang w:val="es-ES"/>
        </w:rPr>
        <w:t xml:space="preserve"> </w:t>
      </w:r>
      <w:r>
        <w:rPr>
          <w:lang w:val="es-ES"/>
        </w:rPr>
        <w:t xml:space="preserve">—Perú y Chile la tienen y exportan ~98 % de su valor minero en crudo— sino en un</w:t>
      </w:r>
      <w:r>
        <w:rPr>
          <w:lang w:val="es-ES"/>
        </w:rPr>
        <w:t xml:space="preserve"> </w:t>
      </w:r>
      <w:r>
        <w:rPr>
          <w:b/>
          <w:bCs/>
          <w:lang w:val="es-ES"/>
        </w:rPr>
        <w:t xml:space="preserve">diseño institucional orientado a la transformación</w:t>
      </w:r>
      <w:r>
        <w:rPr>
          <w:lang w:val="es-ES"/>
        </w:rPr>
        <w:t xml:space="preserve">: dirigirla (China), poseerla y financiarla (nórdicos) o fijarle metas y acelerarla (UE-CRMA). El marco mexicano, en cambio, se concentra en</w:t>
      </w:r>
      <w:r>
        <w:rPr>
          <w:lang w:val="es-ES"/>
        </w:rPr>
        <w:t xml:space="preserve"> </w:t>
      </w:r>
      <w:r>
        <w:rPr>
          <w:b/>
          <w:bCs/>
          <w:lang w:val="es-ES"/>
        </w:rPr>
        <w:t xml:space="preserve">quién extrae y bajo qué condiciones</w:t>
      </w:r>
      <w:r>
        <w:rPr>
          <w:lang w:val="es-ES"/>
        </w:rPr>
        <w:t xml:space="preserve">, sin instrumentos que empujen la cadena hacia adelante. Recuperar la rectoría del recurso y profundizar la cadena de valor son, institucionalmente,</w:t>
      </w:r>
      <w:r>
        <w:rPr>
          <w:lang w:val="es-ES"/>
        </w:rPr>
        <w:t xml:space="preserve"> </w:t>
      </w:r>
      <w:r>
        <w:rPr>
          <w:b/>
          <w:bCs/>
          <w:lang w:val="es-ES"/>
        </w:rPr>
        <w:t xml:space="preserve">dos políticas distintas</w:t>
      </w:r>
      <w:r>
        <w:rPr>
          <w:lang w:val="es-ES"/>
        </w:rPr>
        <w:t xml:space="preserve">; México ha avanzado en la primera y no en la segunda.</w:t>
      </w:r>
    </w:p>
    <w:p>
      <w:pPr>
        <w:pStyle w:val="BodyText"/>
      </w:pPr>
      <w:r>
        <w:rPr>
          <w:b/>
          <w:bCs/>
          <w:lang w:val="es-ES"/>
        </w:rPr>
        <w:t xml:space="preserve">Fuentes (La referencia institucional internacional):</w:t>
      </w:r>
      <w:r>
        <w:rPr>
          <w:lang w:val="es-ES"/>
        </w:rPr>
        <w:t xml:space="preserve"> </w:t>
      </w:r>
      <w:r>
        <w:rPr>
          <w:lang w:val="es-ES"/>
        </w:rPr>
        <w:t xml:space="preserve">-</w:t>
      </w:r>
      <w:r>
        <w:rPr>
          <w:lang w:val="es-ES"/>
        </w:rPr>
        <w:t xml:space="preserve"> </w:t>
      </w:r>
      <w:r>
        <w:rPr>
          <w:b/>
          <w:bCs/>
          <w:lang w:val="es-ES"/>
        </w:rPr>
        <w:t xml:space="preserve">UE</w:t>
      </w:r>
      <w:r>
        <w:rPr>
          <w:lang w:val="es-ES"/>
        </w:rPr>
        <w:t xml:space="preserve">, Reglamento (UE) 2024/1252 (</w:t>
      </w:r>
      <w:r>
        <w:rPr>
          <w:i/>
          <w:iCs/>
          <w:lang w:val="es-ES"/>
        </w:rPr>
        <w:t xml:space="preserve">Critical Raw Materials Act</w:t>
      </w:r>
      <w:r>
        <w:rPr>
          <w:lang w:val="es-ES"/>
        </w:rPr>
        <w:t xml:space="preserve">), 2024 — …/Internacional/UE_CRMA_Reglamento_2024-1252.pdf (metas 2030 de extracción/procesamiento/reciclaje).</w:t>
      </w:r>
    </w:p>
    <w:p>
      <w:pPr>
        <w:numPr>
          <w:ilvl w:val="0"/>
          <w:numId w:val="1007"/>
        </w:numPr>
      </w:pPr>
      <w:r>
        <w:rPr>
          <w:b/>
          <w:bCs/>
          <w:lang w:val="es-ES"/>
        </w:rPr>
        <w:t xml:space="preserve">Business Sweden / EBA</w:t>
      </w:r>
      <w:r>
        <w:rPr>
          <w:lang w:val="es-ES"/>
        </w:rPr>
        <w:t xml:space="preserve">,</w:t>
      </w:r>
      <w:r>
        <w:rPr>
          <w:lang w:val="es-ES"/>
        </w:rPr>
        <w:t xml:space="preserve"> </w:t>
      </w:r>
      <w:r>
        <w:rPr>
          <w:i/>
          <w:iCs/>
          <w:lang w:val="es-ES"/>
        </w:rPr>
        <w:t xml:space="preserve">The Nordic Battery Value Chain</w:t>
      </w:r>
      <w:r>
        <w:rPr>
          <w:lang w:val="es-ES"/>
        </w:rPr>
        <w:t xml:space="preserve"> </w:t>
      </w:r>
      <w:r>
        <w:rPr>
          <w:lang w:val="es-ES"/>
        </w:rPr>
        <w:t xml:space="preserve">(2023) — …/Internacional/Nordic_Battery_Value_Chain_BusinessSweden_2023.pdf.</w:t>
      </w:r>
    </w:p>
    <w:p>
      <w:pPr>
        <w:numPr>
          <w:ilvl w:val="0"/>
          <w:numId w:val="1007"/>
        </w:numPr>
      </w:pPr>
      <w:r>
        <w:rPr>
          <w:b/>
          <w:bCs/>
          <w:lang w:val="es-ES"/>
        </w:rPr>
        <w:t xml:space="preserve">LKAB</w:t>
      </w:r>
      <w:r>
        <w:rPr>
          <w:lang w:val="es-ES"/>
        </w:rPr>
        <w:t xml:space="preserve">, comunicados sobre la planta de minerales críticos de Luleå y Per Geijer (2023-2024);</w:t>
      </w:r>
      <w:r>
        <w:rPr>
          <w:lang w:val="es-ES"/>
        </w:rPr>
        <w:t xml:space="preserve"> </w:t>
      </w:r>
      <w:r>
        <w:rPr>
          <w:i/>
          <w:iCs/>
          <w:lang w:val="es-ES"/>
        </w:rPr>
        <w:t xml:space="preserve">GIS Reports</w:t>
      </w:r>
      <w:r>
        <w:rPr>
          <w:lang w:val="es-ES"/>
        </w:rPr>
        <w:t xml:space="preserve"> </w:t>
      </w:r>
      <w:r>
        <w:rPr>
          <w:lang w:val="es-ES"/>
        </w:rPr>
        <w:t xml:space="preserve">sobre el papel de Suecia.</w:t>
      </w:r>
    </w:p>
    <w:p>
      <w:pPr>
        <w:numPr>
          <w:ilvl w:val="0"/>
          <w:numId w:val="1007"/>
        </w:numPr>
      </w:pPr>
      <w:r>
        <w:rPr>
          <w:b/>
          <w:bCs/>
          <w:lang w:val="es-ES"/>
        </w:rPr>
        <w:t xml:space="preserve">China</w:t>
      </w:r>
      <w:r>
        <w:rPr>
          <w:lang w:val="es-ES"/>
        </w:rPr>
        <w:t xml:space="preserve">: ORF America,</w:t>
      </w:r>
      <w:r>
        <w:rPr>
          <w:lang w:val="es-ES"/>
        </w:rPr>
        <w:t xml:space="preserve"> </w:t>
      </w:r>
      <w:r>
        <w:rPr>
          <w:i/>
          <w:iCs/>
          <w:lang w:val="es-ES"/>
        </w:rPr>
        <w:t xml:space="preserve">China's Critical Mineral Export Controls</w:t>
      </w:r>
      <w:r>
        <w:rPr>
          <w:lang w:val="es-ES"/>
        </w:rPr>
        <w:t xml:space="preserve"> </w:t>
      </w:r>
      <w:r>
        <w:rPr>
          <w:lang w:val="es-ES"/>
        </w:rPr>
        <w:t xml:space="preserve">(2025) — …/Internacional/ORFAmerica_China_Critical_Mineral_Export_Controls_2025.pdf; FTI Consulting y Pillsbury sobre los controles de galio/germanio/grafito; AIE (</w:t>
      </w:r>
      <w:r>
        <w:rPr>
          <w:i/>
          <w:iCs/>
          <w:lang w:val="es-ES"/>
        </w:rPr>
        <w:t xml:space="preserve">Critical Minerals</w:t>
      </w:r>
      <w:r>
        <w:rPr>
          <w:lang w:val="es-ES"/>
        </w:rPr>
        <w:t xml:space="preserve">) para las cuotas de refinación.</w:t>
      </w:r>
    </w:p>
    <w:p>
      <w:pPr>
        <w:numPr>
          <w:ilvl w:val="0"/>
          <w:numId w:val="1007"/>
        </w:numPr>
      </w:pPr>
      <w:r>
        <w:rPr>
          <w:lang w:val="es-ES"/>
        </w:rPr>
        <w:t xml:space="preserve">Indicadores propios: processed/icio_comparacion_mineria.csv, icio_dva_mineria.csv (ver Memoria - Comparacion internacional (Chile, Australia) encadenamientos).</w:t>
      </w:r>
    </w:p>
    <w:bookmarkEnd w:id="21"/>
    <w:bookmarkEnd w:id="22"/>
    <w:bookmarkStart w:id="23" w:name="fuentes-y-referencias"/>
    <w:p>
      <w:pPr>
        <w:pStyle w:val="Heading2"/>
      </w:pPr>
      <w:r>
        <w:rPr>
          <w:lang w:val="es-ES"/>
        </w:rPr>
        <w:t xml:space="preserve">Fuentes y referencias</w:t>
      </w:r>
    </w:p>
    <w:bookmarkEnd w:id="23"/>
    <w:bookmarkEnd w:id="24"/>
    <w:sectPr>
      <w:footnotePr>
        <w:numRestart w:val="eachSect"/>
      </w:footnotePr>
      <w:pgSz w:h="15840" w:w="12240"/>
      <w:pgMar w:bottom="1417" w:left="1701"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60" w:lineRule="auto"/>
      <w:jc w:val="both"/>
    </w:pPr>
    <w:rPr>
      <w:rFonts w:ascii="Times New Roman" w:cs="Times New Roman" w:hAnsi="Times New Roman"/>
      <w:sz w:val="24"/>
    </w:rPr>
  </w:style>
  <w:style w:styleId="BodyText" w:type="paragraph">
    <w:name w:val="Body Text"/>
    <w:basedOn w:val="Normal"/>
    <w:link w:val="BodyTextChar"/>
    <w:qFormat/>
    <w:pPr>
      <w:spacing w:after="120" w:before="0" w:line="360" w:lineRule="auto"/>
      <w:jc w:val="both"/>
    </w:pPr>
    <w:rPr>
      <w:rFonts w:ascii="Times New Roman" w:cs="Times New Roman" w:hAnsi="Times New Roman"/>
      <w:sz w:val="24"/>
    </w:rPr>
  </w:style>
  <w:style w:customStyle="1" w:styleId="FirstParagraph" w:type="paragraph">
    <w:name w:val="First Paragraph"/>
    <w:basedOn w:val="BodyText"/>
    <w:next w:val="BodyText"/>
    <w:qFormat/>
    <w:pPr>
      <w:spacing w:after="120" w:before="0" w:line="360" w:lineRule="auto"/>
      <w:jc w:val="both"/>
    </w:pPr>
    <w:rPr>
      <w:rFonts w:ascii="Times New Roman" w:cs="Times New Roman" w:hAnsi="Times New Roman"/>
      <w:sz w:val="24"/>
    </w:rPr>
  </w:style>
  <w:style w:customStyle="1" w:styleId="Compact" w:type="paragraph">
    <w:name w:val="Compact"/>
    <w:basedOn w:val="BodyText"/>
    <w:qFormat/>
    <w:pPr>
      <w:spacing w:after="120" w:before="0" w:line="360" w:lineRule="auto"/>
      <w:jc w:val="both"/>
    </w:pPr>
    <w:rPr>
      <w:rFonts w:ascii="Times New Roman" w:cs="Times New Roman" w:hAnsi="Times New Roman"/>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imes New Roman" w:cstheme="majorBidi" w:eastAsiaTheme="majorEastAsia" w:hAnsi="Times New Roman" w:hAnsiTheme="majorHAnsi"/>
      <w:b/>
      <w:color w:val="000000"/>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line="276" w:lineRule="auto"/>
      <w:jc w:val="left"/>
      <w:outlineLvl w:val="0"/>
    </w:pPr>
    <w:rPr>
      <w:rFonts w:ascii="Times New Roman" w:asciiTheme="majorHAnsi" w:cs="Times New Roman" w:cstheme="majorBidi" w:eastAsiaTheme="majorEastAsia" w:hAnsi="Times New Roman" w:hAnsiTheme="majorHAnsi"/>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276" w:lineRule="auto"/>
      <w:jc w:val="left"/>
      <w:outlineLvl w:val="1"/>
    </w:pPr>
    <w:rPr>
      <w:rFonts w:ascii="Times New Roman" w:asciiTheme="majorHAnsi" w:cs="Times New Roman" w:cstheme="majorBidi" w:eastAsiaTheme="majorEastAsia" w:hAnsi="Times New Roman" w:hAnsiTheme="majorHAnsi"/>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276" w:lineRule="auto"/>
      <w:jc w:val="left"/>
      <w:outlineLvl w:val="2"/>
    </w:pPr>
    <w:rPr>
      <w:rFonts w:ascii="Times New Roman" w:cs="Times New Roman" w:cstheme="majorBidi" w:eastAsiaTheme="majorEastAsia" w:hAnsi="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120" w:before="240" w:line="276" w:lineRule="auto"/>
      <w:jc w:val="left"/>
      <w:outlineLvl w:val="3"/>
    </w:pPr>
    <w:rPr>
      <w:rFonts w:ascii="Times New Roman" w:cs="Times New Roman" w:cstheme="majorBidi" w:eastAsiaTheme="majorEastAsia" w:hAnsi="Times New Roman"/>
      <w:b/>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200" w:before="60" w:line="240" w:lineRule="auto"/>
      <w:jc w:val="left"/>
    </w:pPr>
    <w:rPr>
      <w:rFonts w:ascii="Times New Roman" w:cs="Times New Roman" w:hAnsi="Times New Roman"/>
      <w:i w:val="0"/>
      <w:sz w:val="20"/>
    </w:rPr>
  </w:style>
  <w:style w:customStyle="1" w:styleId="ImageCaption" w:type="paragraph">
    <w:name w:val="Image Caption"/>
    <w:basedOn w:val="Caption"/>
    <w:pPr>
      <w:spacing w:after="200" w:before="60" w:line="240" w:lineRule="auto"/>
      <w:jc w:val="left"/>
    </w:pPr>
    <w:rPr>
      <w:rFonts w:ascii="Times New Roman" w:cs="Times New Roman" w:hAnsi="Times New Roman"/>
      <w:i w:val="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IV. Contexto histórico e institucional de la minería mexicana</dc:title>
  <dc:creator/>
  <dc:language>es-ES</dc:language>
  <cp:keywords/>
  <dcterms:created xsi:type="dcterms:W3CDTF">2026-09-16T18:32:35Z</dcterms:created>
  <dcterms:modified xsi:type="dcterms:W3CDTF">2026-09-16T18:32:35Z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hapter">
    <vt:lpwstr>IV</vt:lpwstr>
  </property>
  <property fmtid="{D5CDD505-2E9C-101B-9397-08002B2CF9AE}" pid="4" name="csl">
    <vt:lpwstr>pandoc\apa.csl</vt:lpwstr>
  </property>
</Properties>
</file>