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ES"/>
        </w:rPr>
        <w:t xml:space="preserve">Capítulo IX. Síntesis, conclusiones y bases de política</w:t>
      </w:r>
    </w:p>
    <w:sdt>
      <w:sdtPr>
        <w:docPartObj>
          <w:docPartGallery w:val="Table of Contents"/>
          <w:docPartUnique/>
        </w:docPartObj>
      </w:sdtPr>
      <w:sdtContent>
        <w:p>
          <w:pPr>
            <w:pStyle w:val="TOCHeading"/>
          </w:pPr>
          <w:r>
            <w:rPr>
              <w:lang w:val="es-ES"/>
            </w:rPr>
            <w:t xml:space="preserve">Table of Contents</w:t>
          </w:r>
        </w:p>
        <w:p>
          <w:r>
            <w:fldChar w:fldCharType="begin" w:dirty="true"/>
            <w:instrText xml:space="preserve">TOC \o "1-3" \h \z \u</w:instrText>
            <w:fldChar w:fldCharType="separate"/>
            <w:fldChar w:fldCharType="end"/>
          </w:r>
        </w:p>
      </w:sdtContent>
    </w:sdt>
    <w:bookmarkStart w:id="9" w:name="índice-de-cuadros"/>
    <w:p>
      <w:pPr>
        <w:pStyle w:val="Heading1"/>
      </w:pPr>
      <w:r>
        <w:rPr>
          <w:lang w:val="es-ES"/>
        </w:rPr>
        <w:t xml:space="preserve">Índice de cuadros</w:t>
      </w:r>
    </w:p>
    <w:p>
      <w:pPr>
        <w:pStyle w:val="FirstParagraph"/>
      </w:pPr>
      <w:r>
        <w:rPr>
          <w:lang w:val="es-ES"/>
        </w:rPr>
        <w:t xml:space="preserve">Cuadro IX.1. Bases de política diferenciadas por tipo de mercado (eslabón ausente). Fuente: elaboración propia.</w:t>
      </w:r>
    </w:p>
    <w:p>
      <w:pPr>
        <w:pStyle w:val="BodyText"/>
      </w:pPr>
      <w:r>
        <w:rPr>
          <w:lang w:val="es-ES"/>
        </w:rPr>
        <w:t xml:space="preserve">Cuadro IX.2. Declaración de vacíos por indicador y su tratamiento (criterio: declarar, no imputar). Fuente: elaboración propia.</w:t>
      </w:r>
    </w:p>
    <w:bookmarkEnd w:id="9"/>
    <w:bookmarkStart w:id="17" w:name="X86a04fd84e339d4d88c6f6740a023bc067de029"/>
    <w:p>
      <w:pPr>
        <w:pStyle w:val="Heading1"/>
      </w:pPr>
      <w:r>
        <w:rPr>
          <w:lang w:val="es-ES"/>
        </w:rPr>
        <w:t xml:space="preserve">Capítulo IX. Síntesis, conclusiones y bases de política</w:t>
      </w:r>
    </w:p>
    <w:bookmarkStart w:id="10" w:name="ix.1-síntesis-de-los-hallazgos"/>
    <w:p>
      <w:pPr>
        <w:pStyle w:val="Heading2"/>
      </w:pPr>
      <w:r>
        <w:rPr>
          <w:lang w:val="es-ES"/>
        </w:rPr>
        <w:t xml:space="preserve">IX.1 Síntesis de los hallazgos</w:t>
      </w:r>
    </w:p>
    <w:p>
      <w:pPr>
        <w:pStyle w:val="FirstParagraph"/>
      </w:pPr>
      <w:r>
        <w:rPr>
          <w:lang w:val="es-ES"/>
        </w:rPr>
        <w:t xml:space="preserve">La investigación reunió y validó un conjunto de indicadores desagregados por mineral —la estructura empresarial y la concentración (HHI), los encadenamientos de Leontief y Ghosh, el coeficiente de captura de valor como serie continua, el comercio por etapa de procesamiento y su geografía, y la comparación internacional con su descomposición de valor agregado— y los leyó de forma conjunta bajo el concepto de enclave estructural. Cuatro resultados transversales resumen el retrato.</w:t>
      </w:r>
    </w:p>
    <w:p>
      <w:pPr>
        <w:pStyle w:val="BodyText"/>
      </w:pPr>
      <w:r>
        <w:rPr>
          <w:i/>
          <w:iCs/>
          <w:lang w:val="es-ES"/>
        </w:rPr>
        <w:t xml:space="preserve">Primero</w:t>
      </w:r>
      <w:r>
        <w:rPr>
          <w:lang w:val="es-ES"/>
        </w:rPr>
        <w:t xml:space="preserve">, los minerales críticos mexicanos tienen un encadenamiento hacia atrás bajo: la extracción es intensiva en el recurso y arrastra poco a sus proveedores.</w:t>
      </w:r>
      <w:r>
        <w:rPr>
          <w:lang w:val="es-ES"/>
        </w:rPr>
        <w:t xml:space="preserve"> </w:t>
      </w:r>
      <w:r>
        <w:rPr>
          <w:i/>
          <w:iCs/>
          <w:lang w:val="es-ES"/>
        </w:rPr>
        <w:t xml:space="preserve">Segundo</w:t>
      </w:r>
      <w:r>
        <w:rPr>
          <w:lang w:val="es-ES"/>
        </w:rPr>
        <w:t xml:space="preserve">, su encadenamiento hacia adelante es heterogéneo, pero la lectura conjunta de los indicadores —no del índice de Ghosh aislado— revela que la cadena, cuando existe, suele detenerse en el metal refinado; el punto de ruptura de los diez mercados se sitúa en L1 o L2, y ninguno alcanza la manufactura final dentro del país.</w:t>
      </w:r>
      <w:r>
        <w:rPr>
          <w:lang w:val="es-ES"/>
        </w:rPr>
        <w:t xml:space="preserve"> </w:t>
      </w:r>
      <w:r>
        <w:rPr>
          <w:i/>
          <w:iCs/>
          <w:lang w:val="es-ES"/>
        </w:rPr>
        <w:t xml:space="preserve">Tercero</w:t>
      </w:r>
      <w:r>
        <w:rPr>
          <w:lang w:val="es-ES"/>
        </w:rPr>
        <w:t xml:space="preserve">, el patrón se profundiza en el tiempo: se exporta en fases cada vez más crudas (la fracción del bloque exportada en bruto pasó de ~8 % a ~41 % entre los años noventa y 2024) y con destino crecientemente concentrado en China (del ~0 % al 35 % de las exportaciones del bloque).</w:t>
      </w:r>
      <w:r>
        <w:rPr>
          <w:lang w:val="es-ES"/>
        </w:rPr>
        <w:t xml:space="preserve"> </w:t>
      </w:r>
      <w:r>
        <w:rPr>
          <w:i/>
          <w:iCs/>
          <w:lang w:val="es-ES"/>
        </w:rPr>
        <w:t xml:space="preserve">Cuarto</w:t>
      </w:r>
      <w:r>
        <w:rPr>
          <w:lang w:val="es-ES"/>
        </w:rPr>
        <w:t xml:space="preserve">, la comparación internacional con ocho países muestra que ni Chile, ni Australia, ni Brasil ni Perú superan ese patrón en el encadenamiento hacia adelante, y que el referente real de integración es China —el procesador global— y el modelo nórdico; la descomposición de valor agregado lo confirma en dinero (Chile y Perú exportan en crudo cerca del 98 % del valor de su minería, mientras China solo el 7 %) y revela que el agregado de México engaña, porque promedia los metales que sí se funden con el cobre que sale en concentrado: México y China tienen un índice de Ghosh casi idéntico (1.51 y 1.53) pero una captura de valor opuesta.</w:t>
      </w:r>
    </w:p>
    <w:bookmarkEnd w:id="10"/>
    <w:bookmarkStart w:id="11" w:name="Xa6ad0409255cbedfaffafe197726752aae1afdd"/>
    <w:p>
      <w:pPr>
        <w:pStyle w:val="Heading2"/>
      </w:pPr>
      <w:r>
        <w:rPr>
          <w:lang w:val="es-ES"/>
        </w:rPr>
        <w:t xml:space="preserve">IX.2 Respuesta a las preguntas de investigación</w:t>
      </w:r>
    </w:p>
    <w:p>
      <w:pPr>
        <w:pStyle w:val="FirstParagraph"/>
      </w:pPr>
      <w:r>
        <w:rPr>
          <w:lang w:val="es-ES"/>
        </w:rPr>
        <w:t xml:space="preserve">La pregunta central —cómo son los mercados de los diez minerales críticos y cómo se inserta México en sus cadenas de valor— se responde con la tipología del Capítulo VIII: cuatro formas del enclave estructural, todas rotas en L1 o L2. A las preguntas subsidiarias: la estructura extractiva es concentrada en casi todos los mercados, pero su concentración no covaría de forma simple con el encadenamiento (Capítulo V y VIII); las cadenas de valor locales existen de forma parcial y truncada, y buena parte de la transformación que hay ocurre intra-firma, invisible en el dato sectorial (Capítulos VI y VIII); y la inserción global es predominantemente primaria y se profundiza, con la criticidad concentrada justo en los eslabones que México no produce (Capítulo VII).</w:t>
      </w:r>
    </w:p>
    <w:bookmarkEnd w:id="11"/>
    <w:bookmarkStart w:id="12" w:name="Xd0239c6fede53b42d539fb5bc792bf131a32680"/>
    <w:p>
      <w:pPr>
        <w:pStyle w:val="Heading2"/>
      </w:pPr>
      <w:r>
        <w:rPr>
          <w:lang w:val="es-ES"/>
        </w:rPr>
        <w:t xml:space="preserve">IX.3 Bases para una política industrial diferenciada</w:t>
      </w:r>
    </w:p>
    <w:p>
      <w:pPr>
        <w:pStyle w:val="FirstParagraph"/>
      </w:pPr>
      <w:r>
        <w:rPr>
          <w:lang w:val="es-ES"/>
        </w:rPr>
        <w:t xml:space="preserve">Las recomendaciones se enuncian como bases descriptivas —dónde intervendría una política que quisiera prolongar la cadena—, no como un plan cuya efectividad se estime aquí. La referencia internacional orienta el criterio: el contraste con Finlandia, Suecia y China indica que la palanca no es la escala ni la dotación extractiva (Chile y Perú las tienen y no integran), sino la capacidad de transformación doméstica acompañada de arreglos de propiedad y política que la retengan en el país. El Cuadro Cuadro IX.1 ordena las bases por tipo de mercado.</w:t>
      </w:r>
    </w:p>
    <w:p>
      <w:pPr>
        <w:pStyle w:val="TableCaption"/>
      </w:pPr>
      <w:r>
        <w:rPr>
          <w:b/>
          <w:bCs/>
          <w:lang w:val="es-ES"/>
        </w:rPr>
        <w:t xml:space="preserve">Cuadro IX.1.</w:t>
      </w:r>
      <w:r>
        <w:rPr>
          <w:lang w:val="es-ES"/>
        </w:rPr>
        <w:t xml:space="preserve"> </w:t>
      </w:r>
      <w:r>
        <w:rPr>
          <w:lang w:val="es-ES"/>
        </w:rPr>
        <w:t xml:space="preserve">Bases de política diferenciadas por tipo de mercado (eslabón ausente). Fuente: elaboración propia.</w:t>
      </w:r>
    </w:p>
    <w:tbl>
      <w:tblPr>
        <w:tblStyle w:val="Table"/>
        <w:tblW w:type="pct" w:w="5000"/>
        <w:tblLayout w:type="fixed"/>
        <w:tblLook w:firstRow="1" w:lastRow="0" w:firstColumn="0" w:lastColumn="0" w:noHBand="0" w:noVBand="0" w:val="0020"/>
        <w:tblCaption w:val="Cuadro IX.1. Bases de política diferenciadas por tipo de mercado (eslabón ausente). Fuente: elaboración propia."/>
      </w:tblPr>
      <w:tblGrid>
        <w:gridCol w:w="2640"/>
        <w:gridCol w:w="2640"/>
        <w:gridCol w:w="2640"/>
      </w:tblGrid>
      <w:tr>
        <w:trPr>
          <w:tblHeader w:val="on"/>
        </w:trPr>
        <w:tc>
          <w:tcPr/>
          <w:p>
            <w:pPr>
              <w:pStyle w:val="Compact"/>
            </w:pPr>
            <w:r>
              <w:rPr>
                <w:lang w:val="es-ES"/>
              </w:rPr>
              <w:t xml:space="preserve">Tipo</w:t>
            </w:r>
          </w:p>
        </w:tc>
        <w:tc>
          <w:tcPr/>
          <w:p>
            <w:pPr>
              <w:pStyle w:val="Compact"/>
            </w:pPr>
            <w:r>
              <w:rPr>
                <w:lang w:val="es-ES"/>
              </w:rPr>
              <w:t xml:space="preserve">Eslabón ausente</w:t>
            </w:r>
          </w:p>
        </w:tc>
        <w:tc>
          <w:tcPr/>
          <w:p>
            <w:pPr>
              <w:pStyle w:val="Compact"/>
            </w:pPr>
            <w:r>
              <w:rPr>
                <w:lang w:val="es-ES"/>
              </w:rPr>
              <w:t xml:space="preserve">Base de política</w:t>
            </w:r>
          </w:p>
        </w:tc>
      </w:tr>
      <w:tr>
        <w:tc>
          <w:tcPr/>
          <w:p>
            <w:pPr>
              <w:pStyle w:val="Compact"/>
            </w:pPr>
            <w:r>
              <w:rPr>
                <w:lang w:val="es-ES"/>
              </w:rPr>
              <w:t xml:space="preserve">A (manganeso, fluorita)</w:t>
            </w:r>
          </w:p>
        </w:tc>
        <w:tc>
          <w:tcPr/>
          <w:p>
            <w:pPr>
              <w:pStyle w:val="Compact"/>
            </w:pPr>
            <w:r>
              <w:rPr>
                <w:lang w:val="es-ES"/>
              </w:rPr>
              <w:t xml:space="preserve">Química fina / fluoropolímeros</w:t>
            </w:r>
          </w:p>
        </w:tc>
        <w:tc>
          <w:tcPr/>
          <w:p>
            <w:pPr>
              <w:pStyle w:val="Compact"/>
            </w:pPr>
            <w:r>
              <w:rPr>
                <w:lang w:val="es-ES"/>
              </w:rPr>
              <w:t xml:space="preserve">Escalar del intermedio (ferroaleación, HF) a los derivados de mayor valor</w:t>
            </w:r>
          </w:p>
        </w:tc>
      </w:tr>
      <w:tr>
        <w:tc>
          <w:tcPr/>
          <w:p>
            <w:pPr>
              <w:pStyle w:val="Compact"/>
            </w:pPr>
            <w:r>
              <w:rPr>
                <w:lang w:val="es-ES"/>
              </w:rPr>
              <w:t xml:space="preserve">B (cobre, oro, plata, plomo, zinc)</w:t>
            </w:r>
          </w:p>
        </w:tc>
        <w:tc>
          <w:tcPr/>
          <w:p>
            <w:pPr>
              <w:pStyle w:val="Compact"/>
            </w:pPr>
            <w:r>
              <w:rPr>
                <w:lang w:val="es-ES"/>
              </w:rPr>
              <w:t xml:space="preserve">Semimanufactura y manufactura</w:t>
            </w:r>
          </w:p>
        </w:tc>
        <w:tc>
          <w:tcPr/>
          <w:p>
            <w:pPr>
              <w:pStyle w:val="Compact"/>
            </w:pPr>
            <w:r>
              <w:rPr>
                <w:lang w:val="es-ES"/>
              </w:rPr>
              <w:t xml:space="preserve">Prolongar la cadena más allá del metal refinado; condicionar concesiones a la transformación</w:t>
            </w:r>
          </w:p>
        </w:tc>
      </w:tr>
      <w:tr>
        <w:tc>
          <w:tcPr/>
          <w:p>
            <w:pPr>
              <w:pStyle w:val="Compact"/>
            </w:pPr>
            <w:r>
              <w:rPr>
                <w:lang w:val="es-ES"/>
              </w:rPr>
              <w:t xml:space="preserve">C (sílice, grafito)</w:t>
            </w:r>
          </w:p>
        </w:tc>
        <w:tc>
          <w:tcPr/>
          <w:p>
            <w:pPr>
              <w:pStyle w:val="Compact"/>
            </w:pPr>
            <w:r>
              <w:rPr>
                <w:lang w:val="es-ES"/>
              </w:rPr>
              <w:t xml:space="preserve">Eslabón intermedio (silicio, electrodos)</w:t>
            </w:r>
          </w:p>
        </w:tc>
        <w:tc>
          <w:tcPr/>
          <w:p>
            <w:pPr>
              <w:pStyle w:val="Compact"/>
            </w:pPr>
            <w:r>
              <w:rPr>
                <w:lang w:val="es-ES"/>
              </w:rPr>
              <w:t xml:space="preserve">Sustituir el intermedio importado por producción nacional que aproveche la extracción existente</w:t>
            </w:r>
          </w:p>
        </w:tc>
      </w:tr>
      <w:tr>
        <w:tc>
          <w:tcPr/>
          <w:p>
            <w:pPr>
              <w:pStyle w:val="Compact"/>
            </w:pPr>
            <w:r>
              <w:rPr>
                <w:lang w:val="es-ES"/>
              </w:rPr>
              <w:t xml:space="preserve">D (barita)</w:t>
            </w:r>
          </w:p>
        </w:tc>
        <w:tc>
          <w:tcPr/>
          <w:p>
            <w:pPr>
              <w:pStyle w:val="Compact"/>
            </w:pPr>
            <w:r>
              <w:rPr>
                <w:lang w:val="es-ES"/>
              </w:rPr>
              <w:t xml:space="preserve">Toda transformación</w:t>
            </w:r>
          </w:p>
        </w:tc>
        <w:tc>
          <w:tcPr/>
          <w:p>
            <w:pPr>
              <w:pStyle w:val="Compact"/>
            </w:pPr>
            <w:r>
              <w:rPr>
                <w:lang w:val="es-ES"/>
              </w:rPr>
              <w:t xml:space="preserve">Condicionar el aprovechamiento del recurso a algún grado de agregación de valor</w:t>
            </w:r>
          </w:p>
        </w:tc>
      </w:tr>
    </w:tbl>
    <w:bookmarkEnd w:id="12"/>
    <w:bookmarkStart w:id="13" w:name="X597e7f2eaa32b80b2fb437785ed628ea1300424"/>
    <w:p>
      <w:pPr>
        <w:pStyle w:val="Heading2"/>
      </w:pPr>
      <w:r>
        <w:rPr>
          <w:lang w:val="es-ES"/>
        </w:rPr>
        <w:t xml:space="preserve">IX.4 La reforma de 2023 y el eslabón que no toca</w:t>
      </w:r>
    </w:p>
    <w:p>
      <w:pPr>
        <w:pStyle w:val="FirstParagraph"/>
      </w:pPr>
      <w:r>
        <w:rPr>
          <w:lang w:val="es-ES"/>
        </w:rPr>
        <w:t xml:space="preserve">Un corolario del análisis del contexto institucional (Capítulo IV): la reforma de 2023 opera sobre la rectoría del recurso —concesiones, exploración, condiciones ambientales y sociales—, no sobre el eslabón donde se decide la agregación de valor. No crea capacidad de transformación ni incentivos a integrarla, de modo que, por sí sola, no modifica el patrón de enclave descrito. Incluso donde el Estado asume el recurso en exclusiva —el litio—, lo hace sin capacidad de procesamiento. Una política industrial de minerales críticos coherente con este diagnóstico tendría que actuar sobre la capacidad de transformación —el lado que ni la reforma ni el patrón exportador vigente tocan—, siguiendo el criterio nórdico de integrar mina → fundición → producto con arreglos domésticos, más que replicar la escala extractiva de Chile o Australia.</w:t>
      </w:r>
    </w:p>
    <w:bookmarkEnd w:id="13"/>
    <w:bookmarkStart w:id="14" w:name="X957196ffb3281cd02430664f1d23cf0b8e9fc8f"/>
    <w:p>
      <w:pPr>
        <w:pStyle w:val="Heading2"/>
      </w:pPr>
      <w:r>
        <w:rPr>
          <w:lang w:val="es-ES"/>
        </w:rPr>
        <w:t xml:space="preserve">IX.5 Limitaciones y declaración de vacíos</w:t>
      </w:r>
    </w:p>
    <w:p>
      <w:pPr>
        <w:pStyle w:val="FirstParagraph"/>
      </w:pPr>
      <w:r>
        <w:rPr>
          <w:lang w:val="es-ES"/>
        </w:rPr>
        <w:t xml:space="preserve">Fiel al criterio de no imputar (Capítulo III, III.11), la investigación declara los vacíos de sus series y cómo se intentó llenar cada uno; ninguno se rellenó con supuestos (Cuadro Cuadro IX.2). Estas limitaciones no comprometen el retrato descriptivo, que se sostiene en la convergencia de indicadores independientes: estructura, encadenamientos, captura de valor, comercio por etapa y comparación internacional.</w:t>
      </w:r>
    </w:p>
    <w:p>
      <w:pPr>
        <w:pStyle w:val="TableCaption"/>
      </w:pPr>
      <w:r>
        <w:rPr>
          <w:b/>
          <w:bCs/>
          <w:lang w:val="es-ES"/>
        </w:rPr>
        <w:t xml:space="preserve">Cuadro IX.2.</w:t>
      </w:r>
      <w:r>
        <w:rPr>
          <w:lang w:val="es-ES"/>
        </w:rPr>
        <w:t xml:space="preserve"> </w:t>
      </w:r>
      <w:r>
        <w:rPr>
          <w:lang w:val="es-ES"/>
        </w:rPr>
        <w:t xml:space="preserve">Declaración de vacíos por indicador y su tratamiento (criterio: declarar, no imputar). Fuente: elaboración propia.</w:t>
      </w:r>
    </w:p>
    <w:tbl>
      <w:tblPr>
        <w:tblStyle w:val="Table"/>
        <w:tblW w:type="pct" w:w="5000"/>
        <w:tblLayout w:type="fixed"/>
        <w:tblLook w:firstRow="1" w:lastRow="0" w:firstColumn="0" w:lastColumn="0" w:noHBand="0" w:noVBand="0" w:val="0020"/>
        <w:tblCaption w:val="Cuadro IX.2. Declaración de vacíos por indicador y su tratamiento (criterio: declarar, no imputar). Fuente: elaboración propia."/>
      </w:tblPr>
      <w:tblGrid>
        <w:gridCol w:w="2640"/>
        <w:gridCol w:w="2640"/>
        <w:gridCol w:w="2640"/>
      </w:tblGrid>
      <w:tr>
        <w:trPr>
          <w:tblHeader w:val="on"/>
        </w:trPr>
        <w:tc>
          <w:tcPr/>
          <w:p>
            <w:pPr>
              <w:pStyle w:val="Compact"/>
            </w:pPr>
            <w:r>
              <w:rPr>
                <w:lang w:val="es-ES"/>
              </w:rPr>
              <w:t xml:space="preserve">Indicador</w:t>
            </w:r>
          </w:p>
        </w:tc>
        <w:tc>
          <w:tcPr/>
          <w:p>
            <w:pPr>
              <w:pStyle w:val="Compact"/>
            </w:pPr>
            <w:r>
              <w:rPr>
                <w:lang w:val="es-ES"/>
              </w:rPr>
              <w:t xml:space="preserve">Vacío declarado</w:t>
            </w:r>
          </w:p>
        </w:tc>
        <w:tc>
          <w:tcPr/>
          <w:p>
            <w:pPr>
              <w:pStyle w:val="Compact"/>
            </w:pPr>
            <w:r>
              <w:rPr>
                <w:lang w:val="es-ES"/>
              </w:rPr>
              <w:t xml:space="preserve">Tratamiento</w:t>
            </w:r>
          </w:p>
        </w:tc>
      </w:tr>
      <w:tr>
        <w:tc>
          <w:tcPr/>
          <w:p>
            <w:pPr>
              <w:pStyle w:val="Compact"/>
            </w:pPr>
            <w:r>
              <w:rPr>
                <w:lang w:val="es-ES"/>
              </w:rPr>
              <w:t xml:space="preserve">HHI</w:t>
            </w:r>
          </w:p>
        </w:tc>
        <w:tc>
          <w:tcPr/>
          <w:p>
            <w:pPr>
              <w:pStyle w:val="Compact"/>
            </w:pPr>
            <w:r>
              <w:rPr>
                <w:lang w:val="es-ES"/>
              </w:rPr>
              <w:t xml:space="preserve">1994-2003 sin desglose por empresa</w:t>
            </w:r>
          </w:p>
        </w:tc>
        <w:tc>
          <w:tcPr/>
          <w:p>
            <w:pPr>
              <w:pStyle w:val="Compact"/>
            </w:pPr>
            <w:r>
              <w:rPr>
                <w:lang w:val="es-ES"/>
              </w:rPr>
              <w:t xml:space="preserve">Reconstrucción por régimen (cota inferior); recuperación futura con USGS histórico</w:t>
            </w:r>
          </w:p>
        </w:tc>
      </w:tr>
      <w:tr>
        <w:tc>
          <w:tcPr/>
          <w:p>
            <w:pPr>
              <w:pStyle w:val="Compact"/>
            </w:pPr>
            <w:r>
              <w:rPr>
                <w:lang w:val="es-ES"/>
              </w:rPr>
              <w:t xml:space="preserve">HHI</w:t>
            </w:r>
          </w:p>
        </w:tc>
        <w:tc>
          <w:tcPr/>
          <w:p>
            <w:pPr>
              <w:pStyle w:val="Compact"/>
            </w:pPr>
            <w:r>
              <w:rPr>
                <w:lang w:val="es-ES"/>
              </w:rPr>
              <w:t xml:space="preserve">2004-2020 aproximado</w:t>
            </w:r>
          </w:p>
        </w:tc>
        <w:tc>
          <w:tcPr/>
          <w:p>
            <w:pPr>
              <w:pStyle w:val="Compact"/>
            </w:pPr>
            <w:r>
              <w:rPr>
                <w:lang w:val="es-ES"/>
              </w:rPr>
              <w:t xml:space="preserve">No comparable en nivel con 2021-2024; se lee por trayectoria</w:t>
            </w:r>
          </w:p>
        </w:tc>
      </w:tr>
      <w:tr>
        <w:tc>
          <w:tcPr/>
          <w:p>
            <w:pPr>
              <w:pStyle w:val="Compact"/>
            </w:pPr>
            <w:r>
              <w:rPr>
                <w:lang w:val="es-ES"/>
              </w:rPr>
              <w:t xml:space="preserve">CCV</w:t>
            </w:r>
          </w:p>
        </w:tc>
        <w:tc>
          <w:tcPr/>
          <w:p>
            <w:pPr>
              <w:pStyle w:val="Compact"/>
            </w:pPr>
            <w:r>
              <w:rPr>
                <w:lang w:val="es-ES"/>
              </w:rPr>
              <w:t xml:space="preserve">Plomo 1994 sin comercio espejo</w:t>
            </w:r>
          </w:p>
        </w:tc>
        <w:tc>
          <w:tcPr/>
          <w:p>
            <w:pPr>
              <w:pStyle w:val="Compact"/>
            </w:pPr>
            <w:r>
              <w:rPr>
                <w:lang w:val="es-ES"/>
              </w:rPr>
              <w:t xml:space="preserve">Declarado, no imputado</w:t>
            </w:r>
          </w:p>
        </w:tc>
      </w:tr>
      <w:tr>
        <w:tc>
          <w:tcPr/>
          <w:p>
            <w:pPr>
              <w:pStyle w:val="Compact"/>
            </w:pPr>
            <w:r>
              <w:rPr>
                <w:lang w:val="es-ES"/>
              </w:rPr>
              <w:t xml:space="preserve">CCV</w:t>
            </w:r>
          </w:p>
        </w:tc>
        <w:tc>
          <w:tcPr/>
          <w:p>
            <w:pPr>
              <w:pStyle w:val="Compact"/>
            </w:pPr>
            <w:r>
              <w:rPr>
                <w:lang w:val="es-ES"/>
              </w:rPr>
              <w:t xml:space="preserve">Oro y plata: artefacto de ley</w:t>
            </w:r>
          </w:p>
        </w:tc>
        <w:tc>
          <w:tcPr/>
          <w:p>
            <w:pPr>
              <w:pStyle w:val="Compact"/>
            </w:pPr>
            <w:r>
              <w:rPr>
                <w:lang w:val="es-ES"/>
              </w:rPr>
              <w:t xml:space="preserve">Se sustituye por comercio por etapa</w:t>
            </w:r>
          </w:p>
        </w:tc>
      </w:tr>
      <w:tr>
        <w:tc>
          <w:tcPr/>
          <w:p>
            <w:pPr>
              <w:pStyle w:val="Compact"/>
            </w:pPr>
            <w:r>
              <w:rPr>
                <w:lang w:val="es-ES"/>
              </w:rPr>
              <w:t xml:space="preserve">Encadenamientos MIP</w:t>
            </w:r>
          </w:p>
        </w:tc>
        <w:tc>
          <w:tcPr/>
          <w:p>
            <w:pPr>
              <w:pStyle w:val="Compact"/>
            </w:pPr>
            <w:r>
              <w:rPr>
                <w:lang w:val="es-ES"/>
              </w:rPr>
              <w:t xml:space="preserve">Plomo y zinc en clase combinada</w:t>
            </w:r>
          </w:p>
        </w:tc>
        <w:tc>
          <w:tcPr/>
          <w:p>
            <w:pPr>
              <w:pStyle w:val="Compact"/>
            </w:pPr>
            <w:r>
              <w:rPr>
                <w:lang w:val="es-ES"/>
              </w:rPr>
              <w:t xml:space="preserve">Reportados de forma conjunta</w:t>
            </w:r>
          </w:p>
        </w:tc>
      </w:tr>
      <w:tr>
        <w:tc>
          <w:tcPr/>
          <w:p>
            <w:pPr>
              <w:pStyle w:val="Compact"/>
            </w:pPr>
            <w:r>
              <w:rPr>
                <w:lang w:val="es-ES"/>
              </w:rPr>
              <w:t xml:space="preserve">Encadenamientos por eslabón</w:t>
            </w:r>
          </w:p>
        </w:tc>
        <w:tc>
          <w:tcPr/>
          <w:p>
            <w:pPr>
              <w:pStyle w:val="Compact"/>
            </w:pPr>
            <w:r>
              <w:rPr>
                <w:lang w:val="es-ES"/>
              </w:rPr>
              <w:t xml:space="preserve">Clases de transformación no atribuibles por mineral</w:t>
            </w:r>
          </w:p>
        </w:tc>
        <w:tc>
          <w:tcPr/>
          <w:p>
            <w:pPr>
              <w:pStyle w:val="Compact"/>
            </w:pPr>
            <w:r>
              <w:rPr>
                <w:lang w:val="es-ES"/>
              </w:rPr>
              <w:t xml:space="preserve">Ancladas con comercio y capacidad instalada</w:t>
            </w:r>
          </w:p>
        </w:tc>
      </w:tr>
      <w:tr>
        <w:tc>
          <w:tcPr/>
          <w:p>
            <w:pPr>
              <w:pStyle w:val="Compact"/>
            </w:pPr>
            <w:r>
              <w:rPr>
                <w:lang w:val="es-ES"/>
              </w:rPr>
              <w:t xml:space="preserve">Comparación internacional</w:t>
            </w:r>
          </w:p>
        </w:tc>
        <w:tc>
          <w:tcPr/>
          <w:p>
            <w:pPr>
              <w:pStyle w:val="Compact"/>
            </w:pPr>
            <w:r>
              <w:rPr>
                <w:lang w:val="es-ES"/>
              </w:rPr>
              <w:t xml:space="preserve">Nivel sector-minería agregado, no por mineral</w:t>
            </w:r>
          </w:p>
        </w:tc>
        <w:tc>
          <w:tcPr/>
          <w:p>
            <w:pPr>
              <w:pStyle w:val="Compact"/>
            </w:pPr>
            <w:r>
              <w:rPr>
                <w:lang w:val="es-ES"/>
              </w:rPr>
              <w:t xml:space="preserve">Se cruza con el comercio por etapa</w:t>
            </w:r>
          </w:p>
        </w:tc>
      </w:tr>
    </w:tbl>
    <w:bookmarkEnd w:id="14"/>
    <w:bookmarkStart w:id="15" w:name="ix.6-agenda-futura-y-aporte"/>
    <w:p>
      <w:pPr>
        <w:pStyle w:val="Heading2"/>
      </w:pPr>
      <w:r>
        <w:rPr>
          <w:lang w:val="es-ES"/>
        </w:rPr>
        <w:t xml:space="preserve">IX.6 Agenda futura y aporte</w:t>
      </w:r>
    </w:p>
    <w:p>
      <w:pPr>
        <w:pStyle w:val="FirstParagraph"/>
      </w:pPr>
      <w:r>
        <w:rPr>
          <w:lang w:val="es-ES"/>
        </w:rPr>
        <w:t xml:space="preserve">La agenda es clara: recuperar el HHI 1994-2003 con las tablas históricas del USGS; regionalizar los encadenamientos por entidad (cocientes de localización); y, cuando el dato lo permita, desagregar la comparación internacional por debajo del sector-minería. El aporte central de la investigación —la construcción de las bases de datos y los indicadores desagregados por mineral, y su lectura conjunta bajo el concepto de enclave estructural— queda disponible para esa continuación y para la discusión de política que el diagnóstico descriptivo hace posible.</w:t>
      </w:r>
    </w:p>
    <w:bookmarkEnd w:id="15"/>
    <w:bookmarkStart w:id="16" w:name="fuentes-y-referencias"/>
    <w:p>
      <w:pPr>
        <w:pStyle w:val="Heading2"/>
      </w:pPr>
      <w:r>
        <w:rPr>
          <w:lang w:val="es-ES"/>
        </w:rPr>
        <w:t xml:space="preserve">Fuentes y referencias</w:t>
      </w:r>
    </w:p>
    <w:bookmarkEnd w:id="16"/>
    <w:bookmarkEnd w:id="17"/>
    <w:sectPr>
      <w:footnotePr>
        <w:numRestart w:val="eachSect"/>
      </w:footnotePr>
      <w:pgSz w:h="15840" w:w="12240"/>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cs="Times New Roman" w:hAnsi="Times New Roman"/>
      <w:sz w:val="24"/>
    </w:rPr>
  </w:style>
  <w:style w:styleId="BodyText" w:type="paragraph">
    <w:name w:val="Body Text"/>
    <w:basedOn w:val="Normal"/>
    <w:link w:val="BodyTextChar"/>
    <w:qFormat/>
    <w:pPr>
      <w:spacing w:after="120" w:before="0" w:line="360" w:lineRule="auto"/>
      <w:jc w:val="both"/>
    </w:pPr>
    <w:rPr>
      <w:rFonts w:ascii="Times New Roman" w:cs="Times New Roman" w:hAnsi="Times New Roman"/>
      <w:sz w:val="24"/>
    </w:rPr>
  </w:style>
  <w:style w:customStyle="1" w:styleId="FirstParagraph" w:type="paragraph">
    <w:name w:val="First Paragraph"/>
    <w:basedOn w:val="BodyText"/>
    <w:next w:val="BodyText"/>
    <w:qFormat/>
    <w:pPr>
      <w:spacing w:after="120" w:before="0" w:line="360" w:lineRule="auto"/>
      <w:jc w:val="both"/>
    </w:pPr>
    <w:rPr>
      <w:rFonts w:ascii="Times New Roman" w:cs="Times New Roman" w:hAnsi="Times New Roman"/>
      <w:sz w:val="24"/>
    </w:rPr>
  </w:style>
  <w:style w:customStyle="1" w:styleId="Compact" w:type="paragraph">
    <w:name w:val="Compact"/>
    <w:basedOn w:val="BodyText"/>
    <w:qFormat/>
    <w:pPr>
      <w:spacing w:after="120" w:before="0" w:line="360" w:lineRule="auto"/>
      <w:jc w:val="both"/>
    </w:pPr>
    <w:rPr>
      <w:rFonts w:ascii="Times New Roman" w:cs="Times New Roma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heme="majorEastAsia" w:hAnsi="Times New Roman" w:hAnsiTheme="majorHAnsi"/>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76" w:lineRule="auto"/>
      <w:jc w:val="left"/>
      <w:outlineLvl w:val="0"/>
    </w:pPr>
    <w:rPr>
      <w:rFonts w:ascii="Times New Roman" w:asciiTheme="majorHAnsi" w:cs="Times New Roman" w:cstheme="majorBidi" w:eastAsiaTheme="majorEastAsia" w:hAnsi="Times New Roman" w:hAnsiTheme="majorHAns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76" w:lineRule="auto"/>
      <w:jc w:val="left"/>
      <w:outlineLvl w:val="1"/>
    </w:pPr>
    <w:rPr>
      <w:rFonts w:ascii="Times New Roman" w:asciiTheme="majorHAnsi" w:cs="Times New Roman" w:cstheme="majorBidi" w:eastAsiaTheme="majorEastAsia" w:hAnsi="Times New Roman" w:hAnsiTheme="majorHAnsi"/>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76" w:lineRule="auto"/>
      <w:jc w:val="left"/>
      <w:outlineLvl w:val="2"/>
    </w:pPr>
    <w:rPr>
      <w:rFonts w:ascii="Times New Roman" w:cs="Times New Roman" w:cstheme="majorBidi" w:eastAsiaTheme="majorEastAsia"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276" w:lineRule="auto"/>
      <w:jc w:val="left"/>
      <w:outlineLvl w:val="3"/>
    </w:pPr>
    <w:rPr>
      <w:rFonts w:ascii="Times New Roman" w:cs="Times New Roman" w:cstheme="majorBidi" w:eastAsiaTheme="majorEastAsia"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200" w:before="60" w:line="240" w:lineRule="auto"/>
      <w:jc w:val="left"/>
    </w:pPr>
    <w:rPr>
      <w:rFonts w:ascii="Times New Roman" w:cs="Times New Roman" w:hAnsi="Times New Roman"/>
      <w:i w:val="0"/>
      <w:sz w:val="20"/>
    </w:rPr>
  </w:style>
  <w:style w:customStyle="1" w:styleId="ImageCaption" w:type="paragraph">
    <w:name w:val="Image Caption"/>
    <w:basedOn w:val="Caption"/>
    <w:pPr>
      <w:spacing w:after="200" w:before="60" w:line="240" w:lineRule="auto"/>
      <w:jc w:val="left"/>
    </w:pPr>
    <w:rPr>
      <w:rFonts w:ascii="Times New Roman" w:cs="Times New Roman" w:hAnsi="Times New Roman"/>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IX. Síntesis, conclusiones y bases de política</dc:title>
  <dc:creator/>
  <dc:language>es-ES</dc:language>
  <cp:keywords/>
  <dcterms:created xsi:type="dcterms:W3CDTF">2026-09-16T02:54:50Z</dcterms:created>
  <dcterms:modified xsi:type="dcterms:W3CDTF">2026-09-16T02:54:50Z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hapter">
    <vt:lpwstr>IX</vt:lpwstr>
  </property>
  <property fmtid="{D5CDD505-2E9C-101B-9397-08002B2CF9AE}" pid="4" name="csl">
    <vt:lpwstr>pandoc\apa.csl</vt:lpwstr>
  </property>
</Properties>
</file>