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4.png" ContentType="image/png"/>
  <Override PartName="/word/media/rId7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s-ES"/>
        </w:rPr>
        <w:t xml:space="preserve">Capítulo V. Estructura empresarial y de mercado de los diez minerales críticos, 1993–2025</w:t>
      </w:r>
    </w:p>
    <w:sdt>
      <w:sdtPr>
        <w:docPartObj>
          <w:docPartGallery w:val="Table of Contents"/>
          <w:docPartUnique/>
        </w:docPartObj>
      </w:sdtPr>
      <w:sdtContent>
        <w:p>
          <w:pPr>
            <w:pStyle w:val="TOCHeading"/>
          </w:pPr>
          <w:r>
            <w:rPr>
              <w:lang w:val="es-ES"/>
            </w:rPr>
            <w:t xml:space="preserve">Table of Contents</w:t>
          </w:r>
        </w:p>
        <w:p>
          <w:r>
            <w:fldChar w:fldCharType="begin" w:dirty="true"/>
            <w:instrText xml:space="preserve">TOC \o "1-3" \h \z \u</w:instrText>
            <w:fldChar w:fldCharType="separate"/>
            <w:fldChar w:fldCharType="end"/>
          </w:r>
        </w:p>
      </w:sdtContent>
    </w:sdt>
    <w:bookmarkStart w:id="9" w:name="índice-de-cuadros"/>
    <w:p>
      <w:pPr>
        <w:pStyle w:val="Heading1"/>
      </w:pPr>
      <w:r>
        <w:rPr>
          <w:lang w:val="es-ES"/>
        </w:rPr>
        <w:t xml:space="preserve">Índice de cuadros</w:t>
      </w:r>
    </w:p>
    <w:p>
      <w:pPr>
        <w:pStyle w:val="FirstParagraph"/>
      </w:pPr>
      <w:r>
        <w:rPr>
          <w:lang w:val="es-ES"/>
        </w:rPr>
        <w:t xml:space="preserve">Cuadro V.1. Índice HHI de la producción por mineral, años seleccionados. El valor 2004-2020 es aproximado (reconstruido por régimen de mercado; cota inferior) y no es estrictamente comparable en nivel con 2021-2024 (por mina). * = dato del año previo más cercano. Fuente: cálculo propio con base B5 (CAMIMEX y USGS).</w:t>
      </w:r>
    </w:p>
    <w:bookmarkEnd w:id="9"/>
    <w:bookmarkStart w:id="10" w:name="índice-de-ilustraciones"/>
    <w:p>
      <w:pPr>
        <w:pStyle w:val="Heading1"/>
      </w:pPr>
      <w:r>
        <w:rPr>
          <w:lang w:val="es-ES"/>
        </w:rPr>
        <w:t xml:space="preserve">Índice de ilustraciones</w:t>
      </w:r>
    </w:p>
    <w:p>
      <w:pPr>
        <w:pStyle w:val="FirstParagraph"/>
      </w:pPr>
      <w:r>
        <w:rPr>
          <w:lang w:val="es-ES"/>
        </w:rPr>
        <w:t xml:space="preserve">Ilustración V.1. Índice HHI de la producción por mineral (año más reciente con dato). En rojo, concentración alta (HHI ≥ 2 500); en azul, moderada; en gris, baja. Fuente: cálculo propio, base B5 (CAMIMEX y USGS).</w:t>
      </w:r>
    </w:p>
    <w:p>
      <w:pPr>
        <w:pStyle w:val="BodyText"/>
      </w:pPr>
      <w:r>
        <w:rPr>
          <w:lang w:val="es-ES"/>
        </w:rPr>
        <w:t xml:space="preserve">Ilustración V.2. Evolución del índice HHI de minerales seleccionados, 2004-2024. El tramo 2004-2020 es aproximado (por régimen); 2021-2024, por mina. Fuente: cálculo propio, base B5.</w:t>
      </w:r>
    </w:p>
    <w:bookmarkEnd w:id="10"/>
    <w:bookmarkStart w:id="83" w:name="X4d8f8b9138de933498d5fe5d010baddd86bd4eb"/>
    <w:p>
      <w:pPr>
        <w:pStyle w:val="Heading1"/>
      </w:pPr>
      <w:r>
        <w:rPr>
          <w:lang w:val="es-ES"/>
        </w:rPr>
        <w:t xml:space="preserve">Capítulo V. Estructura empresarial y de mercado de los diez minerales críticos, 1993–2025</w:t>
      </w:r>
    </w:p>
    <w:p>
      <w:pPr>
        <w:pStyle w:val="FirstParagraph"/>
      </w:pPr>
      <w:r>
        <w:rPr>
          <w:lang w:val="es-ES"/>
        </w:rPr>
        <w:t xml:space="preserve">Este capítulo documenta, para cada uno de los diez minerales del corpus, la estructura de propiedad y concentración de mercado en el periodo 1993-2025. El capítulo constituye el análisis histórico y cualitativo de la dimensión empresarial del objeto de estudio de esta tesis: antes de describir la relación entre la concentración de mercado (HHI) y los encadenamientos productivos (Capítulo VIII), es necesario entender con precisión cómo se formó la concentración de mercado en cada mineral, quiénes son los actores dominantes, desde cuándo y por qué mecanismos, y cómo ha respondido cada estructura de mercado a los cambios regulatorios, los ciclos de precios y los movimientos corporativos del periodo.</w:t>
      </w:r>
    </w:p>
    <w:p>
      <w:pPr>
        <w:pStyle w:val="BodyText"/>
      </w:pPr>
      <w:r>
        <w:rPr>
          <w:lang w:val="es-ES"/>
        </w:rPr>
        <w:t xml:space="preserve">Para cada mineral se describe: (i) contexto y posición de México en el mercado mundial; (ii) origen y consolidación del dominio empresarial a partir del proceso de privatización de 1988-1993; (iii) estructura de la extracción —quiénes producen y con qué porcentaje de mercado—; (iv) estructura de la refinación o procesamiento, que constituye una etapa distinta y frecuentemente más concentrada que la extracción; (v) destino de la producción: qué proporción se consume en el mercado interno y qué proporción se exporta, y hacia qué países; y (vi) impacto de la reforma a la Ley Minera de 2023 sobre la dinámica de inversión y la estructura de mercado de ese mineral específico.</w:t>
      </w:r>
    </w:p>
    <w:p>
      <w:pPr>
        <w:pStyle w:val="BodyText"/>
      </w:pPr>
      <w:r>
        <w:rPr>
          <w:lang w:val="es-ES"/>
        </w:rPr>
        <w:t xml:space="preserve">Dos advertencias metodológicas son indispensables antes de entrar al análisis mineral por mineral. Primera: los porcentajes de participación de mercado citados en extracción y en refinación corresponden a eslabones distintos de la misma cadena de valor y no son directamente comparables entre sí ni con los de otros minerales. Que Industrias Peñoles refine 89% de la plata afinada del país y que Fresnillo plc extraiga 30% de la plata en bruto no son cifras contradictorias: la segunda es subsidiaria de la primera, y buena parte de lo que Fresnillo extrae termina en la refinería de Peñoles. Segunda: los datos de participación de mercado corresponden a distintos años según la disponibilidad de cada fuente, lo que se indica de forma explícita en cada caso.</w:t>
      </w:r>
    </w:p>
    <w:bookmarkStart w:id="11" w:name="Xaa0eae19b61a4e0b8b6ae033cabdc8d870e7fea"/>
    <w:p>
      <w:pPr>
        <w:pStyle w:val="Heading2"/>
      </w:pPr>
      <w:r>
        <w:rPr>
          <w:lang w:val="es-ES"/>
        </w:rPr>
        <w:t xml:space="preserve">V.1 La lógica de la coextracción: por qué las mismas empresas aparecen en múltiples minerales</w:t>
      </w:r>
    </w:p>
    <w:p>
      <w:pPr>
        <w:pStyle w:val="FirstParagraph"/>
      </w:pPr>
      <w:r>
        <w:rPr>
          <w:lang w:val="es-ES"/>
        </w:rPr>
        <w:t xml:space="preserve">Antes de analizar cada mineral de forma individual, es necesario señalar un rasgo estructural que da coherencia al conjunto: la mayoría de los yacimientos mexicanos son polimetálicos, es decir, contienen en proporciones variables varios metales entrelazados en la misma roca. En consecuencia, las mismas empresas aparecen una y otra vez en los capítulos de distintos minerales, no porque hayan decidido diversificar hacia mercados independientes, sino porque el mismo mineral arrancado del subsuelo se vende como varios productos. El caso más claro es Peñasquito (Zacatecas), operado primero por Goldcorp y desde 2019 por Newmont: esa misma mina produce oro, plata, plomo y zinc simultáneamente, y en 2024 fue identificada por la Cámara Minera de México como la principal mina nacional de zinc al mismo tiempo que figuraba entre los mayores productores de plata y entre los diez mayores de oro del país (Cámara Minera de México, 2025c).</w:t>
      </w:r>
    </w:p>
    <w:p>
      <w:pPr>
        <w:pStyle w:val="BodyText"/>
      </w:pPr>
      <w:r>
        <w:rPr>
          <w:lang w:val="es-ES"/>
        </w:rPr>
        <w:t xml:space="preserve">Tres familias de coextracción son reconocibles en el corpus de esta tesis. La primera es la familia plata-plomo-zinc-oro, la asociación geológica más común: yacimientos epitermales y de reemplazamiento en los que la plata viaja casi siempre acompañada de plomo y zinc, y frecuentemente de oro. Por esa razón, Peñoles, Fresnillo plc, Grupo México, Newmont y Minera Frisco aparecen repetidos en los capítulos de plata, zinc y plomo: no son negocios separados sino, en gran medida, el mismo mineral polimetálico vendido como tres o cuatro productos distintos. La segunda familia es la del cobre-molibdeno-oro-plata: los grandes pórfidos cupríferos de Sonora (La Caridad y Buenavista del Cobre, ambos de Grupo México) arrastran molibdeno como subproducto sistemático, más oro y plata en cantidades menores. La tercera es la de los minerales no metálicos que comparten provincias geológicas con minerales base —fluorita, barita y sílice en las secuencias sedimentarias del norte de México— aunque casi siempre en manos de empresas distintas a las de la gran minería metálica (Servicio Geológico Mexicano, 2024).</w:t>
      </w:r>
    </w:p>
    <w:bookmarkEnd w:id="11"/>
    <w:bookmarkStart w:id="17" w:name="v.2-barita"/>
    <w:p>
      <w:pPr>
        <w:pStyle w:val="Heading2"/>
      </w:pPr>
      <w:r>
        <w:rPr>
          <w:lang w:val="es-ES"/>
        </w:rPr>
        <w:t xml:space="preserve">V.2 Barita</w:t>
      </w:r>
    </w:p>
    <w:bookmarkStart w:id="12" w:name="Xf54e057ce6071c43eebd95b9ad3c6db266143d9"/>
    <w:p>
      <w:pPr>
        <w:pStyle w:val="Heading3"/>
      </w:pPr>
      <w:r>
        <w:rPr>
          <w:lang w:val="es-ES"/>
        </w:rPr>
        <w:t xml:space="preserve">V.2.1 Contexto: un mercado estructuralmente cautivo de la industria petrolera</w:t>
      </w:r>
    </w:p>
    <w:p>
      <w:pPr>
        <w:pStyle w:val="FirstParagraph"/>
      </w:pPr>
      <w:r>
        <w:rPr>
          <w:lang w:val="es-ES"/>
        </w:rPr>
        <w:t xml:space="preserve">La barita —sulfato de bario natural (BaSO₄)— es un mineral industrial cuyo 95% de la producción nacional se destina a la formulación de lodos de perforación de pozos petroleros, donde su alta densidad (peso específico de entre 4.3 y 4.6 g/cc) es el atributo técnico clave. El 5% restante se destina a pinturas automotrices y blindaje radiológico. México se ubica en séptimo lugar mundial en producción de barita según cifras del Servicio Geológico Mexicano de 2020. Esta dependencia de un solo comprador doméstico —la industria petrolera— hace de la barita el mineral del corpus más directamente ligado al ciclo de inversión en hidrocarburos, tanto de PEMEX como de los operadores privados que ingresaron al sector tras la reforma energética de 2013-2014 (Secretaría de Economía, 2021a).</w:t>
      </w:r>
    </w:p>
    <w:bookmarkEnd w:id="12"/>
    <w:bookmarkStart w:id="13" w:name="Xfec1fa9decaa43f754cc5a7859a85a40fb7f86f"/>
    <w:p>
      <w:pPr>
        <w:pStyle w:val="Heading3"/>
      </w:pPr>
      <w:r>
        <w:rPr>
          <w:lang w:val="es-ES"/>
        </w:rPr>
        <w:t xml:space="preserve">V.2.2 Estructura de extracción y procesamiento: pocos operadores y un líder en declive</w:t>
      </w:r>
    </w:p>
    <w:p>
      <w:pPr>
        <w:pStyle w:val="FirstParagraph"/>
      </w:pPr>
      <w:r>
        <w:rPr>
          <w:lang w:val="es-ES"/>
        </w:rPr>
        <w:t xml:space="preserve">La Secretaría de Economía documentó desde 2012 que el mercado de barita nacional cuenta con unas cuatro empresas productoras y prácticamente un solo consumidor, la industria petrolera. El número de operadores, sin embargo, no ha sido estable: el U.S. Geological Survey registra tres productores en 2004-2013, cuatro desde 2014 (con la entrada de Baramin en Galeana, Nuevo León) y hasta cinco en 2018, para volver a cuatro. La barita no requiere una refinación metalúrgica equivalente a la de los metales —su beneficio consiste en trituración, molienda y micronización—, de modo que las mismas empresas concentran extracción y procesamiento. Los Informes Anuales de la Cámara Minera de México (2022–2025) permiten identificar a Baramin como el mayor productor nacional y estimar su participación, que descendió de forma sostenida —de aproximadamente 82% en 2021 a 24.6% en 2024— por el agotamiento de su mina 'Grecia' en Nuevo León, lo que introduce una dinámica de desconcentración marcada que el índice de mercado recoge (Secretaría de Economía, 2014, 2021a; U.S. Geological Survey, 2012; Cámara Minera de México, 2022-2025).</w:t>
      </w:r>
    </w:p>
    <w:bookmarkEnd w:id="13"/>
    <w:bookmarkStart w:id="14" w:name="X50344e11021a581631015074d187b4a03e273d0"/>
    <w:p>
      <w:pPr>
        <w:pStyle w:val="Heading3"/>
      </w:pPr>
      <w:r>
        <w:rPr>
          <w:lang w:val="es-ES"/>
        </w:rPr>
        <w:t xml:space="preserve">V.2.3 Concentración geográfica: variable y no coincidente con la empresarial</w:t>
      </w:r>
    </w:p>
    <w:p>
      <w:pPr>
        <w:pStyle w:val="FirstParagraph"/>
      </w:pPr>
      <w:r>
        <w:rPr>
          <w:lang w:val="es-ES"/>
        </w:rPr>
        <w:t xml:space="preserve">La concentración geográfica de la barita es muy marcada pero inestable en el tiempo, condicionada por el descubrimiento y agotamiento de yacimientos en distintos estados. Nuevo León (región de Galeana) se consolidó como el productor dominante hacia el final de la década de 2010, con 89% de la producción nacional en 2019. Coahuila experimentó una caída dramática: de 16.4% en 2016 a apenas 5% en 2017. Sonora ha mantenido una participación secundaria pero relevante (entre 11% y 19% según el año), y Chihuahua una contribución marginal de 1% a 2% (Secretaría de Economía, 2021a).</w:t>
      </w:r>
    </w:p>
    <w:p>
      <w:pPr>
        <w:pStyle w:val="BodyText"/>
      </w:pPr>
      <w:r>
        <w:rPr>
          <w:lang w:val="es-ES"/>
        </w:rPr>
        <w:t xml:space="preserve">Los Informes Anuales de la Cámara Minera de México (2022–2025) sí permiten, no obstante, identificar a Baramin como el mayor productor nacional y estimar su participación, que descendió de forma sostenida —de aproximadamente 82% en 2021 a 24.6% en 2024— por el agotamiento de su mina "Grecia" en Nuevo León, lo que introduce una dinámica de desconcentración que el índice de mercado recoge.</w:t>
      </w:r>
    </w:p>
    <w:bookmarkEnd w:id="14"/>
    <w:bookmarkStart w:id="15" w:name="X3fef7cf3c3fc5c523ba00863d4560f5b5e38d9c"/>
    <w:p>
      <w:pPr>
        <w:pStyle w:val="Heading3"/>
      </w:pPr>
      <w:r>
        <w:rPr>
          <w:lang w:val="es-ES"/>
        </w:rPr>
        <w:t xml:space="preserve">V.2.4 Destino de la producción: mercado interno dominante, exportación marginal hacia Estados Unidos</w:t>
      </w:r>
    </w:p>
    <w:p>
      <w:pPr>
        <w:pStyle w:val="FirstParagraph"/>
      </w:pPr>
      <w:r>
        <w:rPr>
          <w:lang w:val="es-ES"/>
        </w:rPr>
        <w:t xml:space="preserve">El 95% de la producción de barita abastece a la industria petrolera nacional. Del remanente exportable, Estados Unidos ha sido el destino dominante de forma sostenida: 78.3% de las exportaciones en 2013, con Colombia como segundo destino (12.6%) y Venezuela como tercero (8.4%). Las importaciones mexicanas de barita —que complementan el abasto interno en años de alta actividad petrolera— provienen históricamente de Marruecos, India y China (Secretaría de Economía, 2014).</w:t>
      </w:r>
    </w:p>
    <w:bookmarkEnd w:id="15"/>
    <w:bookmarkStart w:id="16" w:name="Xf81afc8b6922c0b6ab8a18e7634e4e119fa208e"/>
    <w:p>
      <w:pPr>
        <w:pStyle w:val="Heading3"/>
      </w:pPr>
      <w:r>
        <w:rPr>
          <w:lang w:val="es-ES"/>
        </w:rPr>
        <w:t xml:space="preserve">V.2.5 Volatilidad ligada al ciclo petrolero y efecto de la reforma de 2023</w:t>
      </w:r>
    </w:p>
    <w:p>
      <w:pPr>
        <w:pStyle w:val="FirstParagraph"/>
      </w:pPr>
      <w:r>
        <w:rPr>
          <w:lang w:val="es-ES"/>
        </w:rPr>
        <w:t xml:space="preserve">La producción de barita ha mostrado oscilaciones de gran amplitud: de 134,000 toneladas en 2011 a 343,000 toneladas en 2013 —un incremento de 145.4% en dos años—, seguido de una caída en 2016-2017 y una recuperación posterior. En 2024, la producción de barita retrocedió 17.5% respecto de 2023 (Aliphat Rodríguez et al., 2025). La reforma de 2023 afecta a la barita de forma indirecta: la exclusividad del Servicio Geológico Mexicano sobre la exploración de nuevas zonas limita la capacidad de las cuatro empresas bariteras de identificar y desarrollar nuevos yacimientos por cuenta propia, y el litigio constitucional sobre la reforma paraliza el otorgamiento de nuevas concesiones en todo el sector, incluidos los minerales no metálicos de menor escala (Secretaría de Economía, 2024a; Minería en Línea, 2026).</w:t>
      </w:r>
    </w:p>
    <w:p>
      <w:pPr>
        <w:pStyle w:val="BodyText"/>
      </w:pPr>
      <w:r>
        <w:rPr>
          <w:i/>
          <w:iCs/>
          <w:lang w:val="es-ES"/>
        </w:rPr>
        <w:t xml:space="preserve">Fuentes: Secretaría de Economía, Perfiles de Mercado de la Barita (2012, 2014, 2021a); Aliphat Rodríguez et al. (2025); Servicio Geológico Mexicano, Anuario Estadístico de la Minería Mexicana (2024); Minería en Línea (2026).</w:t>
      </w:r>
    </w:p>
    <w:bookmarkEnd w:id="16"/>
    <w:bookmarkEnd w:id="17"/>
    <w:bookmarkStart w:id="25" w:name="v.3-cobre"/>
    <w:p>
      <w:pPr>
        <w:pStyle w:val="Heading2"/>
      </w:pPr>
      <w:r>
        <w:rPr>
          <w:lang w:val="es-ES"/>
        </w:rPr>
        <w:t xml:space="preserve">V.3 Cobre</w:t>
      </w:r>
    </w:p>
    <w:bookmarkStart w:id="18" w:name="v.3.1-contexto-y-posición-mundial"/>
    <w:p>
      <w:pPr>
        <w:pStyle w:val="Heading3"/>
      </w:pPr>
      <w:r>
        <w:rPr>
          <w:lang w:val="es-ES"/>
        </w:rPr>
        <w:t xml:space="preserve">V.3.1 Contexto y posición mundial</w:t>
      </w:r>
    </w:p>
    <w:p>
      <w:pPr>
        <w:pStyle w:val="FirstParagraph"/>
      </w:pPr>
      <w:r>
        <w:rPr>
          <w:lang w:val="es-ES"/>
        </w:rPr>
        <w:t xml:space="preserve">México se ubica de manera consistente entre los diez principales productores mundiales de cobre —en 2025 ocupaba el octavo o noveno lugar según la fuente—, con una producción nacional concentrada de forma extraordinaria en el estado de Sonora: en 2023, Sonora aportó 80.2% de la producción nacional, y dentro de Sonora los municipios de Cananea y Nacozari concentraron 94% de la producción estatal. La producción minero-metalúrgica nacional de cobre fue de 699,118 toneladas en 2023 y de 717,332 toneladas en 2024, un incremento de 2.6% según cifras del INEGI. El Compendio Estadístico de CAMIMEX para 2023 reporta 508,804 toneladas bajo una metodología distinta, ilustrando la heterogeneidad de mediciones disponibles para el mismo mineral (Servicio Geológico Mexicano, 2024; Cámara Minera de México, 2024).</w:t>
      </w:r>
    </w:p>
    <w:bookmarkEnd w:id="18"/>
    <w:bookmarkStart w:id="19" w:name="Xf5d56db314518e5c88fd720be62d18c5637261a"/>
    <w:p>
      <w:pPr>
        <w:pStyle w:val="Heading3"/>
      </w:pPr>
      <w:r>
        <w:rPr>
          <w:lang w:val="es-ES"/>
        </w:rPr>
        <w:t xml:space="preserve">V.3.2 La transacción fundacional: privatización de Cananea (1990)</w:t>
      </w:r>
    </w:p>
    <w:p>
      <w:pPr>
        <w:pStyle w:val="FirstParagraph"/>
      </w:pPr>
      <w:r>
        <w:rPr>
          <w:lang w:val="es-ES"/>
        </w:rPr>
        <w:t xml:space="preserve">El mercado del cobre mexicano es el que exhibe el patrón de concentración más nítido y mejor documentado de los diez minerales analizados, en parte porque es posible reconstruir el precio exacto de la transacción que lo configuró. En 1989, el gobierno federal canceló dos licitaciones en las que Protexa Monterrey e Industrias Peñoles habían ofrecido 975 y 650 millones de dólares respectivamente por la Compañía Minera de Cananea, y terminó adjudicando la empresa a Grupo México —entonces encabezado por Jorge Larrea— por apenas 175 millones de dólares, 3.7 veces menos que la oferta de Protexa, obteniendo además la cancelación del contrato colectivo de trabajo a cambio de ceder 5% de las acciones. Con esta operación, formalizada en 1990, Grupo México consolidó un dominio prácticamente monopólico sobre la minería de cobre en Sonora. Al sumar La Caridad, incorporada también durante los años noventa, Grupo México llegó a producir 87.5% del cobre nacional en el año 2000, posicionándose entre los tres mayores productores mundiales (De la Garza Pedraza et al., 2021).</w:t>
      </w:r>
    </w:p>
    <w:bookmarkEnd w:id="19"/>
    <w:bookmarkStart w:id="20" w:name="Xf3d96b359f3a184809f62d38e31c7cdd7b73af9"/>
    <w:p>
      <w:pPr>
        <w:pStyle w:val="Heading3"/>
      </w:pPr>
      <w:r>
        <w:rPr>
          <w:lang w:val="es-ES"/>
        </w:rPr>
        <w:t xml:space="preserve">V.3.3 Internacionalización: adquisición de ASARCO y Southern Peru Copper (2004)</w:t>
      </w:r>
    </w:p>
    <w:p>
      <w:pPr>
        <w:pStyle w:val="FirstParagraph"/>
      </w:pPr>
      <w:r>
        <w:rPr>
          <w:lang w:val="es-ES"/>
        </w:rPr>
        <w:t xml:space="preserve">La adquisición de ASARCO (Estados Unidos) y su participación mayoritaria en Southern Peru Copper Corporation (SPCC, Perú) en 2004 transformó a Grupo México de líder nacional a actor cuprífero de escala global: la empresa pasó a ser la primera en reservas de cobre del mundo y el cuarto productor mundial de cobre y plata. Desde entonces, las operaciones mexicanas de cobre —Buenavista del Cobre (la antigua Cananea) y La Caridad— forman parte de un portafolio integrado verticalmente (minería, fundición y refinación) que opera bajo la subsidiaria Americas Mining Corporation, con presencia en México, Perú, Estados Unidos y proyectos de exploración en Chile, Argentina, Ecuador y España (De la Garza Pedraza et al., 2021).</w:t>
      </w:r>
    </w:p>
    <w:bookmarkEnd w:id="20"/>
    <w:bookmarkStart w:id="21" w:name="Xf13014b71421f2ac5a71fd0ffc0976ab1b9dc80"/>
    <w:p>
      <w:pPr>
        <w:pStyle w:val="Heading3"/>
      </w:pPr>
      <w:r>
        <w:rPr>
          <w:lang w:val="es-ES"/>
        </w:rPr>
        <w:t xml:space="preserve">V.3.4 Extracción: participación de mercado de Grupo México, 2000-2024</w:t>
      </w:r>
    </w:p>
    <w:p>
      <w:pPr>
        <w:pStyle w:val="FirstParagraph"/>
      </w:pPr>
      <w:r>
        <w:rPr>
          <w:lang w:val="es-ES"/>
        </w:rPr>
        <w:t xml:space="preserve">La serie de participación de mercado de Grupo México en la extracción nacional de cobre es la más documentada del corpus: 87.5% estimado para el año 2000 (literatura académica), 85% estimado para 2018 (De la Garza Pedraza et al., 2021), 73.3% en 2022 (Expert Market Research, 2024) y 78% en 2024 (Cámara Minera de México, 2024). Los competidores secundarios son Capstone Copper (empresa canadiense con operaciones en México), Santa María de la Paz y Anexas, Nemisa e Industrias Peñoles —cuya producción de cobre es subproducto de minas polimetálicas de zinc-plomo—. La variación en el porcentaje de Grupo México entre 2022 y 2024 refleja tanto diferencias metodológicas entre fuentes como la entrada de nuevos proyectos de Capstone Copper.</w:t>
      </w:r>
    </w:p>
    <w:tbl>
      <w:tblPr>
        <w:tblStyle w:val="Table"/>
        <w:tblW w:type="pct" w:w="4899"/>
        <w:tblLayout w:type="fixed"/>
        <w:tblLook w:firstRow="1" w:lastRow="0" w:firstColumn="0" w:lastColumn="0" w:noHBand="0" w:noVBand="0" w:val="0020"/>
      </w:tblPr>
      <w:tblGrid>
        <w:gridCol w:w="880"/>
        <w:gridCol w:w="4000"/>
        <w:gridCol w:w="2880"/>
      </w:tblGrid>
      <w:tr>
        <w:trPr>
          <w:tblHeader w:val="on"/>
        </w:trPr>
        <w:tc>
          <w:tcPr/>
          <w:p>
            <w:pPr>
              <w:pStyle w:val="Compact"/>
              <w:jc w:val="left"/>
            </w:pPr>
            <w:r>
              <w:rPr>
                <w:b/>
                <w:bCs/>
                <w:lang w:val="es-ES"/>
              </w:rPr>
              <w:t xml:space="preserve">Año</w:t>
            </w:r>
          </w:p>
        </w:tc>
        <w:tc>
          <w:tcPr/>
          <w:p>
            <w:pPr>
              <w:pStyle w:val="Compact"/>
              <w:jc w:val="left"/>
            </w:pPr>
            <w:r>
              <w:rPr>
                <w:b/>
                <w:bCs/>
                <w:lang w:val="es-ES"/>
              </w:rPr>
              <w:t xml:space="preserve">Participación de Grupo México en extracción</w:t>
            </w:r>
          </w:p>
        </w:tc>
        <w:tc>
          <w:tcPr/>
          <w:p>
            <w:pPr>
              <w:pStyle w:val="Compact"/>
              <w:jc w:val="left"/>
            </w:pPr>
            <w:r>
              <w:rPr>
                <w:b/>
                <w:bCs/>
                <w:lang w:val="es-ES"/>
              </w:rPr>
              <w:t xml:space="preserve">Fuente</w:t>
            </w:r>
          </w:p>
        </w:tc>
      </w:tr>
      <w:tr>
        <w:tc>
          <w:tcPr/>
          <w:p>
            <w:pPr>
              <w:pStyle w:val="Compact"/>
              <w:jc w:val="left"/>
            </w:pPr>
            <w:r>
              <w:rPr>
                <w:lang w:val="es-ES"/>
              </w:rPr>
              <w:t xml:space="preserve">2000</w:t>
            </w:r>
          </w:p>
        </w:tc>
        <w:tc>
          <w:tcPr/>
          <w:p>
            <w:pPr>
              <w:pStyle w:val="Compact"/>
              <w:jc w:val="left"/>
            </w:pPr>
            <w:r>
              <w:rPr>
                <w:lang w:val="es-ES"/>
              </w:rPr>
              <w:t xml:space="preserve">≈87.5%</w:t>
            </w:r>
          </w:p>
        </w:tc>
        <w:tc>
          <w:tcPr/>
          <w:p>
            <w:pPr>
              <w:pStyle w:val="Compact"/>
              <w:jc w:val="left"/>
            </w:pPr>
            <w:r>
              <w:rPr>
                <w:lang w:val="es-ES"/>
              </w:rPr>
              <w:t xml:space="preserve">De la Garza Pedraza et al. (2021)</w:t>
            </w:r>
          </w:p>
        </w:tc>
      </w:tr>
      <w:tr>
        <w:tc>
          <w:tcPr/>
          <w:p>
            <w:pPr>
              <w:pStyle w:val="Compact"/>
              <w:jc w:val="left"/>
            </w:pPr>
            <w:r>
              <w:rPr>
                <w:lang w:val="es-ES"/>
              </w:rPr>
              <w:t xml:space="preserve">2018</w:t>
            </w:r>
          </w:p>
        </w:tc>
        <w:tc>
          <w:tcPr/>
          <w:p>
            <w:pPr>
              <w:pStyle w:val="Compact"/>
              <w:jc w:val="left"/>
            </w:pPr>
            <w:r>
              <w:rPr>
                <w:lang w:val="es-ES"/>
              </w:rPr>
              <w:t xml:space="preserve">≈85%</w:t>
            </w:r>
          </w:p>
        </w:tc>
        <w:tc>
          <w:tcPr/>
          <w:p>
            <w:pPr>
              <w:pStyle w:val="Compact"/>
              <w:jc w:val="left"/>
            </w:pPr>
            <w:r>
              <w:rPr>
                <w:lang w:val="es-ES"/>
              </w:rPr>
              <w:t xml:space="preserve">De la Garza Pedraza et al. (2021)</w:t>
            </w:r>
          </w:p>
        </w:tc>
      </w:tr>
      <w:tr>
        <w:tc>
          <w:tcPr/>
          <w:p>
            <w:pPr>
              <w:pStyle w:val="Compact"/>
              <w:jc w:val="left"/>
            </w:pPr>
            <w:r>
              <w:rPr>
                <w:lang w:val="es-ES"/>
              </w:rPr>
              <w:t xml:space="preserve">2022</w:t>
            </w:r>
          </w:p>
        </w:tc>
        <w:tc>
          <w:tcPr/>
          <w:p>
            <w:pPr>
              <w:pStyle w:val="Compact"/>
              <w:jc w:val="left"/>
            </w:pPr>
            <w:r>
              <w:rPr>
                <w:lang w:val="es-ES"/>
              </w:rPr>
              <w:t xml:space="preserve">73.3%</w:t>
            </w:r>
          </w:p>
        </w:tc>
        <w:tc>
          <w:tcPr/>
          <w:p>
            <w:pPr>
              <w:pStyle w:val="Compact"/>
              <w:jc w:val="left"/>
            </w:pPr>
            <w:r>
              <w:rPr>
                <w:lang w:val="es-ES"/>
              </w:rPr>
              <w:t xml:space="preserve">Expert Market Research (2024)</w:t>
            </w:r>
          </w:p>
        </w:tc>
      </w:tr>
      <w:tr>
        <w:tc>
          <w:tcPr/>
          <w:p>
            <w:pPr>
              <w:pStyle w:val="Compact"/>
              <w:jc w:val="left"/>
            </w:pPr>
            <w:r>
              <w:rPr>
                <w:lang w:val="es-ES"/>
              </w:rPr>
              <w:t xml:space="preserve">2024</w:t>
            </w:r>
          </w:p>
        </w:tc>
        <w:tc>
          <w:tcPr/>
          <w:p>
            <w:pPr>
              <w:pStyle w:val="Compact"/>
              <w:jc w:val="left"/>
            </w:pPr>
            <w:r>
              <w:rPr>
                <w:lang w:val="es-ES"/>
              </w:rPr>
              <w:t xml:space="preserve">78%</w:t>
            </w:r>
          </w:p>
        </w:tc>
        <w:tc>
          <w:tcPr/>
          <w:p>
            <w:pPr>
              <w:pStyle w:val="Compact"/>
              <w:jc w:val="left"/>
            </w:pPr>
            <w:r>
              <w:rPr>
                <w:lang w:val="es-ES"/>
              </w:rPr>
              <w:t xml:space="preserve">Cámara Minera de México (2024)</w:t>
            </w:r>
          </w:p>
        </w:tc>
      </w:tr>
    </w:tbl>
    <w:bookmarkEnd w:id="21"/>
    <w:bookmarkStart w:id="22" w:name="X5e7287aed12104ecdcdf97e00b7d16d516a7c4e"/>
    <w:p>
      <w:pPr>
        <w:pStyle w:val="Heading3"/>
      </w:pPr>
      <w:r>
        <w:rPr>
          <w:lang w:val="es-ES"/>
        </w:rPr>
        <w:t xml:space="preserve">V.3.5 Refinación: monopolio de facto de Grupo México</w:t>
      </w:r>
    </w:p>
    <w:p>
      <w:pPr>
        <w:pStyle w:val="FirstParagraph"/>
      </w:pPr>
      <w:r>
        <w:rPr>
          <w:lang w:val="es-ES"/>
        </w:rPr>
        <w:t xml:space="preserve">En la etapa de refinación, Grupo México mantiene una posición de monopolio de facto: es el único operador mexicano con fundición y refinería electrolítica de cobre integradas dentro del Complejo Metalúrgico de Sonora, lo que en la práctica convierte la refinación de cobre primario en un negocio exclusivo del grupo dentro del territorio nacional. Las operaciones de cobre de las empresas secundarias (Capstone, Peñoles) se procesan en fundiciones fuera de México o se exportan como concentrado sin refinar.</w:t>
      </w:r>
    </w:p>
    <w:bookmarkEnd w:id="22"/>
    <w:bookmarkStart w:id="23" w:name="X3ec0b7e80b2a5add06b8032f90e71d2088a2375"/>
    <w:p>
      <w:pPr>
        <w:pStyle w:val="Heading3"/>
      </w:pPr>
      <w:r>
        <w:rPr>
          <w:lang w:val="es-ES"/>
        </w:rPr>
        <w:t xml:space="preserve">V.3.6 Destino de la producción: exportación de concentrado con China como principal comprador</w:t>
      </w:r>
    </w:p>
    <w:p>
      <w:pPr>
        <w:pStyle w:val="FirstParagraph"/>
      </w:pPr>
      <w:r>
        <w:rPr>
          <w:lang w:val="es-ES"/>
        </w:rPr>
        <w:t xml:space="preserve">El cobre mexicano se exporta mayoritariamente como concentrado o mineral sin refinar. En 2024, China fue el principal destino con 2,315 millones de dólares, seguida de Japón (532 millones), Filipinas (129 millones), Alemania (78.3 millones) y Taiwán (73 millones). El intercambio comercial total del rubro alcanzó 6,203 millones de dólares ese año, con Sonora como la entidad federativa exportadora dominante (3,147 millones de dólares). El cobre que se queda en el país abastece a industrias manufactureras nacionales —automotriz, eléctrica, construcción— a través de los encadenamientos productivos que la investigación busca cuantificar en el Capítulo VI (Secretaría de Economía / DataMéxico, 2025a; Aliphat Rodríguez et al., 2025).</w:t>
      </w:r>
    </w:p>
    <w:bookmarkEnd w:id="23"/>
    <w:bookmarkStart w:id="24" w:name="X493e2245c3c5896bc36e6b837811790e79a320a"/>
    <w:p>
      <w:pPr>
        <w:pStyle w:val="Heading3"/>
      </w:pPr>
      <w:r>
        <w:rPr>
          <w:lang w:val="es-ES"/>
        </w:rPr>
        <w:t xml:space="preserve">V.3.7 Impacto de la reforma de 2023: protección de corto plazo, freno a la expansión futura</w:t>
      </w:r>
    </w:p>
    <w:p>
      <w:pPr>
        <w:pStyle w:val="FirstParagraph"/>
      </w:pPr>
      <w:r>
        <w:rPr>
          <w:lang w:val="es-ES"/>
        </w:rPr>
        <w:t xml:space="preserve">Para Grupo México, el análisis de sus concesiones muestra vigencias dispares: La Caridad Número 1, 2, 3, 4 y 6 vencen en enero de 2029, mientras que La Caridad Número 8 tiene vigencia hasta 2062. Esta distribución blinda la operación productiva actual en el corto y mediano plazo, pero el efecto real de la reforma recae sobre los proyectos de expansión que el grupo no ha podido tramitar desde 2023. La consultora Moody's advirtió en 2023 que las limitaciones en la duración de las concesiones podrían dificultar el crecimiento del sector. En 2024, la exploración minera cayó 11.5% y la inversión extranjera directa en el sector retrocedió 56.3% en 2025, en un contexto de litigio constitucional sin resolver ante la Suprema Corte de Justicia de la Nación. Grupo México reportó en 2024 una producción consolidada de cobre de 1,086,052 toneladas (incluyendo Perú y Estados Unidos), un aumento de 5.5% respecto de 2023, lo que ilustra que el impacto de la reforma sobre las operaciones existentes es marginal, mientras que el freno opera sobre el futuro (Minería en Línea, 2026; Secretaría de Economía, 2024a).</w:t>
      </w:r>
    </w:p>
    <w:p>
      <w:pPr>
        <w:pStyle w:val="BodyText"/>
      </w:pPr>
      <w:r>
        <w:rPr>
          <w:i/>
          <w:iCs/>
          <w:lang w:val="es-ES"/>
        </w:rPr>
        <w:t xml:space="preserve">Fuentes: De la Garza Pedraza et al. (2021); Cámara Minera de México (2024); Expert Market Research (2024); Secretaría de Economía / DataMéxico (2025a); Aliphat Rodríguez et al. (2025); Minería en Línea (2026).</w:t>
      </w:r>
    </w:p>
    <w:bookmarkEnd w:id="24"/>
    <w:bookmarkEnd w:id="25"/>
    <w:bookmarkStart w:id="31" w:name="v.4-fluorita"/>
    <w:p>
      <w:pPr>
        <w:pStyle w:val="Heading2"/>
      </w:pPr>
      <w:r>
        <w:rPr>
          <w:lang w:val="es-ES"/>
        </w:rPr>
        <w:t xml:space="preserve">V.4 Fluorita</w:t>
      </w:r>
    </w:p>
    <w:bookmarkStart w:id="26" w:name="X27996ddf5f63b7cf176065e1e93412acc223159"/>
    <w:p>
      <w:pPr>
        <w:pStyle w:val="Heading3"/>
      </w:pPr>
      <w:r>
        <w:rPr>
          <w:lang w:val="es-ES"/>
        </w:rPr>
        <w:t xml:space="preserve">V.4.1 Contexto: México como segundo productor mundial con las mayores reservas globales</w:t>
      </w:r>
    </w:p>
    <w:p>
      <w:pPr>
        <w:pStyle w:val="FirstParagraph"/>
      </w:pPr>
      <w:r>
        <w:rPr>
          <w:lang w:val="es-ES"/>
        </w:rPr>
        <w:t xml:space="preserve">México es el segundo productor mundial de fluorita después de China, y posee la mayor reserva mundial del mineral, estimada en torno al 20% del total global, por encima de China (19%) y Sudáfrica (13%). Según el USGS, China aportó 65% de la producción mundial de fluorita en 2023 y México 11.4%. La fluorita es, además, uno de los minerales considerados críticos para la transición energética, al ser insumo del ácido fluorhídrico usado en semiconductores, baterías de nueva generación y refrigerantes de bajo impacto ambiental (U.S. Geological Survey, 2025a; European Commission, 2023).</w:t>
      </w:r>
    </w:p>
    <w:bookmarkEnd w:id="26"/>
    <w:bookmarkStart w:id="27" w:name="X837993121e2c84dfe66f9924c72eb0cd3b793c8"/>
    <w:p>
      <w:pPr>
        <w:pStyle w:val="Heading3"/>
      </w:pPr>
      <w:r>
        <w:rPr>
          <w:lang w:val="es-ES"/>
        </w:rPr>
        <w:t xml:space="preserve">V.4.2 De duopolio a monopolio: la consolidación de enero de 2012 sobre un yacimiento explotado desde 1955</w:t>
      </w:r>
    </w:p>
    <w:p>
      <w:pPr>
        <w:pStyle w:val="FirstParagraph"/>
      </w:pPr>
      <w:r>
        <w:rPr>
          <w:lang w:val="es-ES"/>
        </w:rPr>
        <w:t xml:space="preserve">La estructura de mercado de la fluorita mexicana es, desde 2012, una de las más concentradas del corpus junto con la del manganeso; antes de ese año operó como duopolio. San Luis Potosí ha aportado de forma sostenida entre 91% y 98% de la producción nacional desde la década de 2010: 93.5% en 2015, 91.5% en 2016, 96% en 2018, 98% en enero de 2025 (Secretaría de Economía, 2020a). Toda esa producción potosina proviene del distrito de Las Cuevas (Villa de Zaragoza), explotado desde 1955 y considerado la mina de fluorita más grande del mundo. Hasta 2011, sin embargo, la fluorita mexicana no fue monopolio: junto a Las Cuevas (capacidad 520 mil toneladas) produjo de forma independiente Fluorita de México, S.A. de C.V. —Corporación Alfil (51%) y Applied Industrial Minerals (49%)—, con mina en el distrito La Encantada y planta en Múzquiz, Coahuila (capacidad 150 mil toneladas); Coahuila aportó del orden de 16-22% de la producción nacional hasta ese año (U.S. Geological Survey, Minerals Yearbook, Tabla 2, ediciones 2004-2011; Cámara Minera de México, 2005). En enero de 2012 Mexichem adquirió Fluorita de México y consolidó bajo un solo grupo la práctica totalidad de la producción: el índice de concentración pasó de un nivel de duopolio (HHI ≈ 6,525 en 2004-2011) al monopolio de grupo actual (HHI = 10,000 desde 2012).</w:t>
      </w:r>
    </w:p>
    <w:bookmarkEnd w:id="27"/>
    <w:bookmarkStart w:id="28" w:name="Xb72e26bf06e9e4a249b7e9d6bb8cbc93b5b6eb3"/>
    <w:p>
      <w:pPr>
        <w:pStyle w:val="Heading3"/>
      </w:pPr>
      <w:r>
        <w:rPr>
          <w:lang w:val="es-ES"/>
        </w:rPr>
        <w:t xml:space="preserve">V.4.3 De Mexichem a Orbia/Koura: continuidad del operador único bajo distintos nombres</w:t>
      </w:r>
    </w:p>
    <w:p>
      <w:pPr>
        <w:pStyle w:val="FirstParagraph"/>
      </w:pPr>
      <w:r>
        <w:rPr>
          <w:lang w:val="es-ES"/>
        </w:rPr>
        <w:t xml:space="preserve">El operador de Las Cuevas ha cambiado de denominación corporativa pero no de control accionarial: la mina fue operada bajo el nombre comercial Mexichem durante la mayor parte del periodo 1993-2018, y desde el cambio de marca corporativa de 2019-2020 opera como Koura, filial especializada en flúor de Orbia Advance Corporation, la multinacional mexicana antes llamada Mexichem. Como en el caso de la barita, no existe en la fluorita una etapa de refinación separada comparable a la de los metales: Koura realiza directamente el beneficio del mineral hasta fluorita grado metalúrgico y grado ácido (concentrado superior a 97% de fluoruro de calcio, CaF₂) en el complejo de Las Cuevas. La operación mantiene 33 lotes mineros registrados desde 1978, aunque la explotación del yacimiento se remonta a 1955 (Secretaría de Economía, 2020a).</w:t>
      </w:r>
    </w:p>
    <w:bookmarkEnd w:id="28"/>
    <w:bookmarkStart w:id="29" w:name="X62fd8d9405d969825c285cd2cb171c51745cc39"/>
    <w:p>
      <w:pPr>
        <w:pStyle w:val="Heading3"/>
      </w:pPr>
      <w:r>
        <w:rPr>
          <w:lang w:val="es-ES"/>
        </w:rPr>
        <w:t xml:space="preserve">V.4.4 Destino de la producción: México como proveedor estratégico de Estados Unidos y la Unión Europea</w:t>
      </w:r>
    </w:p>
    <w:p>
      <w:pPr>
        <w:pStyle w:val="FirstParagraph"/>
      </w:pPr>
      <w:r>
        <w:rPr>
          <w:lang w:val="es-ES"/>
        </w:rPr>
        <w:t xml:space="preserve">La fluorita mexicana se exporta de forma abrumadoramente mayoritaria, dado que el consumo industrial interno (vidrio, cerámica, algo de química) es reducido frente a la capacidad productiva de Las Cuevas. En 2018, el destino de las exportaciones fue: Estados Unidos 39%, Italia 21%, Países Bajos 10%, Túnez 6%, Japón 6% y Brasil 4%. En el periodo 2014-2017, México cubrió 69% de las importaciones estadounidenses de fluorita —frente a 10% de Vietnam, 8% de Sudáfrica y 6% de China—, y hacia 2025 esa proporción se estimaba en 70% (Secretaría de Economía, 2020a; Instituto Mexicano para la Competitividad, 2026). Para la Unión Europea, México fue el principal proveedor de fluorita con 27% de sus importaciones en el periodo 2010-2014, según datos de la Comisión Europea (European Commission, 2023; Micheli Thirion y Cortés Morales, 2026). Esta dependencia bilateral convierte a la fluorita en una de las piezas centrales de la negociación México-Estados Unidos sobre minerales críticos en el marco de la revisión del T-MEC.</w:t>
      </w:r>
    </w:p>
    <w:bookmarkEnd w:id="29"/>
    <w:bookmarkStart w:id="30" w:name="X1a7f0162b962a7fd2617aa68c95f2314d9c9997"/>
    <w:p>
      <w:pPr>
        <w:pStyle w:val="Heading3"/>
      </w:pPr>
      <w:r>
        <w:rPr>
          <w:lang w:val="es-ES"/>
        </w:rPr>
        <w:t xml:space="preserve">V.4.5 Impacto de la reforma de 2023: relevancia indirecta y geopolítica</w:t>
      </w:r>
    </w:p>
    <w:p>
      <w:pPr>
        <w:pStyle w:val="FirstParagraph"/>
      </w:pPr>
      <w:r>
        <w:rPr>
          <w:lang w:val="es-ES"/>
        </w:rPr>
        <w:t xml:space="preserve">Por tratarse de una operación consolidada desde hace siete décadas con concesiones ya otorgadas, la fluorita de Las Cuevas no ha sido reportada como un caso de fricción regulatoria comparable al de los grandes proyectos de cobre u oro en expansión. El efecto más relevante de la reforma de 2023 sobre este mineral es indirecto y de naturaleza geopolítica: al posicionarse el gobierno de Estados Unidos en la negociación de un plan de acción binacional sobre minerales críticos que incluye explícitamente a la fluorita, la certidumbre del régimen mexicano de concesiones —en limbo judicial desde 2023— se convierte en un asunto de interés diplomático que trasciende al operador individual (Instituto Mexicano para la Competitividad, 2026; Minería en Línea, 2026).</w:t>
      </w:r>
    </w:p>
    <w:p>
      <w:pPr>
        <w:pStyle w:val="BodyText"/>
      </w:pPr>
      <w:r>
        <w:rPr>
          <w:i/>
          <w:iCs/>
          <w:lang w:val="es-ES"/>
        </w:rPr>
        <w:t xml:space="preserve">Fuentes: Secretaría de Economía, Perfil de Mercado de la Fluorita (2020a); U.S. Geological Survey (2025a); European Commission (2023); Instituto Mexicano para la Competitividad (2026); Micheli Thirion y Cortés Morales (2026); Minería en Línea (2026).</w:t>
      </w:r>
    </w:p>
    <w:bookmarkEnd w:id="30"/>
    <w:bookmarkEnd w:id="31"/>
    <w:bookmarkStart w:id="36" w:name="v.5-grafito"/>
    <w:p>
      <w:pPr>
        <w:pStyle w:val="Heading2"/>
      </w:pPr>
      <w:r>
        <w:rPr>
          <w:lang w:val="es-ES"/>
        </w:rPr>
        <w:t xml:space="preserve">V.5 Grafito</w:t>
      </w:r>
    </w:p>
    <w:bookmarkStart w:id="32" w:name="X69603a3e74ddadd39615385400dd1a9c87fb730"/>
    <w:p>
      <w:pPr>
        <w:pStyle w:val="Heading3"/>
      </w:pPr>
      <w:r>
        <w:rPr>
          <w:lang w:val="es-ES"/>
        </w:rPr>
        <w:t xml:space="preserve">V.5.1 Contexto: un monopolio geográfico que coincide con la concentración empresarial</w:t>
      </w:r>
    </w:p>
    <w:p>
      <w:pPr>
        <w:pStyle w:val="FirstParagraph"/>
      </w:pPr>
      <w:r>
        <w:rPr>
          <w:lang w:val="es-ES"/>
        </w:rPr>
        <w:t xml:space="preserve">El grafito mexicano combina concentración geográfica absoluta y concentración empresarial. Sonora ha producido 100% del grafito natural de México de forma sostenida desde al menos la década de 2010 —los yacimientos cristalinos de Oaxaca permanecen inactivos—. Contra lo que se supuso inicialmente, el mercado no está atomizado: la Tabla 2 del USGS Minerals Yearbook identifica muy pocos productores —Grafitos Mexicanos y Grafito Superior hasta 2013 (HHI por capacidad ≈ 5,848, un duopolio)— y, desde 2014, un único productor formal, Grafitos Mexicanos, tras la salida de Grafito Superior (HHI = 10,000). La ausencia de desglose por empresa en las estadísticas de la CAMIMEX no prueba atomización; lo más plausible es que no se desagregue porque existe esencialmente un solo productor formal. México ocupaba en 2020 el undécimo lugar mundial en producción de grafito y el noveno en reservas (3.1 millones de toneladas) (Secretaría de Economía, 2021b).</w:t>
      </w:r>
    </w:p>
    <w:bookmarkEnd w:id="32"/>
    <w:bookmarkStart w:id="33" w:name="Xc53145a785f901373e5c61fcfd72272536c2fad"/>
    <w:p>
      <w:pPr>
        <w:pStyle w:val="Heading3"/>
      </w:pPr>
      <w:r>
        <w:rPr>
          <w:lang w:val="es-ES"/>
        </w:rPr>
        <w:t xml:space="preserve">V.5.2 Ausencia de integración vertical dominante</w:t>
      </w:r>
    </w:p>
    <w:p>
      <w:pPr>
        <w:pStyle w:val="FirstParagraph"/>
      </w:pPr>
      <w:r>
        <w:rPr>
          <w:lang w:val="es-ES"/>
        </w:rPr>
        <w:t xml:space="preserve">El procesamiento del grafito sonorense consiste en secado, molienda y clasificación por contenido de carbono, tamaño y azufre, en plantas pequeñas cercanas a las minas; el producto se empaca y se envía mayoritariamente a Estados Unidos. La estadística oficial reporta el grafito a nivel agregado estatal sin desagregación por empresa —a diferencia del tratamiento que reciben los metales en los informes de CAMIMEX—, lo que es coherente con la existencia de un único productor formal más que con un mercado atomizado (U.S. Geological Survey, Minerals Yearbook, Tabla 2; Secretaría de Economía, 2021b).</w:t>
      </w:r>
    </w:p>
    <w:bookmarkEnd w:id="33"/>
    <w:bookmarkStart w:id="34" w:name="Xf2c0beef76be72ad3a7f72275073692e8f87406"/>
    <w:p>
      <w:pPr>
        <w:pStyle w:val="Heading3"/>
      </w:pPr>
      <w:r>
        <w:rPr>
          <w:lang w:val="es-ES"/>
        </w:rPr>
        <w:t xml:space="preserve">V.5.3 Un mercado pequeño, volátil y casi totalmente exportado a un solo mercado</w:t>
      </w:r>
    </w:p>
    <w:p>
      <w:pPr>
        <w:pStyle w:val="FirstParagraph"/>
      </w:pPr>
      <w:r>
        <w:rPr>
          <w:lang w:val="es-ES"/>
        </w:rPr>
        <w:t xml:space="preserve">El grafito es, en términos absolutos, el mercado de menor escala productiva del corpus: 1,461 toneladas en 2020 (valor de apenas 9.5 millones de pesos) y 706 toneladas en 2024, con una caída de 34.4% a 45.6% según la medición (Aliphat Rodríguez et al., 2025). Entre 94.8% y 98% de las exportaciones mexicanas de grafito natural tienen como destino Estados Unidos, que lo emplea en productos refractarios, fundición de acero y, de forma creciente desde 2020, en la manufactura de ánodos para baterías de vehículos eléctricos —el grafito natural es el material estándar del ánodo en las baterías de ion-litio dominantes en el mercado—. Esta última aplicación ha comenzado a atraer atención de analistas e inversionistas hacia los yacimientos sonorenses, aunque sin que ello se haya traducido todavía en consolidación empresarial documentada (Secretaría de Economía, 2021b; La Jornada, 2026).</w:t>
      </w:r>
    </w:p>
    <w:bookmarkEnd w:id="34"/>
    <w:bookmarkStart w:id="35" w:name="X01350e4e7813a7509138e45408fa2a25b86dea6"/>
    <w:p>
      <w:pPr>
        <w:pStyle w:val="Heading3"/>
      </w:pPr>
      <w:r>
        <w:rPr>
          <w:lang w:val="es-ES"/>
        </w:rPr>
        <w:t xml:space="preserve">V.5.4 Impacto de la reforma de 2023: barrera proporcionalmente mayor para productores pequeños</w:t>
      </w:r>
    </w:p>
    <w:p>
      <w:pPr>
        <w:pStyle w:val="FirstParagraph"/>
      </w:pPr>
      <w:r>
        <w:rPr>
          <w:lang w:val="es-ES"/>
        </w:rPr>
        <w:t xml:space="preserve">La exclusividad del SGM sobre la exploración de nuevas zonas, derivada de la reforma de 2023, puede representar una barrera de entrada proporcionalmente mayor para los pequeños productores de grafito sonorense que para los grandes consorcios mineros, dado que los primeros tienen escaso acceso a financiamiento corporativo de gran escala y dependen de la capacidad de explorar y desarrollar nuevos yacimientos por cuenta propia. La creciente relevancia del grafito para baterías de vehículos eléctricos podría atraer inversión a mayor escala, pero la incertidumbre regulatoria vigente hacia mediados de 2026 disuade esa entrada (Minería en Línea, 2026).</w:t>
      </w:r>
    </w:p>
    <w:p>
      <w:pPr>
        <w:pStyle w:val="BodyText"/>
      </w:pPr>
      <w:r>
        <w:rPr>
          <w:i/>
          <w:iCs/>
          <w:lang w:val="es-ES"/>
        </w:rPr>
        <w:t xml:space="preserve">Fuentes: Secretaría de Economía, Perfil de Mercado del Grafito (2021b); Aliphat Rodríguez et al. (2025); La Jornada (2026); Minería en Línea (2026).</w:t>
      </w:r>
    </w:p>
    <w:bookmarkEnd w:id="35"/>
    <w:bookmarkEnd w:id="36"/>
    <w:bookmarkStart w:id="42" w:name="v.6-manganeso"/>
    <w:p>
      <w:pPr>
        <w:pStyle w:val="Heading2"/>
      </w:pPr>
      <w:r>
        <w:rPr>
          <w:lang w:val="es-ES"/>
        </w:rPr>
        <w:t xml:space="preserve">V.6 Manganeso</w:t>
      </w:r>
    </w:p>
    <w:bookmarkStart w:id="37" w:name="X0e41ee928625b5df3a7e528254ec1beb4f5c644"/>
    <w:p>
      <w:pPr>
        <w:pStyle w:val="Heading3"/>
      </w:pPr>
      <w:r>
        <w:rPr>
          <w:lang w:val="es-ES"/>
        </w:rPr>
        <w:t xml:space="preserve">V.6.1 Contexto: monopolio geológico en el único yacimiento de escala industrial de Centro y Norteamérica</w:t>
      </w:r>
    </w:p>
    <w:p>
      <w:pPr>
        <w:pStyle w:val="FirstParagraph"/>
      </w:pPr>
      <w:r>
        <w:rPr>
          <w:lang w:val="es-ES"/>
        </w:rPr>
        <w:t xml:space="preserve">El manganeso mexicano es el caso de concentración más extremo del corpus, y el único cuya concentración es primariamente de origen geológico y no empresarial. El Distrito Manganesífero de Molango (Hidalgo), con 1,250 km² de extensión, es el único yacimiento de manganeso a escala industrial de todo Centro y Norteamérica. Esa dotación geológica confiere a su operador una posición de monopolio estructural que no resulta de una estrategia anticompetitiva sino de la ausencia de yacimientos alternativos explotables en la región. México ocupa el undécimo lugar mundial en producción de manganeso, con una participación de apenas 1.1% de la producción mundial; es el mineral del corpus en el que México tiene menos peso global pero mayor dominancia interna (Servicio Geológico Mexicano, 2024).</w:t>
      </w:r>
    </w:p>
    <w:bookmarkEnd w:id="37"/>
    <w:bookmarkStart w:id="38" w:name="X5a971bb5f2020431c3d41f9a15e8ceb69104c11"/>
    <w:p>
      <w:pPr>
        <w:pStyle w:val="Heading3"/>
      </w:pPr>
      <w:r>
        <w:rPr>
          <w:lang w:val="es-ES"/>
        </w:rPr>
        <w:t xml:space="preserve">V.6.2 Compañía Minera Autlán: privatización de 1993 y consolidación del monopolio</w:t>
      </w:r>
    </w:p>
    <w:p>
      <w:pPr>
        <w:pStyle w:val="FirstParagraph"/>
      </w:pPr>
      <w:r>
        <w:rPr>
          <w:lang w:val="es-ES"/>
        </w:rPr>
        <w:t xml:space="preserve">Compañía Minera Autlán fue fundada en 1953 como la primera compañía minera administrada por mexicanos, inicialmente en el municipio de Autlán, Jalisco. En 1960 trasladó sus operaciones al Distrito de Molango, donde descubrió y desarrolló el yacimiento que sostiene su producción hasta hoy. El Panorama Minero del Instituto Geológico y Minero de España confirma que Autlán fue privatizada en 1993 y adquirida en 82.7% por el Grupo Ferrominero (hoy Autlán Holding), consolidándose desde entonces como el único productor mexicano de manganeso, con una producción de 141,398 toneladas de concentrados reportada para 1995. Desde entonces y hasta la fecha de cierre de esta investigación, ninguna otra empresa ha iniciado producción comercial de manganeso en México (Instituto Geológico y Minero de España, 1996).</w:t>
      </w:r>
    </w:p>
    <w:bookmarkEnd w:id="38"/>
    <w:bookmarkStart w:id="39" w:name="Xdef09ee5e0fbd8958de3b5860424314c08cb24a"/>
    <w:p>
      <w:pPr>
        <w:pStyle w:val="Heading3"/>
      </w:pPr>
      <w:r>
        <w:rPr>
          <w:lang w:val="es-ES"/>
        </w:rPr>
        <w:t xml:space="preserve">V.6.3 Integración vertical completa: de la extracción a las ferroaleaciones</w:t>
      </w:r>
    </w:p>
    <w:p>
      <w:pPr>
        <w:pStyle w:val="FirstParagraph"/>
      </w:pPr>
      <w:r>
        <w:rPr>
          <w:lang w:val="es-ES"/>
        </w:rPr>
        <w:t xml:space="preserve">A diferencia de la mayoría de los minerales del corpus, el manganeso mexicano no tiene separación entre extracción y procesamiento: Autlán controla el 100% de la cadena dentro de México. En la década de 2000 la empresa se integró verticalmente hacia la fabricación de ferroaleaciones de manganeso —plantas en Teziutlán (Puebla), Tamós (Tamaulipas) y Gómez Palacio (Durango)— y desarrolló un proceso de nodulización patentado para concentrar el mineral de Molango, siendo el único productor mundial de nódulos de manganeso bajo ese proceso. Autlán se describe públicamente como el más grande productor de manganeso en Centro y Norteamérica y el único productor de nódulos de manganeso en el mundo (Autlán, s.f.).</w:t>
      </w:r>
    </w:p>
    <w:bookmarkEnd w:id="39"/>
    <w:bookmarkStart w:id="40" w:name="X50e022fb72768741ab0318ba9a0c18a701a9a50"/>
    <w:p>
      <w:pPr>
        <w:pStyle w:val="Heading3"/>
      </w:pPr>
      <w:r>
        <w:rPr>
          <w:lang w:val="es-ES"/>
        </w:rPr>
        <w:t xml:space="preserve">V.6.4 Destino de la producción: mercado interno siderúrgico y riesgo de demanda por cierre de AHMSA</w:t>
      </w:r>
    </w:p>
    <w:p>
      <w:pPr>
        <w:pStyle w:val="FirstParagraph"/>
      </w:pPr>
      <w:r>
        <w:rPr>
          <w:lang w:val="es-ES"/>
        </w:rPr>
        <w:t xml:space="preserve">A diferencia de la fluorita o la barita, el manganeso tiene un destino mayoritariamente doméstico: su principal consumidor histórico es la industria siderúrgica nacional, en particular Altos Hornos de México (AHMSA), dado que el manganeso es insumo indispensable para la fabricación de acero (en una proporción histórica de alrededor de 12.5 kg de manganeso por tonelada de acero, según cifras del IGME). El cierre de operaciones de AHMSA a finales de 2022 —documentado por CAMIMEX, que señala que Coahuila no reportó producción de pellets de hierro en 2023 por este motivo— representa un riesgo de demanda directa para el mercado interno del manganeso de Autlán. La porción exportable de la producción se dirige a Estados Unidos, Asia, Sudamérica y Europa en forma de óxido manganoso para fertilizantes y micronutrientes animales, y de bióxido de manganeso natural grado batería (Aliphat Rodríguez et al., 2025; Autlán, s.f.).</w:t>
      </w:r>
    </w:p>
    <w:bookmarkEnd w:id="40"/>
    <w:bookmarkStart w:id="41" w:name="X5cc48d37fda35761cf3394384ca68ab4b485e17"/>
    <w:p>
      <w:pPr>
        <w:pStyle w:val="Heading3"/>
      </w:pPr>
      <w:r>
        <w:rPr>
          <w:lang w:val="es-ES"/>
        </w:rPr>
        <w:t xml:space="preserve">V.6.5 Impacto de la reforma de 2023: bajo riesgo en la oferta, mayor riesgo en la demanda</w:t>
      </w:r>
    </w:p>
    <w:p>
      <w:pPr>
        <w:pStyle w:val="FirstParagraph"/>
      </w:pPr>
      <w:r>
        <w:rPr>
          <w:lang w:val="es-ES"/>
        </w:rPr>
        <w:t xml:space="preserve">Por tratarse de una operación consolidada desde hace más de seis décadas con reservas probadas de largo plazo en el mismo distrito, el efecto de la reforma de 2023 sobre Autlán ha sido menor que sobre operadores con proyectos de expansión activa. Autlán no figura entre las empresas que han enfrentado litigios o congelamiento de proyectos relevantes derivados de la reforma. El principal riesgo para este mineral no proviene del lado de la oferta minera sino del lado de la demanda: la salud financiera de la industria siderúrgica nacional y la eventual reconversión tecnológica de la industria automotriz hacia vehículos eléctricos —que requieren manganeso para sus baterías de nueva generación— son las variables que más importan para el futuro del único productor mexicano del mineral (Cámara Minera de México, 2024).</w:t>
      </w:r>
    </w:p>
    <w:p>
      <w:pPr>
        <w:pStyle w:val="BodyText"/>
      </w:pPr>
      <w:r>
        <w:rPr>
          <w:i/>
          <w:iCs/>
          <w:lang w:val="es-ES"/>
        </w:rPr>
        <w:t xml:space="preserve">Fuentes: Instituto Geológico y Minero de España (1996); Autlán (s.f.); Servicio Geológico Mexicano (2024); Aliphat Rodríguez et al. (2025); Cámara Minera de México (2024).</w:t>
      </w:r>
    </w:p>
    <w:bookmarkEnd w:id="41"/>
    <w:bookmarkEnd w:id="42"/>
    <w:bookmarkStart w:id="49" w:name="v.7-oro"/>
    <w:p>
      <w:pPr>
        <w:pStyle w:val="Heading2"/>
      </w:pPr>
      <w:r>
        <w:rPr>
          <w:lang w:val="es-ES"/>
        </w:rPr>
        <w:t xml:space="preserve">V.7 Oro</w:t>
      </w:r>
    </w:p>
    <w:bookmarkStart w:id="43" w:name="X58ed3ac22092cce56f0ae452c479c85f5f82387"/>
    <w:p>
      <w:pPr>
        <w:pStyle w:val="Heading3"/>
      </w:pPr>
      <w:r>
        <w:rPr>
          <w:lang w:val="es-ES"/>
        </w:rPr>
        <w:t xml:space="preserve">V.7.1 Contexto: el mineral con mayor presencia de capital extranjero y el más reciente declarado crítico</w:t>
      </w:r>
    </w:p>
    <w:p>
      <w:pPr>
        <w:pStyle w:val="FirstParagraph"/>
      </w:pPr>
      <w:r>
        <w:rPr>
          <w:lang w:val="es-ES"/>
        </w:rPr>
        <w:t xml:space="preserve">El oro es el mineral del corpus con la mayor diversificación de operadores y la mayor presencia de empresas de capital extranjero, producto directo de la apertura de 1992-1996. Para 2019, la Secretaría de Economía identificaba 711 de 1,177 proyectos mineros activos como orientados a metales preciosos, con Canadá aportando 153 de las 238 empresas de capital extranjero registradas. En 2023, México se posicionó como el séptimo mayor productor mundial de oro, con 4.23 millones de onzas (más de 131 toneladas), con Zacatecas aportando 28.8% de la producción nacional y Sonora 25.7% (Servicio Geológico Mexicano, 2024). Una orden ejecutiva presidencial de Estados Unidos del 20 de marzo de 2025 declaró al oro mineral crítico para efectos de seguridad nacional —junto al cobre y el uranio—, un giro histórico respecto de su tratamiento tradicional como reserva de valor (The White House, 2025).</w:t>
      </w:r>
    </w:p>
    <w:bookmarkEnd w:id="43"/>
    <w:bookmarkStart w:id="44" w:name="Xd5cdd73a644a1fb605472d2944a17ab056bd878"/>
    <w:p>
      <w:pPr>
        <w:pStyle w:val="Heading3"/>
      </w:pPr>
      <w:r>
        <w:rPr>
          <w:lang w:val="es-ES"/>
        </w:rPr>
        <w:t xml:space="preserve">V.7.2 Estructura de extracción: oligopolio moderado con cinco grandes operadores</w:t>
      </w:r>
    </w:p>
    <w:p>
      <w:pPr>
        <w:pStyle w:val="FirstParagraph"/>
      </w:pPr>
      <w:r>
        <w:rPr>
          <w:lang w:val="es-ES"/>
        </w:rPr>
        <w:t xml:space="preserve">Con cifras de 2022, las cinco mayores empresas productoras de oro —Fresnillo plc, Newmont, Torex Gold, First Majestic Silver y Agnico Eagle— participaron conjuntamente con 42.4% de la producción total del segmento de gran minería (Expansión, 2025). Con datos de 2023 desagregados por mina, el orden fue el siguiente: Torex Gold lideró con su complejo El Limón-Guajes (Guerrero), con 453,800 onzas; seguido de Fresnillo plc con La Herradura (Sonora), 355,500 onzas; Alamos Gold con Mulatos (Sonora), 212,800 onzas (+58.2% respecto del año anterior); Equinox Gold con Los Filos (Guerrero), 159,100 onzas; y Newmont con Peñasquito (Zacatecas), 143,000 onzas —una caída de 74.7% por una huelga laboral de cuatro meses— (Servicio Geológico Mexicano, 2024).</w:t>
      </w:r>
    </w:p>
    <w:tbl>
      <w:tblPr>
        <w:tblStyle w:val="Table"/>
        <w:tblW w:type="pct" w:w="4925"/>
        <w:tblLayout w:type="fixed"/>
        <w:tblLook w:firstRow="1" w:lastRow="0" w:firstColumn="0" w:lastColumn="0" w:noHBand="0" w:noVBand="0" w:val="0020"/>
      </w:tblPr>
      <w:tblGrid>
        <w:gridCol w:w="2423"/>
        <w:gridCol w:w="1359"/>
        <w:gridCol w:w="1595"/>
        <w:gridCol w:w="2423"/>
      </w:tblGrid>
      <w:tr>
        <w:trPr>
          <w:tblHeader w:val="on"/>
        </w:trPr>
        <w:tc>
          <w:tcPr/>
          <w:p>
            <w:pPr>
              <w:pStyle w:val="Compact"/>
              <w:jc w:val="left"/>
            </w:pPr>
            <w:r>
              <w:rPr>
                <w:b/>
                <w:bCs/>
                <w:lang w:val="es-ES"/>
              </w:rPr>
              <w:t xml:space="preserve">Empresa (mina)</w:t>
            </w:r>
          </w:p>
        </w:tc>
        <w:tc>
          <w:tcPr/>
          <w:p>
            <w:pPr>
              <w:pStyle w:val="Compact"/>
              <w:jc w:val="left"/>
            </w:pPr>
            <w:r>
              <w:rPr>
                <w:b/>
                <w:bCs/>
                <w:lang w:val="es-ES"/>
              </w:rPr>
              <w:t xml:space="preserve">País de origen</w:t>
            </w:r>
          </w:p>
        </w:tc>
        <w:tc>
          <w:tcPr/>
          <w:p>
            <w:pPr>
              <w:pStyle w:val="Compact"/>
              <w:jc w:val="left"/>
            </w:pPr>
            <w:r>
              <w:rPr>
                <w:b/>
                <w:bCs/>
                <w:lang w:val="es-ES"/>
              </w:rPr>
              <w:t xml:space="preserve">Producción 2023 (oz)</w:t>
            </w:r>
          </w:p>
        </w:tc>
        <w:tc>
          <w:tcPr/>
          <w:p>
            <w:pPr>
              <w:pStyle w:val="Compact"/>
              <w:jc w:val="left"/>
            </w:pPr>
            <w:r>
              <w:rPr>
                <w:b/>
                <w:bCs/>
                <w:lang w:val="es-ES"/>
              </w:rPr>
              <w:t xml:space="preserve">Participación relativa en el top-5</w:t>
            </w:r>
          </w:p>
        </w:tc>
      </w:tr>
      <w:tr>
        <w:tc>
          <w:tcPr/>
          <w:p>
            <w:pPr>
              <w:pStyle w:val="Compact"/>
              <w:jc w:val="left"/>
            </w:pPr>
            <w:r>
              <w:rPr>
                <w:lang w:val="es-ES"/>
              </w:rPr>
              <w:t xml:space="preserve">Torex Gold (El Limón-Guajes, Guerrero)</w:t>
            </w:r>
          </w:p>
        </w:tc>
        <w:tc>
          <w:tcPr/>
          <w:p>
            <w:pPr>
              <w:pStyle w:val="Compact"/>
              <w:jc w:val="left"/>
            </w:pPr>
            <w:r>
              <w:rPr>
                <w:lang w:val="es-ES"/>
              </w:rPr>
              <w:t xml:space="preserve">Canadá</w:t>
            </w:r>
          </w:p>
        </w:tc>
        <w:tc>
          <w:tcPr/>
          <w:p>
            <w:pPr>
              <w:pStyle w:val="Compact"/>
              <w:jc w:val="left"/>
            </w:pPr>
            <w:r>
              <w:rPr>
                <w:lang w:val="es-ES"/>
              </w:rPr>
              <w:t xml:space="preserve">453,800</w:t>
            </w:r>
          </w:p>
        </w:tc>
        <w:tc>
          <w:tcPr/>
          <w:p>
            <w:pPr>
              <w:pStyle w:val="Compact"/>
              <w:jc w:val="left"/>
            </w:pPr>
            <w:r>
              <w:rPr>
                <w:lang w:val="es-ES"/>
              </w:rPr>
              <w:t xml:space="preserve">≈35%</w:t>
            </w:r>
          </w:p>
        </w:tc>
      </w:tr>
      <w:tr>
        <w:tc>
          <w:tcPr/>
          <w:p>
            <w:pPr>
              <w:pStyle w:val="Compact"/>
              <w:jc w:val="left"/>
            </w:pPr>
            <w:r>
              <w:rPr>
                <w:lang w:val="es-ES"/>
              </w:rPr>
              <w:t xml:space="preserve">Fresnillo plc (La Herradura, Sonora)</w:t>
            </w:r>
          </w:p>
        </w:tc>
        <w:tc>
          <w:tcPr/>
          <w:p>
            <w:pPr>
              <w:pStyle w:val="Compact"/>
              <w:jc w:val="left"/>
            </w:pPr>
            <w:r>
              <w:rPr>
                <w:lang w:val="es-ES"/>
              </w:rPr>
              <w:t xml:space="preserve">México / Reino Unido</w:t>
            </w:r>
          </w:p>
        </w:tc>
        <w:tc>
          <w:tcPr/>
          <w:p>
            <w:pPr>
              <w:pStyle w:val="Compact"/>
              <w:jc w:val="left"/>
            </w:pPr>
            <w:r>
              <w:rPr>
                <w:lang w:val="es-ES"/>
              </w:rPr>
              <w:t xml:space="preserve">355,500</w:t>
            </w:r>
          </w:p>
        </w:tc>
        <w:tc>
          <w:tcPr/>
          <w:p>
            <w:pPr>
              <w:pStyle w:val="Compact"/>
              <w:jc w:val="left"/>
            </w:pPr>
            <w:r>
              <w:rPr>
                <w:lang w:val="es-ES"/>
              </w:rPr>
              <w:t xml:space="preserve">≈27%</w:t>
            </w:r>
          </w:p>
        </w:tc>
      </w:tr>
      <w:tr>
        <w:tc>
          <w:tcPr/>
          <w:p>
            <w:pPr>
              <w:pStyle w:val="Compact"/>
              <w:jc w:val="left"/>
            </w:pPr>
            <w:r>
              <w:rPr>
                <w:lang w:val="es-ES"/>
              </w:rPr>
              <w:t xml:space="preserve">Alamos Gold (Mulatos, Sonora)</w:t>
            </w:r>
          </w:p>
        </w:tc>
        <w:tc>
          <w:tcPr/>
          <w:p>
            <w:pPr>
              <w:pStyle w:val="Compact"/>
              <w:jc w:val="left"/>
            </w:pPr>
            <w:r>
              <w:rPr>
                <w:lang w:val="es-ES"/>
              </w:rPr>
              <w:t xml:space="preserve">Canadá</w:t>
            </w:r>
          </w:p>
        </w:tc>
        <w:tc>
          <w:tcPr/>
          <w:p>
            <w:pPr>
              <w:pStyle w:val="Compact"/>
              <w:jc w:val="left"/>
            </w:pPr>
            <w:r>
              <w:rPr>
                <w:lang w:val="es-ES"/>
              </w:rPr>
              <w:t xml:space="preserve">212,800</w:t>
            </w:r>
          </w:p>
        </w:tc>
        <w:tc>
          <w:tcPr/>
          <w:p>
            <w:pPr>
              <w:pStyle w:val="Compact"/>
              <w:jc w:val="left"/>
            </w:pPr>
            <w:r>
              <w:rPr>
                <w:lang w:val="es-ES"/>
              </w:rPr>
              <w:t xml:space="preserve">≈16%</w:t>
            </w:r>
          </w:p>
        </w:tc>
      </w:tr>
      <w:tr>
        <w:tc>
          <w:tcPr/>
          <w:p>
            <w:pPr>
              <w:pStyle w:val="Compact"/>
              <w:jc w:val="left"/>
            </w:pPr>
            <w:r>
              <w:rPr>
                <w:lang w:val="es-ES"/>
              </w:rPr>
              <w:t xml:space="preserve">Equinox Gold (Los Filos, Guerrero)</w:t>
            </w:r>
          </w:p>
        </w:tc>
        <w:tc>
          <w:tcPr/>
          <w:p>
            <w:pPr>
              <w:pStyle w:val="Compact"/>
              <w:jc w:val="left"/>
            </w:pPr>
            <w:r>
              <w:rPr>
                <w:lang w:val="es-ES"/>
              </w:rPr>
              <w:t xml:space="preserve">Canadá</w:t>
            </w:r>
          </w:p>
        </w:tc>
        <w:tc>
          <w:tcPr/>
          <w:p>
            <w:pPr>
              <w:pStyle w:val="Compact"/>
              <w:jc w:val="left"/>
            </w:pPr>
            <w:r>
              <w:rPr>
                <w:lang w:val="es-ES"/>
              </w:rPr>
              <w:t xml:space="preserve">159,100</w:t>
            </w:r>
          </w:p>
        </w:tc>
        <w:tc>
          <w:tcPr/>
          <w:p>
            <w:pPr>
              <w:pStyle w:val="Compact"/>
              <w:jc w:val="left"/>
            </w:pPr>
            <w:r>
              <w:rPr>
                <w:lang w:val="es-ES"/>
              </w:rPr>
              <w:t xml:space="preserve">≈12%</w:t>
            </w:r>
          </w:p>
        </w:tc>
      </w:tr>
      <w:tr>
        <w:tc>
          <w:tcPr/>
          <w:p>
            <w:pPr>
              <w:pStyle w:val="Compact"/>
              <w:jc w:val="left"/>
            </w:pPr>
            <w:r>
              <w:rPr>
                <w:lang w:val="es-ES"/>
              </w:rPr>
              <w:t xml:space="preserve">Newmont (Peñasquito, Zacatecas)</w:t>
            </w:r>
          </w:p>
        </w:tc>
        <w:tc>
          <w:tcPr/>
          <w:p>
            <w:pPr>
              <w:pStyle w:val="Compact"/>
              <w:jc w:val="left"/>
            </w:pPr>
            <w:r>
              <w:rPr>
                <w:lang w:val="es-ES"/>
              </w:rPr>
              <w:t xml:space="preserve">Estados Unidos</w:t>
            </w:r>
          </w:p>
        </w:tc>
        <w:tc>
          <w:tcPr/>
          <w:p>
            <w:pPr>
              <w:pStyle w:val="Compact"/>
              <w:jc w:val="left"/>
            </w:pPr>
            <w:r>
              <w:rPr>
                <w:lang w:val="es-ES"/>
              </w:rPr>
              <w:t xml:space="preserve">143,000</w:t>
            </w:r>
          </w:p>
        </w:tc>
        <w:tc>
          <w:tcPr/>
          <w:p>
            <w:pPr>
              <w:pStyle w:val="Compact"/>
              <w:jc w:val="left"/>
            </w:pPr>
            <w:r>
              <w:rPr>
                <w:lang w:val="es-ES"/>
              </w:rPr>
              <w:t xml:space="preserve">≈11%</w:t>
            </w:r>
          </w:p>
        </w:tc>
      </w:tr>
    </w:tbl>
    <w:p>
      <w:pPr>
        <w:pStyle w:val="BodyText"/>
      </w:pPr>
      <w:r>
        <w:rPr>
          <w:i/>
          <w:iCs/>
          <w:lang w:val="es-ES"/>
        </w:rPr>
        <w:t xml:space="preserve">Fuentes: Servicio Geológico Mexicano (2024); Expansión (2025).</w:t>
      </w:r>
    </w:p>
    <w:bookmarkEnd w:id="44"/>
    <w:bookmarkStart w:id="45" w:name="X50a24010f651d96d185054fa5ddb1bcbb28e832"/>
    <w:p>
      <w:pPr>
        <w:pStyle w:val="Heading3"/>
      </w:pPr>
      <w:r>
        <w:rPr>
          <w:lang w:val="es-ES"/>
        </w:rPr>
        <w:t xml:space="preserve">V.7.3 La adquisición de Goldcorp por Newmont (2019) y el papel de Peñasquito</w:t>
      </w:r>
    </w:p>
    <w:p>
      <w:pPr>
        <w:pStyle w:val="FirstParagraph"/>
      </w:pPr>
      <w:r>
        <w:rPr>
          <w:lang w:val="es-ES"/>
        </w:rPr>
        <w:t xml:space="preserve">La adquisición de Goldcorp por Newmont en 2019 fue el movimiento corporativo más relevante del oro mexicano en el periodo reciente: trasladó al mayor productor de oro del mundo el control de Peñasquito (Zacatecas), desarrollado originalmente por Goldcorp tras comprar Glamis Gold en 2006 e iniciado en producción comercial en 2010. La concentración de la producción de oro en manos de grupos mexicanos (Fresnillo plc / Peñoles) se estimaba en 31% en 2018, según literatura académica, frente a un complemento mayoritario de capital extranjero (Newmont, Torex Gold, Agnico Eagle, Alamos Gold). A nivel corporativo agregado, Grupo México, Peñoles (Met-Mex) y Fresnillo plc representan en conjunto 82% del valor de mercado del sector minero listado en bolsa (De la Garza Pedraza et al., 2021; Cámara Minera de México, 2024).</w:t>
      </w:r>
    </w:p>
    <w:bookmarkEnd w:id="45"/>
    <w:bookmarkStart w:id="46" w:name="X4314c0bdf1952fede694e2ef2a966fc74f4586e"/>
    <w:p>
      <w:pPr>
        <w:pStyle w:val="Heading3"/>
      </w:pPr>
      <w:r>
        <w:rPr>
          <w:lang w:val="es-ES"/>
        </w:rPr>
        <w:t xml:space="preserve">V.7.4 Refinación: Peñoles como líder latinoamericano en oro afinado</w:t>
      </w:r>
    </w:p>
    <w:p>
      <w:pPr>
        <w:pStyle w:val="FirstParagraph"/>
      </w:pPr>
      <w:r>
        <w:rPr>
          <w:lang w:val="es-ES"/>
        </w:rPr>
        <w:t xml:space="preserve">La refinación de oro en México está más concentrada que su extracción. Industrias Peñoles opera Met-Mex Peñoles en Torreón, Coahuila, y se presenta como líder latinoamericano en producción de oro afinado. Buena parte del oro extraído por otras compañías —incluidas empresas junior sin capacidad de refinación propia— se procesa como doré (aleación semirefinada de oro y plata) para exportación o se vende a refinadores especializados. En consecuencia, la concentración en la etapa de refinación de alta pureza es considerablemente mayor que en la de extracción (Industrias Peñoles, s.f.).</w:t>
      </w:r>
    </w:p>
    <w:bookmarkEnd w:id="46"/>
    <w:bookmarkStart w:id="47" w:name="X8274c5d096a62dd747c6f4ed1d5479dfe7f4882"/>
    <w:p>
      <w:pPr>
        <w:pStyle w:val="Heading3"/>
      </w:pPr>
      <w:r>
        <w:rPr>
          <w:lang w:val="es-ES"/>
        </w:rPr>
        <w:t xml:space="preserve">V.7.5 Destino de la producción: exportación mayoritaria y efecto precio en 2024-2025</w:t>
      </w:r>
    </w:p>
    <w:p>
      <w:pPr>
        <w:pStyle w:val="FirstParagraph"/>
      </w:pPr>
      <w:r>
        <w:rPr>
          <w:lang w:val="es-ES"/>
        </w:rPr>
        <w:t xml:space="preserve">El oro mexicano se exporta mayoritariamente en forma de doré o metal refinado hacia Estados Unidos, Canadá y Asia. En 2024, el oro generó 96,050 millones de pesos de valor de producción, con un volumen de 68 toneladas —caída de 2.9% en volumen compensada por un alza de precio de 23.9%—, y aportó 30.7% del valor minero-metalúrgico total del país, consolidándose como el mineral de mayor valor económico de la canasta minera mexicana. En 2025, el precio del oro subió 65%, su mayor avance anual desde 1979, lo que elevó el valor de la producción de forma adicional (Aliphat Rodríguez et al., 2025).</w:t>
      </w:r>
    </w:p>
    <w:bookmarkEnd w:id="47"/>
    <w:bookmarkStart w:id="48" w:name="X2838d1b68b41585e4e04f9376b5cab30af0efed"/>
    <w:p>
      <w:pPr>
        <w:pStyle w:val="Heading3"/>
      </w:pPr>
      <w:r>
        <w:rPr>
          <w:lang w:val="es-ES"/>
        </w:rPr>
        <w:t xml:space="preserve">V.7.6 Impacto de la reforma de 2023: freno documentado a la exploración</w:t>
      </w:r>
    </w:p>
    <w:p>
      <w:pPr>
        <w:pStyle w:val="FirstParagraph"/>
      </w:pPr>
      <w:r>
        <w:rPr>
          <w:lang w:val="es-ES"/>
        </w:rPr>
        <w:t xml:space="preserve">El oro, junto con la plata, concentra la mayor parte de los proyectos de exploración afectados por la reforma de 2023. La Cámara Minera de México registró que en 2025 había apenas cinco proyectos de oro y plata iniciando operaciones, frente a un ritmo históricamente mayor. Sonora y Zacatecas —los dos estados líderes en oro— concentran el impacto del congelamiento de nuevas concesiones dado que ambos dependen de un flujo constante de nuevos proyectos de exploración para sostener el ritmo de producción cuando las minas existentes maduran o experimentan caídas de ley mineral (Cámara Minera de México, 2024; Minería en Línea, 2026).</w:t>
      </w:r>
    </w:p>
    <w:p>
      <w:pPr>
        <w:pStyle w:val="BodyText"/>
      </w:pPr>
      <w:r>
        <w:rPr>
          <w:i/>
          <w:iCs/>
          <w:lang w:val="es-ES"/>
        </w:rPr>
        <w:t xml:space="preserve">Fuentes: Servicio Geológico Mexicano (2024); Expansión (2025); De la Garza Pedraza et al. (2021); Industrias Peñoles (s.f.); The White House (2025); Aliphat Rodríguez et al. (2025); Cámara Minera de México (2024); Minería en Línea (2026).</w:t>
      </w:r>
    </w:p>
    <w:bookmarkEnd w:id="48"/>
    <w:bookmarkEnd w:id="49"/>
    <w:bookmarkStart w:id="56" w:name="v.8-plata"/>
    <w:p>
      <w:pPr>
        <w:pStyle w:val="Heading2"/>
      </w:pPr>
      <w:r>
        <w:rPr>
          <w:lang w:val="es-ES"/>
        </w:rPr>
        <w:t xml:space="preserve">V.8 Plata</w:t>
      </w:r>
    </w:p>
    <w:bookmarkStart w:id="50" w:name="X48dca0de57f98a13ad28f2bba3f77bfc12cfbea"/>
    <w:p>
      <w:pPr>
        <w:pStyle w:val="Heading3"/>
      </w:pPr>
      <w:r>
        <w:rPr>
          <w:lang w:val="es-ES"/>
        </w:rPr>
        <w:t xml:space="preserve">V.8.1 Contexto: dieciséis años consecutivos como primer productor mundial</w:t>
      </w:r>
    </w:p>
    <w:p>
      <w:pPr>
        <w:pStyle w:val="FirstParagraph"/>
      </w:pPr>
      <w:r>
        <w:rPr>
          <w:lang w:val="es-ES"/>
        </w:rPr>
        <w:t xml:space="preserve">México ha sido el primer productor mundial de plata durante dieciséis años consecutivos hasta 2024, con una participación de 24.69% de la producción global en 2025 (Micheli Thirion y Cortés Morales, 2026; U.S. Geological Survey, 2025a). La producción se concentra geográficamente en Zacatecas (entre 33% y 39% según el año), Durango y Chihuahua. La producción nacional fue de 115.5 millones de onzas en 2023 —8.8% por debajo de 2022— y repuntó 13.5% en 2024 hasta 4,078 toneladas (Aliphat Rodríguez et al., 2025).</w:t>
      </w:r>
    </w:p>
    <w:bookmarkEnd w:id="50"/>
    <w:bookmarkStart w:id="51" w:name="Xcc2afeeb6e4356f73dbb4c3f60f9c016958bd95"/>
    <w:p>
      <w:pPr>
        <w:pStyle w:val="Heading3"/>
      </w:pPr>
      <w:r>
        <w:rPr>
          <w:lang w:val="es-ES"/>
        </w:rPr>
        <w:t xml:space="preserve">V.8.2 Una distinción indispensable: extracción y refinación son eslabones distintos con estructuras distintas</w:t>
      </w:r>
    </w:p>
    <w:p>
      <w:pPr>
        <w:pStyle w:val="FirstParagraph"/>
      </w:pPr>
      <w:r>
        <w:rPr>
          <w:lang w:val="es-ES"/>
        </w:rPr>
        <w:t xml:space="preserve">Para analizar la concentración empresarial de la plata es indispensable distinguir con precisión dos cifras que pueden prestarse a confusión si se presentan juntas sin contexto. La participación de mercado de Fresnillo plc (aproximadamente 30%) corresponde a la extracción: cuánta plata en bruto sale de minas de su propiedad frente al total nacional extraído por todas las empresas. La participación de Industrias Peñoles (89%) corresponde a la refinación: qué proporción de toda la plata mexicana —la de Fresnillo, la de Newmont, la de Grupo México y la de cualquier otro productor— se convierte en metal afinado dentro de México y en la planta de qué empresa. Son dos medidas de dos eslabones distintos. No son contradictorias sino complementarias: en gran medida, la plata que Fresnillo extrae termina siendo refinada por Peñoles, dado que ambas compañías, aunque jurídicamente separadas desde 2008, comparten el mismo accionista de control (Grupo BAL, familia Baillères) (Industrias Peñoles, s.f.; Cámara Minera de México, 2025b).</w:t>
      </w:r>
    </w:p>
    <w:tbl>
      <w:tblPr>
        <w:tblStyle w:val="Table"/>
        <w:tblW w:type="pct" w:w="4943"/>
        <w:tblLayout w:type="fixed"/>
        <w:tblLook w:firstRow="1" w:lastRow="0" w:firstColumn="0" w:lastColumn="0" w:noHBand="0" w:noVBand="0" w:val="0020"/>
      </w:tblPr>
      <w:tblGrid>
        <w:gridCol w:w="1448"/>
        <w:gridCol w:w="950"/>
        <w:gridCol w:w="1402"/>
        <w:gridCol w:w="4027"/>
      </w:tblGrid>
      <w:tr>
        <w:trPr>
          <w:tblHeader w:val="on"/>
        </w:trPr>
        <w:tc>
          <w:tcPr/>
          <w:p>
            <w:pPr>
              <w:pStyle w:val="Compact"/>
              <w:jc w:val="left"/>
            </w:pPr>
            <w:r>
              <w:rPr>
                <w:b/>
                <w:bCs/>
                <w:lang w:val="es-ES"/>
              </w:rPr>
              <w:t xml:space="preserve">Eslabón de la cadena</w:t>
            </w:r>
          </w:p>
        </w:tc>
        <w:tc>
          <w:tcPr/>
          <w:p>
            <w:pPr>
              <w:pStyle w:val="Compact"/>
              <w:jc w:val="left"/>
            </w:pPr>
            <w:r>
              <w:rPr>
                <w:b/>
                <w:bCs/>
                <w:lang w:val="es-ES"/>
              </w:rPr>
              <w:t xml:space="preserve">Empresa líder</w:t>
            </w:r>
          </w:p>
        </w:tc>
        <w:tc>
          <w:tcPr/>
          <w:p>
            <w:pPr>
              <w:pStyle w:val="Compact"/>
              <w:jc w:val="left"/>
            </w:pPr>
            <w:r>
              <w:rPr>
                <w:b/>
                <w:bCs/>
                <w:lang w:val="es-ES"/>
              </w:rPr>
              <w:t xml:space="preserve">Participación de mercado</w:t>
            </w:r>
          </w:p>
        </w:tc>
        <w:tc>
          <w:tcPr/>
          <w:p>
            <w:pPr>
              <w:pStyle w:val="Compact"/>
              <w:jc w:val="left"/>
            </w:pPr>
            <w:r>
              <w:rPr>
                <w:b/>
                <w:bCs/>
                <w:lang w:val="es-ES"/>
              </w:rPr>
              <w:t xml:space="preserve">Qué mide exactamente</w:t>
            </w:r>
          </w:p>
        </w:tc>
      </w:tr>
      <w:tr>
        <w:tc>
          <w:tcPr/>
          <w:p>
            <w:pPr>
              <w:pStyle w:val="Compact"/>
              <w:jc w:val="left"/>
            </w:pPr>
            <w:r>
              <w:rPr>
                <w:lang w:val="es-ES"/>
              </w:rPr>
              <w:t xml:space="preserve">Extracción (mineral en bruto)</w:t>
            </w:r>
          </w:p>
        </w:tc>
        <w:tc>
          <w:tcPr/>
          <w:p>
            <w:pPr>
              <w:pStyle w:val="Compact"/>
              <w:jc w:val="left"/>
            </w:pPr>
            <w:r>
              <w:rPr>
                <w:lang w:val="es-ES"/>
              </w:rPr>
              <w:t xml:space="preserve">Fresnillo plc</w:t>
            </w:r>
          </w:p>
        </w:tc>
        <w:tc>
          <w:tcPr/>
          <w:p>
            <w:pPr>
              <w:pStyle w:val="Compact"/>
              <w:jc w:val="left"/>
            </w:pPr>
            <w:r>
              <w:rPr>
                <w:lang w:val="es-ES"/>
              </w:rPr>
              <w:t xml:space="preserve">≈29-30% (2020)</w:t>
            </w:r>
          </w:p>
        </w:tc>
        <w:tc>
          <w:tcPr/>
          <w:p>
            <w:pPr>
              <w:pStyle w:val="Compact"/>
              <w:jc w:val="left"/>
            </w:pPr>
            <w:r>
              <w:rPr>
                <w:lang w:val="es-ES"/>
              </w:rPr>
              <w:t xml:space="preserve">Onzas extraídas de minas de Fresnillo frente al total nacional</w:t>
            </w:r>
          </w:p>
        </w:tc>
      </w:tr>
      <w:tr>
        <w:tc>
          <w:tcPr/>
          <w:p>
            <w:pPr>
              <w:pStyle w:val="Compact"/>
              <w:jc w:val="left"/>
            </w:pPr>
            <w:r>
              <w:rPr>
                <w:lang w:val="es-ES"/>
              </w:rPr>
              <w:t xml:space="preserve">Refinación (metal afinado)</w:t>
            </w:r>
          </w:p>
        </w:tc>
        <w:tc>
          <w:tcPr/>
          <w:p>
            <w:pPr>
              <w:pStyle w:val="Compact"/>
              <w:jc w:val="left"/>
            </w:pPr>
            <w:r>
              <w:rPr>
                <w:lang w:val="es-ES"/>
              </w:rPr>
              <w:t xml:space="preserve">Industrias Peñoles</w:t>
            </w:r>
          </w:p>
        </w:tc>
        <w:tc>
          <w:tcPr/>
          <w:p>
            <w:pPr>
              <w:pStyle w:val="Compact"/>
              <w:jc w:val="left"/>
            </w:pPr>
            <w:r>
              <w:rPr>
                <w:lang w:val="es-ES"/>
              </w:rPr>
              <w:t xml:space="preserve">≈89%</w:t>
            </w:r>
          </w:p>
        </w:tc>
        <w:tc>
          <w:tcPr/>
          <w:p>
            <w:pPr>
              <w:pStyle w:val="Compact"/>
              <w:jc w:val="left"/>
            </w:pPr>
            <w:r>
              <w:rPr>
                <w:lang w:val="es-ES"/>
              </w:rPr>
              <w:t xml:space="preserve">Onzas de plata afinada (de cualquier productor) procesadas en Met-Mex Peñoles, Torreón</w:t>
            </w:r>
          </w:p>
        </w:tc>
      </w:tr>
    </w:tbl>
    <w:bookmarkEnd w:id="51"/>
    <w:bookmarkStart w:id="52" w:name="Xafed98080d8bc4d3ac80083567d9b01999b1dc7"/>
    <w:p>
      <w:pPr>
        <w:pStyle w:val="Heading3"/>
      </w:pPr>
      <w:r>
        <w:rPr>
          <w:lang w:val="es-ES"/>
        </w:rPr>
        <w:t xml:space="preserve">V.8.3 La escisión de Fresnillo plc de Peñoles (2008): hito corporativo del mercado de plata</w:t>
      </w:r>
    </w:p>
    <w:p>
      <w:pPr>
        <w:pStyle w:val="FirstParagraph"/>
      </w:pPr>
      <w:r>
        <w:rPr>
          <w:lang w:val="es-ES"/>
        </w:rPr>
        <w:t xml:space="preserve">Hasta 2008, las operaciones de plata y oro de Industrias Peñoles estaban integradas dentro del mismo corporativo que sus metales base. Ese año, Peñoles separó las operaciones de metales preciosos en una nueva entidad, Fresnillo plc, que debutó en la Bolsa de Londres convirtiéndose en la primera empresa mexicana en cotizar ahí y en integrar el índice FTSE100. Peñoles conservó 77.1% de Fresnillo plc en el momento de la salida a bolsa, porcentaje que se sitúa en 74.99% en los años más recientes. Aunque jurídicamente separadas, ambas compañías permanecen bajo el control del mismo grupo familiar, de modo que la escisión representó una reorganización financiera y bursátil más que una modificación de fondo de la estructura de poder de mercado (Industrias Peñoles, s.f.; Cámara Minera de México, 2025b).</w:t>
      </w:r>
    </w:p>
    <w:bookmarkEnd w:id="52"/>
    <w:bookmarkStart w:id="53" w:name="X961d61c907b602e550be7d7397531d7261d2cc0"/>
    <w:p>
      <w:pPr>
        <w:pStyle w:val="Heading3"/>
      </w:pPr>
      <w:r>
        <w:rPr>
          <w:lang w:val="es-ES"/>
        </w:rPr>
        <w:t xml:space="preserve">V.8.4 Las cinco grandes empresas del oligopolio de extracción (2019-2024)</w:t>
      </w:r>
    </w:p>
    <w:p>
      <w:pPr>
        <w:pStyle w:val="FirstParagraph"/>
      </w:pPr>
      <w:r>
        <w:rPr>
          <w:lang w:val="es-ES"/>
        </w:rPr>
        <w:t xml:space="preserve">Hacia 2020, la Cámara Minera de México identificaba cinco grandes productores como el núcleo de la oferta nacional de plata en extracción. Fresnillo plc lideraba con 29.4% de la producción nacional; seguido de Newmont, que opera Peñasquito (27.8 millones de onzas en 2020, la mayor mina individual del país en plata); Grupo México; Industrias Peñoles (directamente, vía minas polimetálicas de zinc-plomo-cobre que arrastran contenido argentífero); y First Majestic Silver (empresa canadiense especializada en plata). El total nacional en 2020 fue de 180.2 millones de onzas (Cámara Minera de México, 2025b).</w:t>
      </w:r>
    </w:p>
    <w:bookmarkEnd w:id="53"/>
    <w:bookmarkStart w:id="54" w:name="X606cdd755cc0f860602487cc54dd82402b2a2a8"/>
    <w:p>
      <w:pPr>
        <w:pStyle w:val="Heading3"/>
      </w:pPr>
      <w:r>
        <w:rPr>
          <w:lang w:val="es-ES"/>
        </w:rPr>
        <w:t xml:space="preserve">V.8.5 Destino de la producción: el patrón paradójico de la plata mexicana</w:t>
      </w:r>
    </w:p>
    <w:p>
      <w:pPr>
        <w:pStyle w:val="FirstParagraph"/>
      </w:pPr>
      <w:r>
        <w:rPr>
          <w:lang w:val="es-ES"/>
        </w:rPr>
        <w:t xml:space="preserve">El comercio exterior de la plata mexicana revela un patrón llamativo que ilustra la distinción entre los dos eslabones de la cadena. La plata sin refinar (concentrado argentífero) se exporta principalmente a China (87 millones de dólares en 2024), seguida de Canadá (28.2 millones) y Alemania (10.3 millones), para fundición en plantas especializadas. En cambio, la plata ya refinada —en bruto, semilabrada o en polvo— se exporta abrumadoramente a Estados Unidos (2,587 millones de dólares en 2024), con Japón como segundo destino (374 millones) y Brasil como tercero (33 millones), con Coahuila —sede de Met-Mex Peñoles en Torreón— como la entidad federativa exportadora dominante (2,103 millones de dólares). En el contexto global, México fue en 2022 el principal exportador mundial de plata en bruto, semilabrada o en polvo, con 2,584 millones de dólares (Secretaría de Economía / DataMéxico, 2025b).</w:t>
      </w:r>
    </w:p>
    <w:bookmarkEnd w:id="54"/>
    <w:bookmarkStart w:id="55" w:name="Xdbd5d0b0dfbe0bd56b01c8bfad694e6bfac81aa"/>
    <w:p>
      <w:pPr>
        <w:pStyle w:val="Heading3"/>
      </w:pPr>
      <w:r>
        <w:rPr>
          <w:lang w:val="es-ES"/>
        </w:rPr>
        <w:t xml:space="preserve">V.8.6 Impacto de la reforma de 2023: protección de corto plazo, exposición en el largo</w:t>
      </w:r>
    </w:p>
    <w:p>
      <w:pPr>
        <w:pStyle w:val="FirstParagraph"/>
      </w:pPr>
      <w:r>
        <w:rPr>
          <w:lang w:val="es-ES"/>
        </w:rPr>
        <w:t xml:space="preserve">Las concesiones más productivas de Peñoles y Fresnillo plc tienen vigencias de largo plazo anteriores a la reforma: las principales de Peñoles vencen hasta 2065, y la mina Saucito —entre las dos mayores productoras individuales de plata del mundo— tiene como fecha límite el 26 de agosto de 2052. Esto sitúa a ambas empresas en posición similar a la de Grupo México en cobre: protegidas en el corto y mediano plazo, pero expuestas en el largo plazo a la incertidumbre sobre el nuevo régimen de licitaciones para cualquier expansión. El congelamiento de nuevas concesiones afecta especialmente a Zacatecas, el estado líder en plata: el conjunto de proyectos de exploración que alimentaría la producción de la próxima década permanece paralizado (Minería en Línea, 2026; Secretaría de Economía, 2024a).</w:t>
      </w:r>
    </w:p>
    <w:p>
      <w:pPr>
        <w:pStyle w:val="BodyText"/>
      </w:pPr>
      <w:r>
        <w:rPr>
          <w:i/>
          <w:iCs/>
          <w:lang w:val="es-ES"/>
        </w:rPr>
        <w:t xml:space="preserve">Fuentes: Cámara Minera de México (2025b); Industrias Peñoles (s.f.); Micheli Thirion y Cortés Morales (2026); U.S. Geological Survey (2025a); Secretaría de Economía / DataMéxico (2025b); Aliphat Rodríguez et al. (2025); Minería en Línea (2026).</w:t>
      </w:r>
    </w:p>
    <w:bookmarkEnd w:id="55"/>
    <w:bookmarkEnd w:id="56"/>
    <w:bookmarkStart w:id="62" w:name="v.9-plomo"/>
    <w:p>
      <w:pPr>
        <w:pStyle w:val="Heading2"/>
      </w:pPr>
      <w:r>
        <w:rPr>
          <w:lang w:val="es-ES"/>
        </w:rPr>
        <w:t xml:space="preserve">V.9 Plomo</w:t>
      </w:r>
    </w:p>
    <w:bookmarkStart w:id="57" w:name="Xa76738fe4bd2bffa6f045ec710dedbdace9b7ca"/>
    <w:p>
      <w:pPr>
        <w:pStyle w:val="Heading3"/>
      </w:pPr>
      <w:r>
        <w:rPr>
          <w:lang w:val="es-ES"/>
        </w:rPr>
        <w:t xml:space="preserve">V.9.1 Contexto: cuarto productor mundial, con China como líder global</w:t>
      </w:r>
    </w:p>
    <w:p>
      <w:pPr>
        <w:pStyle w:val="FirstParagraph"/>
      </w:pPr>
      <w:r>
        <w:rPr>
          <w:lang w:val="es-ES"/>
        </w:rPr>
        <w:t xml:space="preserve">México mantiene el cuarto lugar mundial en producción de plomo —con China como líder global con 42% de la participación mundial—, extrayéndolo predominantemente como subproducto de yacimientos polimetálicos de plata-plomo-zinc. En 2024, Zacatecas concentró 65.1% de la producción nacional, seguido por Durango con 10.2% (Secretaría de Economía, 2024b; U.S. Geological Survey, 2025a).</w:t>
      </w:r>
    </w:p>
    <w:bookmarkEnd w:id="57"/>
    <w:bookmarkStart w:id="58" w:name="Xc63045e0fafa6fb84f3e122100b486482ccf046"/>
    <w:p>
      <w:pPr>
        <w:pStyle w:val="Heading3"/>
      </w:pPr>
      <w:r>
        <w:rPr>
          <w:lang w:val="es-ES"/>
        </w:rPr>
        <w:t xml:space="preserve">V.9.2 Monopolio de refinación: Industrias Peñoles refina el 100% del plomo afinado nacional</w:t>
      </w:r>
    </w:p>
    <w:p>
      <w:pPr>
        <w:pStyle w:val="FirstParagraph"/>
      </w:pPr>
      <w:r>
        <w:rPr>
          <w:lang w:val="es-ES"/>
        </w:rPr>
        <w:t xml:space="preserve">El plomo es el metal base del corpus con la concentración más extrema en refinación: Industrias Peñoles refina el 100% del plomo afinado producido en México, a través de su Refinería de Plomo-Plata en el complejo Met-Mex de Torreón, Coahuila, considerado el complejo metalúrgico no ferroso más grande de América Latina. Peñoles se presenta públicamente como líder latinoamericano en la producción de oro y plomo afinados. Esta posición de monopolio en refinación se ha mantenido sin cambios relevantes durante todo el periodo 1993-2025 (Industrias Peñoles, s.f.).</w:t>
      </w:r>
    </w:p>
    <w:bookmarkEnd w:id="58"/>
    <w:bookmarkStart w:id="59" w:name="X44d4ec2f62210d6f6641313b2d114b0ff23f965"/>
    <w:p>
      <w:pPr>
        <w:pStyle w:val="Heading3"/>
      </w:pPr>
      <w:r>
        <w:rPr>
          <w:lang w:val="es-ES"/>
        </w:rPr>
        <w:t xml:space="preserve">V.9.3 Extracción: oligopolio entre Peñoles, Grupo México y Minera Frisco</w:t>
      </w:r>
    </w:p>
    <w:p>
      <w:pPr>
        <w:pStyle w:val="FirstParagraph"/>
      </w:pPr>
      <w:r>
        <w:rPr>
          <w:lang w:val="es-ES"/>
        </w:rPr>
        <w:t xml:space="preserve">A nivel de extracción, el plomo se reparte entre Industrias Peñoles —que opera la mina Naica (Chihuahua) y la mina Francisco I. Madero (Chihuahua/Zacatecas), identificada como la mayor mina subterránea de zinc del país y también productora de plomo—, Grupo México y Minera Frisco (Grupo Carso, de Carlos Slim), que produce concentrados de plomo-plata, zinc y cobre. No se ha registrado la consolidación de un competidor especializado en plomo de escala nacional durante el periodo estudiado. La producción de plomo mostró un repunte notable en 2024, con crecimientos interanuales de hasta 89.2% en ciertos meses según el Boletín Estadístico de la Secretaría de Economía, alcanzando 12,485 toneladas en junio de ese año frente a 6,599 toneladas en el mismo mes del año anterior (Secretaría de Economía, 2024b).</w:t>
      </w:r>
    </w:p>
    <w:bookmarkEnd w:id="59"/>
    <w:bookmarkStart w:id="60" w:name="X0bc1c9058e07a3a825fc3e8ee3c65f8013f0136"/>
    <w:p>
      <w:pPr>
        <w:pStyle w:val="Heading3"/>
      </w:pPr>
      <w:r>
        <w:rPr>
          <w:lang w:val="es-ES"/>
        </w:rPr>
        <w:t xml:space="preserve">V.9.4 Destino de la producción: mercado interno de baterías de plomo-ácido</w:t>
      </w:r>
    </w:p>
    <w:p>
      <w:pPr>
        <w:pStyle w:val="FirstParagraph"/>
      </w:pPr>
      <w:r>
        <w:rPr>
          <w:lang w:val="es-ES"/>
        </w:rPr>
        <w:t xml:space="preserve">El plomo refinado mexicano se destina principalmente a la fabricación de baterías de plomo-ácido, tanto para arranque automotriz como para baterías industriales de respaldo en telecomunicaciones y sistemas de energía, un mercado con fuerte presencia de manufactura instalada en México. A diferencia del cobre o la plata, el plomo no muestra un destino de exportación único dominante; la producción secundaria —proveniente del reciclaje de chatarra y baterías usadas— cobra peso creciente a nivel mundial e interno, lo que reduce con el tiempo la dependencia del mercado de baterías respecto de la extracción minera primaria (Aliphat Rodríguez et al., 2025).</w:t>
      </w:r>
    </w:p>
    <w:bookmarkEnd w:id="60"/>
    <w:bookmarkStart w:id="61" w:name="X8df3646e9363ff5abeeffebeea05693d7c7fdfb"/>
    <w:p>
      <w:pPr>
        <w:pStyle w:val="Heading3"/>
      </w:pPr>
      <w:r>
        <w:rPr>
          <w:lang w:val="es-ES"/>
        </w:rPr>
        <w:t xml:space="preserve">V.9.5 Impacto de la reforma de 2023: efecto derivado del zinc y la plata</w:t>
      </w:r>
    </w:p>
    <w:p>
      <w:pPr>
        <w:pStyle w:val="FirstParagraph"/>
      </w:pPr>
      <w:r>
        <w:rPr>
          <w:lang w:val="es-ES"/>
        </w:rPr>
        <w:t xml:space="preserve">El plomo, al producirse casi siempre como subproducto de minas de plata y zinc, comparte el mismo perfil de exposición a la reforma de 2023 que esos minerales: las operaciones existentes de Peñoles, Grupo México y Frisco cuentan con concesiones de largo plazo —algunas hasta la década de 2060— que los protegen en el corto plazo. El impacto de la reforma recae sobre la posibilidad de desarrollar nuevos yacimientos polimetálicos plomo-zinc-plata, función ahora reservada en exclusiva al Servicio Geológico Mexicano (Secretaría de Economía, 2024a).</w:t>
      </w:r>
    </w:p>
    <w:p>
      <w:pPr>
        <w:pStyle w:val="BodyText"/>
      </w:pPr>
      <w:r>
        <w:rPr>
          <w:i/>
          <w:iCs/>
          <w:lang w:val="es-ES"/>
        </w:rPr>
        <w:t xml:space="preserve">Fuentes: Industrias Peñoles (s.f.); Secretaría de Economía (2024b); U.S. Geological Survey (2025a); Aliphat Rodríguez et al. (2025).</w:t>
      </w:r>
    </w:p>
    <w:bookmarkEnd w:id="61"/>
    <w:bookmarkEnd w:id="62"/>
    <w:bookmarkStart w:id="67" w:name="v.10-sílice-arena-sílica"/>
    <w:p>
      <w:pPr>
        <w:pStyle w:val="Heading2"/>
      </w:pPr>
      <w:r>
        <w:rPr>
          <w:lang w:val="es-ES"/>
        </w:rPr>
        <w:t xml:space="preserve">V.10 Sílice (arena sílica)</w:t>
      </w:r>
    </w:p>
    <w:bookmarkStart w:id="63" w:name="X7cf9db6a9a5aa301a087f6134f0ade19402e1c5"/>
    <w:p>
      <w:pPr>
        <w:pStyle w:val="Heading3"/>
      </w:pPr>
      <w:r>
        <w:rPr>
          <w:lang w:val="es-ES"/>
        </w:rPr>
        <w:t xml:space="preserve">V.10.1 Contexto: recurso abundante, aplicaciones industriales y emergentes</w:t>
      </w:r>
    </w:p>
    <w:p>
      <w:pPr>
        <w:pStyle w:val="FirstParagraph"/>
      </w:pPr>
      <w:r>
        <w:rPr>
          <w:lang w:val="es-ES"/>
        </w:rPr>
        <w:t xml:space="preserve">La sílice (cuarzo / dióxido de silicio, SiO₂) en México no es un mineral de yacimientos escasos sino un recurso relativamente abundante, con depósitos documentados en Coahuila, Durango, Jalisco, San Luis Potosí y Guanajuato, entre otros estados. Sus aplicaciones van desde la industria del vidrio y la fundición hasta la filtración de agua, la fracturación hidráulica y, más recientemente, la manufactura de semiconductores, paneles solares y fibra óptica. La mina San Emilio, en Lagos de Moreno (Jalisco), se documenta como uno de los yacimientos de cuarzo de mayor calidad y reservas del país (Secretaría de Economía, 2021c).</w:t>
      </w:r>
    </w:p>
    <w:bookmarkEnd w:id="63"/>
    <w:bookmarkStart w:id="64" w:name="X3813f40f2f540b16fd206b0d7b672b8684dba40"/>
    <w:p>
      <w:pPr>
        <w:pStyle w:val="Heading3"/>
      </w:pPr>
      <w:r>
        <w:rPr>
          <w:lang w:val="es-ES"/>
        </w:rPr>
        <w:t xml:space="preserve">V.10.2 Un mercado concentrado bajo un operador dominante no evidente</w:t>
      </w:r>
    </w:p>
    <w:p>
      <w:pPr>
        <w:pStyle w:val="FirstParagraph"/>
      </w:pPr>
      <w:r>
        <w:rPr>
          <w:lang w:val="es-ES"/>
        </w:rPr>
        <w:t xml:space="preserve">Contra la percepción de que la sílice sería el mercado más atomizado del corpus —sugerida por los directorios industriales especializados (QuimiNet, Cosmos), que listan decenas de proveedores— los datos de producción por empresa de los Informes Anuales de la Cámara Minera de México revelan un mercado altamente concentrado. El mayor productor nacional de arena sílica es Grupo Materias Primas, empresa fundada en 1955 y subsidiaria de Covia Corporation (líder mundial de sílice de alta pureza, resultado de la fusión de Unimin y Fairmount Santrol, con ocho plantas en México), cuya participación en la producción nacional osciló entre 74% y 99% durante 2020–2024. La aparente contradicción con la presencia global de Covia se resuelve al advertir que la compañía opera en México bajo el nombre de su subsidiaria histórica —Grupo Materias Primas, aliada de Unimin desde 1997— y no bajo su denominación corporativa. Debe precisarse que esta concentración corresponde al submercado de la sílice industrial de alta pureza (vidrio, fundición, cerámica), que es el que capturan las estadísticas formales de INEGI y CAMIMEX; la arena silícea común destinada a la construcción sí conforma un mercado fragmentado de bancos locales, mayoritariamente informal, que no aparece en dichas estadísticas y, por tanto, queda fuera de la medición del índice de concentración utilizado en esta investigación (Cámara Minera de México, 2022–2025; INEGI; Grupo Materias Primas / Covia, 2025).</w:t>
      </w:r>
    </w:p>
    <w:bookmarkEnd w:id="64"/>
    <w:bookmarkStart w:id="65" w:name="X5fa858118efa66605e3c685e75bdab037ced087"/>
    <w:p>
      <w:pPr>
        <w:pStyle w:val="Heading3"/>
      </w:pPr>
      <w:r>
        <w:rPr>
          <w:lang w:val="es-ES"/>
        </w:rPr>
        <w:t xml:space="preserve">V.10.3 Destino de la producción: consumo interno mayoritario</w:t>
      </w:r>
    </w:p>
    <w:p>
      <w:pPr>
        <w:pStyle w:val="FirstParagraph"/>
      </w:pPr>
      <w:r>
        <w:rPr>
          <w:lang w:val="es-ES"/>
        </w:rPr>
        <w:t xml:space="preserve">A diferencia de la fluorita, el grafito o la barita, el sílice mexicano se consume en proporción alta dentro del mercado interno, dado su uso intensivo en industrias instaladas en México: vidrio para envases de bebidas (uno de los sectores exportadores más dinámicos del país), fundición de piezas automotrices y construcción. Hacia 2023-2025, la demanda mexicana de sílice ha crecido ligada al auge de la manufactura nacional de vidrio para exportación, la manufactura automotriz y, en menor medida, el nearshoring de industria electrónica y de paneles solares. La porción exportable es de menor magnitud (Aliphat Rodríguez et al., 2025; Secretaría de Economía, 2021c).</w:t>
      </w:r>
    </w:p>
    <w:bookmarkEnd w:id="65"/>
    <w:bookmarkStart w:id="66" w:name="Xcf7c72a84c6523692b873c3d5fb0b9648e6589a"/>
    <w:p>
      <w:pPr>
        <w:pStyle w:val="Heading3"/>
      </w:pPr>
      <w:r>
        <w:rPr>
          <w:lang w:val="es-ES"/>
        </w:rPr>
        <w:t xml:space="preserve">V.10.4 Impacto de la reforma de 2023: efecto diferenciado en productores pequeños</w:t>
      </w:r>
    </w:p>
    <w:p>
      <w:pPr>
        <w:pStyle w:val="FirstParagraph"/>
      </w:pPr>
      <w:r>
        <w:rPr>
          <w:lang w:val="es-ES"/>
        </w:rPr>
        <w:t xml:space="preserve">El mercado fragmentado de la sílice ilustra un efecto de la reforma de 2023 que rara vez se discute: el congelamiento del sistema de concesiones y la exclusividad del SGM sobre la exploración afectan de forma desproporcionada a productores pequeños y medianos sin departamentos legales o de relaciones gubernamentales dedicados, en comparación con los grandes grupos que cuentan con bancos de concesiones de muy largo plazo. Debe matizarse, no obstante, que la producción formal de arena sílica se encuentra ya altamente concentrada en Grupo Materias Primas / Covia (véase V.10.2), de modo que el efecto diferencial de la reforma sobre los productores pequeños operaría, en su caso, sobre el segmento informal de arena de construcción y no sobre el mercado industrial capturado por las estadísticas oficiales (Minería en Línea, 2026).</w:t>
      </w:r>
    </w:p>
    <w:p>
      <w:pPr>
        <w:pStyle w:val="BodyText"/>
      </w:pPr>
      <w:r>
        <w:rPr>
          <w:i/>
          <w:iCs/>
          <w:lang w:val="es-ES"/>
        </w:rPr>
        <w:t xml:space="preserve">Fuentes: Secretaría de Economía, Perfil de Mercado del Sílice (2021c); Aliphat Rodríguez et al. (2025); Minería en Línea (2026).</w:t>
      </w:r>
    </w:p>
    <w:bookmarkEnd w:id="66"/>
    <w:bookmarkEnd w:id="67"/>
    <w:bookmarkStart w:id="73" w:name="v.11-zinc"/>
    <w:p>
      <w:pPr>
        <w:pStyle w:val="Heading2"/>
      </w:pPr>
      <w:r>
        <w:rPr>
          <w:lang w:val="es-ES"/>
        </w:rPr>
        <w:t xml:space="preserve">V.11 Zinc</w:t>
      </w:r>
    </w:p>
    <w:bookmarkStart w:id="68" w:name="Xe75c5389551bfd44e204500f01c5f6eec091d04"/>
    <w:p>
      <w:pPr>
        <w:pStyle w:val="Heading3"/>
      </w:pPr>
      <w:r>
        <w:rPr>
          <w:lang w:val="es-ES"/>
        </w:rPr>
        <w:t xml:space="preserve">V.11.1 Contexto: sexto productor mundial con producción concentrada en Zacatecas</w:t>
      </w:r>
    </w:p>
    <w:p>
      <w:pPr>
        <w:pStyle w:val="FirstParagraph"/>
      </w:pPr>
      <w:r>
        <w:rPr>
          <w:lang w:val="es-ES"/>
        </w:rPr>
        <w:t xml:space="preserve">México ocupa el sexto lugar mundial en producción de zinc, con China como líder global con aproximadamente 33% del total. La producción nacional fue de 773,189 toneladas en 2024, con Zacatecas aportando 63.2%, Durango 14.8% y Sonora 8.3%. La incorporación de Sonora al mapa zincero es relativamente reciente: la nueva unidad Buenavista Zinc de Grupo México elevó su participación de 3.4% en 2023 a 8.3% en 2024, convirtiendo la planta en el cuarto estado productor de zinc del país en un solo año. El zinc se produce casi siempre como coproducto o subproducto de yacimientos polimetálicos junto a plomo, plata y cobre (Cámara Minera de México, 2025c; U.S. Geological Survey, 2025a).</w:t>
      </w:r>
    </w:p>
    <w:bookmarkEnd w:id="68"/>
    <w:bookmarkStart w:id="69" w:name="Xffc0f7929d9c78f642cf3df05a7c17c7e464ff5"/>
    <w:p>
      <w:pPr>
        <w:pStyle w:val="Heading3"/>
      </w:pPr>
      <w:r>
        <w:rPr>
          <w:lang w:val="es-ES"/>
        </w:rPr>
        <w:t xml:space="preserve">V.11.2 Extracción: liderazgo rotado de Peñoles a Newmont por la absorción de Goldcorp</w:t>
      </w:r>
    </w:p>
    <w:p>
      <w:pPr>
        <w:pStyle w:val="FirstParagraph"/>
      </w:pPr>
      <w:r>
        <w:rPr>
          <w:lang w:val="es-ES"/>
        </w:rPr>
        <w:t xml:space="preserve">El liderazgo en la extracción de zinc ha cambiado de forma documentada en el periodo reciente. En 2017, Industrias Peñoles, Goldcorp, Grupo México y Fresnillo plc concentraban conjuntamente 77% de la producción nacional, con Peñoles al frente gracias a sus minas Velardeña y Francisco I. Madero (Chihuahua). En 2018, esa configuración se mantenía con Peñoles como líder, con Goldcorp en segundo lugar gracias a Peñasquito (con aproximadamente 21% de participación individual ese año). Con datos de 2024, el mapa cambió de forma significativa: Newmont —heredero de Goldcorp tras la adquisición de 2019— se ha convertido en el mayor productor individual de zinc del país con 33.4%, seguido de Industrias Peñoles, Grupo México, Fresnillo plc y Minera Frisco, en ese orden, según el boletín más reciente de la Cámara Minera de México. La mina Peñasquito mantiene su posición como la unidad individual de mayor aportación de zinc del país (Cámara Minera de México, 2025c; Mexico Mining Center, 2018).</w:t>
      </w:r>
    </w:p>
    <w:tbl>
      <w:tblPr>
        <w:tblStyle w:val="Table"/>
        <w:tblW w:type="pct" w:w="4948"/>
        <w:tblLayout w:type="fixed"/>
        <w:tblLook w:firstRow="1" w:lastRow="0" w:firstColumn="0" w:lastColumn="0" w:noHBand="0" w:noVBand="0" w:val="0020"/>
      </w:tblPr>
      <w:tblGrid>
        <w:gridCol w:w="979"/>
        <w:gridCol w:w="1347"/>
        <w:gridCol w:w="1551"/>
        <w:gridCol w:w="2571"/>
        <w:gridCol w:w="1388"/>
      </w:tblGrid>
      <w:tr>
        <w:trPr>
          <w:tblHeader w:val="on"/>
        </w:trPr>
        <w:tc>
          <w:tcPr/>
          <w:p>
            <w:pPr>
              <w:pStyle w:val="Compact"/>
              <w:jc w:val="left"/>
            </w:pPr>
            <w:r>
              <w:rPr>
                <w:b/>
                <w:bCs/>
                <w:lang w:val="es-ES"/>
              </w:rPr>
              <w:t xml:space="preserve">Año de referencia</w:t>
            </w:r>
          </w:p>
        </w:tc>
        <w:tc>
          <w:tcPr/>
          <w:p>
            <w:pPr>
              <w:pStyle w:val="Compact"/>
              <w:jc w:val="left"/>
            </w:pPr>
            <w:r>
              <w:rPr>
                <w:b/>
                <w:bCs/>
                <w:lang w:val="es-ES"/>
              </w:rPr>
              <w:t xml:space="preserve">Mayor productor individual</w:t>
            </w:r>
          </w:p>
        </w:tc>
        <w:tc>
          <w:tcPr/>
          <w:p>
            <w:pPr>
              <w:pStyle w:val="Compact"/>
              <w:jc w:val="left"/>
            </w:pPr>
            <w:r>
              <w:rPr>
                <w:b/>
                <w:bCs/>
                <w:lang w:val="es-ES"/>
              </w:rPr>
              <w:t xml:space="preserve">Participación</w:t>
            </w:r>
          </w:p>
        </w:tc>
        <w:tc>
          <w:tcPr/>
          <w:p>
            <w:pPr>
              <w:pStyle w:val="Compact"/>
              <w:jc w:val="left"/>
            </w:pPr>
            <w:r>
              <w:rPr>
                <w:b/>
                <w:bCs/>
                <w:lang w:val="es-ES"/>
              </w:rPr>
              <w:t xml:space="preserve">Top-4 conjunto</w:t>
            </w:r>
          </w:p>
        </w:tc>
        <w:tc>
          <w:tcPr/>
          <w:p>
            <w:pPr>
              <w:pStyle w:val="Compact"/>
              <w:jc w:val="left"/>
            </w:pPr>
            <w:r>
              <w:rPr>
                <w:b/>
                <w:bCs/>
                <w:lang w:val="es-ES"/>
              </w:rPr>
              <w:t xml:space="preserve">Fuente</w:t>
            </w:r>
          </w:p>
        </w:tc>
      </w:tr>
      <w:tr>
        <w:tc>
          <w:tcPr/>
          <w:p>
            <w:pPr>
              <w:pStyle w:val="Compact"/>
              <w:jc w:val="left"/>
            </w:pPr>
            <w:r>
              <w:rPr>
                <w:lang w:val="es-ES"/>
              </w:rPr>
              <w:t xml:space="preserve">2017</w:t>
            </w:r>
          </w:p>
        </w:tc>
        <w:tc>
          <w:tcPr/>
          <w:p>
            <w:pPr>
              <w:pStyle w:val="Compact"/>
              <w:jc w:val="left"/>
            </w:pPr>
            <w:r>
              <w:rPr>
                <w:lang w:val="es-ES"/>
              </w:rPr>
              <w:t xml:space="preserve">Industrias Peñoles</w:t>
            </w:r>
          </w:p>
        </w:tc>
        <w:tc>
          <w:tcPr/>
          <w:p>
            <w:pPr>
              <w:pStyle w:val="Compact"/>
              <w:jc w:val="left"/>
            </w:pPr>
            <w:r>
              <w:rPr>
                <w:lang w:val="es-ES"/>
              </w:rPr>
              <w:t xml:space="preserve">n.d.</w:t>
            </w:r>
          </w:p>
        </w:tc>
        <w:tc>
          <w:tcPr/>
          <w:p>
            <w:pPr>
              <w:pStyle w:val="Compact"/>
              <w:jc w:val="left"/>
            </w:pPr>
            <w:r>
              <w:rPr>
                <w:lang w:val="es-ES"/>
              </w:rPr>
              <w:t xml:space="preserve">≈77% (Peñoles, Goldcorp, Grupo México, Fresnillo plc)</w:t>
            </w:r>
          </w:p>
        </w:tc>
        <w:tc>
          <w:tcPr/>
          <w:p>
            <w:pPr>
              <w:pStyle w:val="Compact"/>
              <w:jc w:val="left"/>
            </w:pPr>
            <w:r>
              <w:rPr>
                <w:lang w:val="es-ES"/>
              </w:rPr>
              <w:t xml:space="preserve">Mexico Mining Center (2018)</w:t>
            </w:r>
          </w:p>
        </w:tc>
      </w:tr>
      <w:tr>
        <w:tc>
          <w:tcPr/>
          <w:p>
            <w:pPr>
              <w:pStyle w:val="Compact"/>
              <w:jc w:val="left"/>
            </w:pPr>
            <w:r>
              <w:rPr>
                <w:lang w:val="es-ES"/>
              </w:rPr>
              <w:t xml:space="preserve">2018</w:t>
            </w:r>
          </w:p>
        </w:tc>
        <w:tc>
          <w:tcPr/>
          <w:p>
            <w:pPr>
              <w:pStyle w:val="Compact"/>
              <w:jc w:val="left"/>
            </w:pPr>
            <w:r>
              <w:rPr>
                <w:lang w:val="es-ES"/>
              </w:rPr>
              <w:t xml:space="preserve">Industrias Peñoles (Velardeña)</w:t>
            </w:r>
          </w:p>
        </w:tc>
        <w:tc>
          <w:tcPr/>
          <w:p>
            <w:pPr>
              <w:pStyle w:val="Compact"/>
              <w:jc w:val="left"/>
            </w:pPr>
            <w:r>
              <w:rPr>
                <w:lang w:val="es-ES"/>
              </w:rPr>
              <w:t xml:space="preserve">n.d. (Goldcorp ≈21% vía Peñasquito)</w:t>
            </w:r>
          </w:p>
        </w:tc>
        <w:tc>
          <w:tcPr/>
          <w:p>
            <w:pPr>
              <w:pStyle w:val="Compact"/>
              <w:jc w:val="left"/>
            </w:pPr>
            <w:r>
              <w:rPr>
                <w:lang w:val="es-ES"/>
              </w:rPr>
              <w:t xml:space="preserve">≈60% (Peñoles, Fresnillo plc, Grupo México, Frisco)</w:t>
            </w:r>
          </w:p>
        </w:tc>
        <w:tc>
          <w:tcPr/>
          <w:p>
            <w:pPr>
              <w:pStyle w:val="Compact"/>
              <w:jc w:val="left"/>
            </w:pPr>
            <w:r>
              <w:rPr>
                <w:lang w:val="es-ES"/>
              </w:rPr>
              <w:t xml:space="preserve">Outletminero (2019)</w:t>
            </w:r>
          </w:p>
        </w:tc>
      </w:tr>
      <w:tr>
        <w:tc>
          <w:tcPr/>
          <w:p>
            <w:pPr>
              <w:pStyle w:val="Compact"/>
              <w:jc w:val="left"/>
            </w:pPr>
            <w:r>
              <w:rPr>
                <w:lang w:val="es-ES"/>
              </w:rPr>
              <w:t xml:space="preserve">2024</w:t>
            </w:r>
          </w:p>
        </w:tc>
        <w:tc>
          <w:tcPr/>
          <w:p>
            <w:pPr>
              <w:pStyle w:val="Compact"/>
              <w:jc w:val="left"/>
            </w:pPr>
            <w:r>
              <w:rPr>
                <w:lang w:val="es-ES"/>
              </w:rPr>
              <w:t xml:space="preserve">Newmont (Peñasquito)</w:t>
            </w:r>
          </w:p>
        </w:tc>
        <w:tc>
          <w:tcPr/>
          <w:p>
            <w:pPr>
              <w:pStyle w:val="Compact"/>
              <w:jc w:val="left"/>
            </w:pPr>
            <w:r>
              <w:rPr>
                <w:lang w:val="es-ES"/>
              </w:rPr>
              <w:t xml:space="preserve">33.4%</w:t>
            </w:r>
          </w:p>
        </w:tc>
        <w:tc>
          <w:tcPr/>
          <w:p>
            <w:pPr>
              <w:pStyle w:val="Compact"/>
              <w:jc w:val="left"/>
            </w:pPr>
            <w:r>
              <w:rPr>
                <w:lang w:val="es-ES"/>
              </w:rPr>
              <w:t xml:space="preserve">n.d. (Newmont, Peñoles, Grupo México, Fresnillo plc, Frisco)</w:t>
            </w:r>
          </w:p>
        </w:tc>
        <w:tc>
          <w:tcPr/>
          <w:p>
            <w:pPr>
              <w:pStyle w:val="Compact"/>
              <w:jc w:val="left"/>
            </w:pPr>
            <w:r>
              <w:rPr>
                <w:lang w:val="es-ES"/>
              </w:rPr>
              <w:t xml:space="preserve">Cámara Minera de México (2025c)</w:t>
            </w:r>
          </w:p>
        </w:tc>
      </w:tr>
    </w:tbl>
    <w:bookmarkEnd w:id="69"/>
    <w:bookmarkStart w:id="70" w:name="Xf24e9c16e347f984347d155cbee4fc92e29b843"/>
    <w:p>
      <w:pPr>
        <w:pStyle w:val="Heading3"/>
      </w:pPr>
      <w:r>
        <w:rPr>
          <w:lang w:val="es-ES"/>
        </w:rPr>
        <w:t xml:space="preserve">V.11.3 Refinación: hegemonía estable de Peñoles desde los años noventa</w:t>
      </w:r>
    </w:p>
    <w:p>
      <w:pPr>
        <w:pStyle w:val="FirstParagraph"/>
      </w:pPr>
      <w:r>
        <w:rPr>
          <w:lang w:val="es-ES"/>
        </w:rPr>
        <w:t xml:space="preserve">A diferencia de la extracción —donde el liderazgo rotó de Peñoles a Newmont en el periodo reciente—, la refinación de zinc ha permanecido altamente concentrada en Industrias Peñoles de forma muy estable desde los años noventa: la empresa mantiene aproximadamente 69% del zinc afinado del país a través de su Refinería Electrolítica de Zinc en Torreón, cuya capacidad instalada fue ampliada en 2019 con el objetivo de alcanzar 370,000 toneladas anuales. En la práctica opera en torno a 270,000 toneladas en 2023-2024 por la caída de precios internacionales del metal —que descendieron 25% entre 2022 y 2024—, con el mercado de Estados Unidos como destino dominante de la producción refinada y el resto hacia Europa (Milenio / Mining México, 2024; Industrias Peñoles, s.f.).</w:t>
      </w:r>
    </w:p>
    <w:bookmarkEnd w:id="70"/>
    <w:bookmarkStart w:id="71" w:name="Xf68861ca3c3c8419f4430c10e41db7abe380d29"/>
    <w:p>
      <w:pPr>
        <w:pStyle w:val="Heading3"/>
      </w:pPr>
      <w:r>
        <w:rPr>
          <w:lang w:val="es-ES"/>
        </w:rPr>
        <w:t xml:space="preserve">V.11.4 Destino de la producción: zinc sin refinar hacia Asia y Europa; zinc refinado hacia Estados Unidos</w:t>
      </w:r>
    </w:p>
    <w:p>
      <w:pPr>
        <w:pStyle w:val="FirstParagraph"/>
      </w:pPr>
      <w:r>
        <w:rPr>
          <w:lang w:val="es-ES"/>
        </w:rPr>
        <w:t xml:space="preserve">El comercio exterior del zinc mexicano muestra, como en la plata, una diferencia relevante entre mineral en bruto y producto refinado. En 2024, los principales destinos de los concentrados de zinc (sin refinar) fueron Corea del Sur (382 millones de dólares), España (220 millones), Bélgica (119 millones), China (85.3 millones) y Canadá (52.9 millones), con un intercambio comercial total de 1,292 millones de dólares. La mayor parte del zinc refinado de la planta de Peñoles en Torreón se orienta hacia el mercado estadounidense, con el resto hacia Europa (Secretaría de Economía / DataMéxico, 2025c; Milenio / Mining México, 2024).</w:t>
      </w:r>
    </w:p>
    <w:bookmarkEnd w:id="71"/>
    <w:bookmarkStart w:id="72" w:name="X2a6502070a572bed3ec01f008e8f16ded898162"/>
    <w:p>
      <w:pPr>
        <w:pStyle w:val="Heading3"/>
      </w:pPr>
      <w:r>
        <w:rPr>
          <w:lang w:val="es-ES"/>
        </w:rPr>
        <w:t xml:space="preserve">V.11.5 Impacto de la reforma de 2023: operaciones existentes protegidas, expansión frenada</w:t>
      </w:r>
    </w:p>
    <w:p>
      <w:pPr>
        <w:pStyle w:val="FirstParagraph"/>
      </w:pPr>
      <w:r>
        <w:rPr>
          <w:lang w:val="es-ES"/>
        </w:rPr>
        <w:t xml:space="preserve">El proyecto más relevante de expansión reciente en zinc —Buenavista Zinc de Grupo México en Sonora— fue desarrollado bajo concesiones obtenidas antes de la reforma de 2023, lo que ilustra el patrón general del sector: los proyectos ya autorizados continúan su desarrollo con relativa normalidad, mientras que los nuevos proyectos de exploración enfrentan la exclusividad del SGM y el congelamiento de nuevas concesiones documentado a nivel sectorial. La suspensión de la mina Francisco I. Madero de Peñoles en mayo de 2020 —antes de la reforma, por razones de rentabilidad y no regulatorias— ilustra además que el precio internacional del metal ha sido, en el caso del zinc, un factor de cierre de operaciones más determinante que la regulación (Industrias Peñoles, s.f.; Minería en Línea, 2026).</w:t>
      </w:r>
    </w:p>
    <w:p>
      <w:pPr>
        <w:pStyle w:val="BodyText"/>
      </w:pPr>
      <w:r>
        <w:rPr>
          <w:i/>
          <w:iCs/>
          <w:lang w:val="es-ES"/>
        </w:rPr>
        <w:t xml:space="preserve">Fuentes: Cámara Minera de México (2025c); Mexico Mining Center (2018); Outletminero (2019); Milenio / Mining México (2024); Secretaría de Economía / DataMéxico (2025c); Industrias Peñoles (s.f.); U.S. Geological Survey (2025a); Minería en Línea (2026).</w:t>
      </w:r>
    </w:p>
    <w:bookmarkEnd w:id="72"/>
    <w:bookmarkEnd w:id="73"/>
    <w:bookmarkStart w:id="81" w:name="Xcdd5706dee64f14e452cd2675845a66f2af0797"/>
    <w:p>
      <w:pPr>
        <w:pStyle w:val="Heading2"/>
      </w:pPr>
      <w:r>
        <w:rPr>
          <w:lang w:val="es-ES"/>
        </w:rPr>
        <w:t xml:space="preserve">V.12 Síntesis comparativa de la estructura empresarial</w:t>
      </w:r>
    </w:p>
    <w:p>
      <w:pPr>
        <w:pStyle w:val="FirstParagraph"/>
      </w:pPr>
      <w:r>
        <w:rPr>
          <w:lang w:val="es-ES"/>
        </w:rPr>
        <w:t xml:space="preserve">La síntesis cuantitativa de la estructura extractiva es el índice HHI por mineral, cuya definición y cautelas de comparabilidad se exponen en el Capítulo III (III.4). La Ilustración Ilustración V.1 ordena los diez mercados por su concentración reciente y la Ilustración Ilustración V.2 muestra su evolución; el Cuadro Cuadro V.1 reúne los valores.</w:t>
      </w:r>
    </w:p>
    <w:p>
      <w:pPr>
        <w:pStyle w:val="CaptionedFigure"/>
      </w:pPr>
      <w:r>
        <w:drawing>
          <wp:inline>
            <wp:extent cx="5212080" cy="2635321"/>
            <wp:effectExtent b="0" l="0" r="0" t="0"/>
            <wp:docPr descr="Ilustración V.1. Índice HHI de la producción por mineral (año más reciente con dato). En rojo, concentración alta (HHI ≥ 2 500); en azul, moderada; en gris, baja. Fuente: cálculo propio, base B5 (CAMIMEX y USGS)." title="" id="75" name="Picture"/>
            <a:graphic>
              <a:graphicData uri="http://schemas.openxmlformats.org/drawingml/2006/picture">
                <pic:pic>
                  <pic:nvPicPr>
                    <pic:cNvPr descr="figuras/v1_hhi_mineral.png" id="76" name="Picture"/>
                    <pic:cNvPicPr>
                      <a:picLocks noChangeArrowheads="1" noChangeAspect="1"/>
                    </pic:cNvPicPr>
                  </pic:nvPicPr>
                  <pic:blipFill>
                    <a:blip r:embed="rId74"/>
                    <a:stretch>
                      <a:fillRect/>
                    </a:stretch>
                  </pic:blipFill>
                  <pic:spPr bwMode="auto">
                    <a:xfrm>
                      <a:off x="0" y="0"/>
                      <a:ext cx="5212080" cy="2635321"/>
                    </a:xfrm>
                    <a:prstGeom prst="rect">
                      <a:avLst/>
                    </a:prstGeom>
                    <a:noFill/>
                    <a:ln w="9525">
                      <a:noFill/>
                      <a:headEnd/>
                      <a:tailEnd/>
                    </a:ln>
                  </pic:spPr>
                </pic:pic>
              </a:graphicData>
            </a:graphic>
          </wp:inline>
        </w:drawing>
      </w:r>
    </w:p>
    <w:p>
      <w:pPr>
        <w:pStyle w:val="ImageCaption"/>
      </w:pPr>
      <w:r>
        <w:rPr>
          <w:b/>
          <w:bCs/>
          <w:lang w:val="es-ES"/>
        </w:rPr>
        <w:t xml:space="preserve">Ilustración V.1.</w:t>
      </w:r>
      <w:r>
        <w:rPr>
          <w:lang w:val="es-ES"/>
        </w:rPr>
        <w:t xml:space="preserve"> </w:t>
      </w:r>
      <w:r>
        <w:rPr>
          <w:lang w:val="es-ES"/>
        </w:rPr>
        <w:t xml:space="preserve">Índice HHI de la producción por mineral (año más reciente con dato). En rojo, concentración alta (HHI ≥ 2 500); en azul, moderada; en gris, baja. Fuente: cálculo propio, base B5 (CAMIMEX y USGS).</w:t>
      </w:r>
    </w:p>
    <w:p>
      <w:pPr>
        <w:pStyle w:val="CaptionedFigure"/>
      </w:pPr>
      <w:r>
        <w:drawing>
          <wp:inline>
            <wp:extent cx="5501640" cy="2509520"/>
            <wp:effectExtent b="0" l="0" r="0" t="0"/>
            <wp:docPr descr="Ilustración V.2. Evolución del índice HHI de minerales seleccionados, 2004-2024. El tramo 2004-2020 es aproximado (por régimen); 2021-2024, por mina. Fuente: cálculo propio, base B5." title="" id="78" name="Picture"/>
            <a:graphic>
              <a:graphicData uri="http://schemas.openxmlformats.org/drawingml/2006/picture">
                <pic:pic>
                  <pic:nvPicPr>
                    <pic:cNvPr descr="figuras/v2_hhi_evolucion.png" id="79" name="Picture"/>
                    <pic:cNvPicPr>
                      <a:picLocks noChangeArrowheads="1" noChangeAspect="1"/>
                    </pic:cNvPicPr>
                  </pic:nvPicPr>
                  <pic:blipFill>
                    <a:blip r:embed="rId77"/>
                    <a:stretch>
                      <a:fillRect/>
                    </a:stretch>
                  </pic:blipFill>
                  <pic:spPr bwMode="auto">
                    <a:xfrm>
                      <a:off x="0" y="0"/>
                      <a:ext cx="5501640" cy="2509520"/>
                    </a:xfrm>
                    <a:prstGeom prst="rect">
                      <a:avLst/>
                    </a:prstGeom>
                    <a:noFill/>
                    <a:ln w="9525">
                      <a:noFill/>
                      <a:headEnd/>
                      <a:tailEnd/>
                    </a:ln>
                  </pic:spPr>
                </pic:pic>
              </a:graphicData>
            </a:graphic>
          </wp:inline>
        </w:drawing>
      </w:r>
    </w:p>
    <w:p>
      <w:pPr>
        <w:pStyle w:val="ImageCaption"/>
      </w:pPr>
      <w:r>
        <w:rPr>
          <w:b/>
          <w:bCs/>
          <w:lang w:val="es-ES"/>
        </w:rPr>
        <w:t xml:space="preserve">Ilustración V.2.</w:t>
      </w:r>
      <w:r>
        <w:rPr>
          <w:lang w:val="es-ES"/>
        </w:rPr>
        <w:t xml:space="preserve"> </w:t>
      </w:r>
      <w:r>
        <w:rPr>
          <w:lang w:val="es-ES"/>
        </w:rPr>
        <w:t xml:space="preserve">Evolución del índice HHI de minerales seleccionados, 2004-2024. El tramo 2004-2020 es aproximado (por régimen); 2021-2024, por mina. Fuente: cálculo propio, base B5.</w:t>
      </w:r>
    </w:p>
    <w:p>
      <w:pPr>
        <w:pStyle w:val="TableCaption"/>
      </w:pPr>
      <w:r>
        <w:rPr>
          <w:b/>
          <w:bCs/>
          <w:lang w:val="es-ES"/>
        </w:rPr>
        <w:t xml:space="preserve">Cuadro V.1.</w:t>
      </w:r>
      <w:r>
        <w:rPr>
          <w:lang w:val="es-ES"/>
        </w:rPr>
        <w:t xml:space="preserve"> </w:t>
      </w:r>
      <w:r>
        <w:rPr>
          <w:lang w:val="es-ES"/>
        </w:rPr>
        <w:t xml:space="preserve">Índice HHI de la producción por mineral, años seleccionados. El valor 2004-2020 es aproximado (reconstruido por régimen de mercado; cota inferior) y no es estrictamente comparable en nivel con 2021-2024 (por mina). * = dato del año previo más cercano. Fuente: cálculo propio con base B5 (CAMIMEX y USGS).</w:t>
      </w:r>
    </w:p>
    <w:tbl>
      <w:tblPr>
        <w:tblStyle w:val="Table"/>
        <w:tblW w:type="pct" w:w="5000"/>
        <w:tblLayout w:type="fixed"/>
        <w:tblLook w:firstRow="1" w:lastRow="0" w:firstColumn="0" w:lastColumn="0" w:noHBand="0" w:noVBand="0" w:val="0020"/>
        <w:tblCaption w:val="Cuadro V.1. Índice HHI de la producción por mineral, años seleccionados. El valor 2004-2020 es aproximado (reconstruido por régimen de mercado; cota inferior) y no es estrictamente comparable en nivel con 2021-2024 (por mina). * = dato del año previo más cercano. Fuente: cálculo propio con base B5 (CAMIMEX y USGS)."/>
      </w:tblPr>
      <w:tblGrid>
        <w:gridCol w:w="1080"/>
        <w:gridCol w:w="1440"/>
        <w:gridCol w:w="1440"/>
        <w:gridCol w:w="1440"/>
        <w:gridCol w:w="1440"/>
        <w:gridCol w:w="1080"/>
      </w:tblGrid>
      <w:tr>
        <w:trPr>
          <w:tblHeader w:val="on"/>
        </w:trPr>
        <w:tc>
          <w:tcPr/>
          <w:p>
            <w:pPr>
              <w:pStyle w:val="Compact"/>
            </w:pPr>
            <w:r>
              <w:rPr>
                <w:lang w:val="es-ES"/>
              </w:rPr>
              <w:t xml:space="preserve">Mineral</w:t>
            </w:r>
          </w:p>
        </w:tc>
        <w:tc>
          <w:tcPr/>
          <w:p>
            <w:pPr>
              <w:pStyle w:val="Compact"/>
              <w:jc w:val="right"/>
            </w:pPr>
            <w:r>
              <w:rPr>
                <w:lang w:val="es-ES"/>
              </w:rPr>
              <w:t xml:space="preserve">2004</w:t>
            </w:r>
          </w:p>
        </w:tc>
        <w:tc>
          <w:tcPr/>
          <w:p>
            <w:pPr>
              <w:pStyle w:val="Compact"/>
              <w:jc w:val="right"/>
            </w:pPr>
            <w:r>
              <w:rPr>
                <w:lang w:val="es-ES"/>
              </w:rPr>
              <w:t xml:space="preserve">2012</w:t>
            </w:r>
          </w:p>
        </w:tc>
        <w:tc>
          <w:tcPr/>
          <w:p>
            <w:pPr>
              <w:pStyle w:val="Compact"/>
              <w:jc w:val="right"/>
            </w:pPr>
            <w:r>
              <w:rPr>
                <w:lang w:val="es-ES"/>
              </w:rPr>
              <w:t xml:space="preserve">2018</w:t>
            </w:r>
          </w:p>
        </w:tc>
        <w:tc>
          <w:tcPr/>
          <w:p>
            <w:pPr>
              <w:pStyle w:val="Compact"/>
              <w:jc w:val="right"/>
            </w:pPr>
            <w:r>
              <w:rPr>
                <w:lang w:val="es-ES"/>
              </w:rPr>
              <w:t xml:space="preserve">Reciente</w:t>
            </w:r>
          </w:p>
        </w:tc>
        <w:tc>
          <w:tcPr/>
          <w:p>
            <w:pPr>
              <w:pStyle w:val="Compact"/>
            </w:pPr>
            <w:r>
              <w:rPr>
                <w:lang w:val="es-ES"/>
              </w:rPr>
              <w:t xml:space="preserve">Líder</w:t>
            </w:r>
          </w:p>
        </w:tc>
      </w:tr>
      <w:tr>
        <w:tc>
          <w:tcPr/>
          <w:p>
            <w:pPr>
              <w:pStyle w:val="Compact"/>
            </w:pPr>
            <w:r>
              <w:rPr>
                <w:lang w:val="es-ES"/>
              </w:rPr>
              <w:t xml:space="preserve">Manganeso</w:t>
            </w:r>
          </w:p>
        </w:tc>
        <w:tc>
          <w:tcPr/>
          <w:p>
            <w:pPr>
              <w:pStyle w:val="Compact"/>
              <w:jc w:val="right"/>
            </w:pPr>
            <w:r>
              <w:rPr>
                <w:lang w:val="es-ES"/>
              </w:rPr>
              <w:t xml:space="preserve">10000</w:t>
            </w:r>
          </w:p>
        </w:tc>
        <w:tc>
          <w:tcPr/>
          <w:p>
            <w:pPr>
              <w:pStyle w:val="Compact"/>
              <w:jc w:val="right"/>
            </w:pPr>
            <w:r>
              <w:rPr>
                <w:lang w:val="es-ES"/>
              </w:rPr>
              <w:t xml:space="preserve">10000</w:t>
            </w:r>
          </w:p>
        </w:tc>
        <w:tc>
          <w:tcPr/>
          <w:p>
            <w:pPr>
              <w:pStyle w:val="Compact"/>
              <w:jc w:val="right"/>
            </w:pPr>
            <w:r>
              <w:rPr>
                <w:lang w:val="es-ES"/>
              </w:rPr>
              <w:t xml:space="preserve">10000</w:t>
            </w:r>
          </w:p>
        </w:tc>
        <w:tc>
          <w:tcPr/>
          <w:p>
            <w:pPr>
              <w:pStyle w:val="Compact"/>
              <w:jc w:val="right"/>
            </w:pPr>
            <w:r>
              <w:rPr>
                <w:lang w:val="es-ES"/>
              </w:rPr>
              <w:t xml:space="preserve">10000 (2024)</w:t>
            </w:r>
          </w:p>
        </w:tc>
        <w:tc>
          <w:tcPr/>
          <w:p>
            <w:pPr>
              <w:pStyle w:val="Compact"/>
            </w:pPr>
            <w:r>
              <w:rPr>
                <w:lang w:val="es-ES"/>
              </w:rPr>
              <w:t xml:space="preserve">Cia. Minera Autlan 100%</w:t>
            </w:r>
          </w:p>
        </w:tc>
      </w:tr>
      <w:tr>
        <w:tc>
          <w:tcPr/>
          <w:p>
            <w:pPr>
              <w:pStyle w:val="Compact"/>
            </w:pPr>
            <w:r>
              <w:rPr>
                <w:lang w:val="es-ES"/>
              </w:rPr>
              <w:t xml:space="preserve">Fluorita</w:t>
            </w:r>
          </w:p>
        </w:tc>
        <w:tc>
          <w:tcPr/>
          <w:p>
            <w:pPr>
              <w:pStyle w:val="Compact"/>
              <w:jc w:val="right"/>
            </w:pPr>
            <w:r>
              <w:rPr>
                <w:lang w:val="es-ES"/>
              </w:rPr>
              <w:t xml:space="preserve">6001</w:t>
            </w:r>
          </w:p>
        </w:tc>
        <w:tc>
          <w:tcPr/>
          <w:p>
            <w:pPr>
              <w:pStyle w:val="Compact"/>
              <w:jc w:val="right"/>
            </w:pPr>
            <w:r>
              <w:rPr>
                <w:lang w:val="es-ES"/>
              </w:rPr>
              <w:t xml:space="preserve">10000</w:t>
            </w:r>
          </w:p>
        </w:tc>
        <w:tc>
          <w:tcPr/>
          <w:p>
            <w:pPr>
              <w:pStyle w:val="Compact"/>
              <w:jc w:val="right"/>
            </w:pPr>
            <w:r>
              <w:rPr>
                <w:lang w:val="es-ES"/>
              </w:rPr>
              <w:t xml:space="preserve">10000</w:t>
            </w:r>
          </w:p>
        </w:tc>
        <w:tc>
          <w:tcPr/>
          <w:p>
            <w:pPr>
              <w:pStyle w:val="Compact"/>
              <w:jc w:val="right"/>
            </w:pPr>
            <w:r>
              <w:rPr>
                <w:lang w:val="es-ES"/>
              </w:rPr>
              <w:t xml:space="preserve">10000 (2024)</w:t>
            </w:r>
          </w:p>
        </w:tc>
        <w:tc>
          <w:tcPr/>
          <w:p>
            <w:pPr>
              <w:pStyle w:val="Compact"/>
            </w:pPr>
            <w:r>
              <w:rPr>
                <w:lang w:val="es-ES"/>
              </w:rPr>
              <w:t xml:space="preserve">Koura/Orbia 100%</w:t>
            </w:r>
          </w:p>
        </w:tc>
      </w:tr>
      <w:tr>
        <w:tc>
          <w:tcPr/>
          <w:p>
            <w:pPr>
              <w:pStyle w:val="Compact"/>
            </w:pPr>
            <w:r>
              <w:rPr>
                <w:lang w:val="es-ES"/>
              </w:rPr>
              <w:t xml:space="preserve">Grafito</w:t>
            </w:r>
          </w:p>
        </w:tc>
        <w:tc>
          <w:tcPr/>
          <w:p>
            <w:pPr>
              <w:pStyle w:val="Compact"/>
              <w:jc w:val="right"/>
            </w:pPr>
            <w:r>
              <w:rPr>
                <w:lang w:val="es-ES"/>
              </w:rPr>
              <w:t xml:space="preserve">5848</w:t>
            </w:r>
          </w:p>
        </w:tc>
        <w:tc>
          <w:tcPr/>
          <w:p>
            <w:pPr>
              <w:pStyle w:val="Compact"/>
              <w:jc w:val="right"/>
            </w:pPr>
            <w:r>
              <w:rPr>
                <w:lang w:val="es-ES"/>
              </w:rPr>
              <w:t xml:space="preserve">5848</w:t>
            </w:r>
          </w:p>
        </w:tc>
        <w:tc>
          <w:tcPr/>
          <w:p>
            <w:pPr>
              <w:pStyle w:val="Compact"/>
              <w:jc w:val="right"/>
            </w:pPr>
            <w:r>
              <w:rPr>
                <w:lang w:val="es-ES"/>
              </w:rPr>
              <w:t xml:space="preserve">10000</w:t>
            </w:r>
          </w:p>
        </w:tc>
        <w:tc>
          <w:tcPr/>
          <w:p>
            <w:pPr>
              <w:pStyle w:val="Compact"/>
              <w:jc w:val="right"/>
            </w:pPr>
            <w:r>
              <w:rPr>
                <w:lang w:val="es-ES"/>
              </w:rPr>
              <w:t xml:space="preserve">10000 (2023)</w:t>
            </w:r>
          </w:p>
        </w:tc>
        <w:tc>
          <w:tcPr/>
          <w:p>
            <w:pPr>
              <w:pStyle w:val="Compact"/>
            </w:pPr>
            <w:r>
              <w:rPr>
                <w:lang w:val="es-ES"/>
              </w:rPr>
              <w:t xml:space="preserve">Grafitos Mexicanos 100%</w:t>
            </w:r>
          </w:p>
        </w:tc>
      </w:tr>
      <w:tr>
        <w:tc>
          <w:tcPr/>
          <w:p>
            <w:pPr>
              <w:pStyle w:val="Compact"/>
            </w:pPr>
            <w:r>
              <w:rPr>
                <w:lang w:val="es-ES"/>
              </w:rPr>
              <w:t xml:space="preserve">Sílice</w:t>
            </w:r>
          </w:p>
        </w:tc>
        <w:tc>
          <w:tcPr/>
          <w:p>
            <w:pPr>
              <w:pStyle w:val="Compact"/>
              <w:jc w:val="right"/>
            </w:pPr>
            <w:r>
              <w:rPr>
                <w:lang w:val="es-ES"/>
              </w:rPr>
              <w:t xml:space="preserve">·</w:t>
            </w:r>
          </w:p>
        </w:tc>
        <w:tc>
          <w:tcPr/>
          <w:p>
            <w:pPr>
              <w:pStyle w:val="Compact"/>
              <w:jc w:val="right"/>
            </w:pPr>
            <w:r>
              <w:rPr>
                <w:lang w:val="es-ES"/>
              </w:rPr>
              <w:t xml:space="preserve">2884</w:t>
            </w:r>
          </w:p>
        </w:tc>
        <w:tc>
          <w:tcPr/>
          <w:p>
            <w:pPr>
              <w:pStyle w:val="Compact"/>
              <w:jc w:val="right"/>
            </w:pPr>
            <w:r>
              <w:rPr>
                <w:lang w:val="es-ES"/>
              </w:rPr>
              <w:t xml:space="preserve">10000</w:t>
            </w:r>
          </w:p>
        </w:tc>
        <w:tc>
          <w:tcPr/>
          <w:p>
            <w:pPr>
              <w:pStyle w:val="Compact"/>
              <w:jc w:val="right"/>
            </w:pPr>
            <w:r>
              <w:rPr>
                <w:lang w:val="es-ES"/>
              </w:rPr>
              <w:t xml:space="preserve">6670 (2023)</w:t>
            </w:r>
          </w:p>
        </w:tc>
        <w:tc>
          <w:tcPr/>
          <w:p>
            <w:pPr>
              <w:pStyle w:val="Compact"/>
            </w:pPr>
            <w:r>
              <w:rPr>
                <w:lang w:val="es-ES"/>
              </w:rPr>
              <w:t xml:space="preserve">Grupo Materias Primas (Covia) 82%</w:t>
            </w:r>
          </w:p>
        </w:tc>
      </w:tr>
      <w:tr>
        <w:tc>
          <w:tcPr/>
          <w:p>
            <w:pPr>
              <w:pStyle w:val="Compact"/>
            </w:pPr>
            <w:r>
              <w:rPr>
                <w:lang w:val="es-ES"/>
              </w:rPr>
              <w:t xml:space="preserve">Barita</w:t>
            </w:r>
          </w:p>
        </w:tc>
        <w:tc>
          <w:tcPr/>
          <w:p>
            <w:pPr>
              <w:pStyle w:val="Compact"/>
              <w:jc w:val="right"/>
            </w:pPr>
            <w:r>
              <w:rPr>
                <w:lang w:val="es-ES"/>
              </w:rPr>
              <w:t xml:space="preserve">3069</w:t>
            </w:r>
          </w:p>
        </w:tc>
        <w:tc>
          <w:tcPr/>
          <w:p>
            <w:pPr>
              <w:pStyle w:val="Compact"/>
              <w:jc w:val="right"/>
            </w:pPr>
            <w:r>
              <w:rPr>
                <w:lang w:val="es-ES"/>
              </w:rPr>
              <w:t xml:space="preserve">10000</w:t>
            </w:r>
          </w:p>
        </w:tc>
        <w:tc>
          <w:tcPr/>
          <w:p>
            <w:pPr>
              <w:pStyle w:val="Compact"/>
              <w:jc w:val="right"/>
            </w:pPr>
            <w:r>
              <w:rPr>
                <w:lang w:val="es-ES"/>
              </w:rPr>
              <w:t xml:space="preserve">6400</w:t>
            </w:r>
          </w:p>
        </w:tc>
        <w:tc>
          <w:tcPr/>
          <w:p>
            <w:pPr>
              <w:pStyle w:val="Compact"/>
              <w:jc w:val="right"/>
            </w:pPr>
            <w:r>
              <w:rPr>
                <w:lang w:val="es-ES"/>
              </w:rPr>
              <w:t xml:space="preserve">605 (2024)</w:t>
            </w:r>
          </w:p>
        </w:tc>
        <w:tc>
          <w:tcPr/>
          <w:p>
            <w:pPr>
              <w:pStyle w:val="Compact"/>
            </w:pPr>
            <w:r>
              <w:rPr>
                <w:lang w:val="es-ES"/>
              </w:rPr>
              <w:t xml:space="preserve">Baramin 25%</w:t>
            </w:r>
          </w:p>
        </w:tc>
      </w:tr>
      <w:tr>
        <w:tc>
          <w:tcPr/>
          <w:p>
            <w:pPr>
              <w:pStyle w:val="Compact"/>
            </w:pPr>
            <w:r>
              <w:rPr>
                <w:lang w:val="es-ES"/>
              </w:rPr>
              <w:t xml:space="preserve">Cobre</w:t>
            </w:r>
          </w:p>
        </w:tc>
        <w:tc>
          <w:tcPr/>
          <w:p>
            <w:pPr>
              <w:pStyle w:val="Compact"/>
              <w:jc w:val="right"/>
            </w:pPr>
            <w:r>
              <w:rPr>
                <w:lang w:val="es-ES"/>
              </w:rPr>
              <w:t xml:space="preserve">6400*</w:t>
            </w:r>
          </w:p>
        </w:tc>
        <w:tc>
          <w:tcPr/>
          <w:p>
            <w:pPr>
              <w:pStyle w:val="Compact"/>
              <w:jc w:val="right"/>
            </w:pPr>
            <w:r>
              <w:rPr>
                <w:lang w:val="es-ES"/>
              </w:rPr>
              <w:t xml:space="preserve">4356*</w:t>
            </w:r>
          </w:p>
        </w:tc>
        <w:tc>
          <w:tcPr/>
          <w:p>
            <w:pPr>
              <w:pStyle w:val="Compact"/>
              <w:jc w:val="right"/>
            </w:pPr>
            <w:r>
              <w:rPr>
                <w:lang w:val="es-ES"/>
              </w:rPr>
              <w:t xml:space="preserve">5417</w:t>
            </w:r>
          </w:p>
        </w:tc>
        <w:tc>
          <w:tcPr/>
          <w:p>
            <w:pPr>
              <w:pStyle w:val="Compact"/>
              <w:jc w:val="right"/>
            </w:pPr>
            <w:r>
              <w:rPr>
                <w:lang w:val="es-ES"/>
              </w:rPr>
              <w:t xml:space="preserve">3557 (2024)</w:t>
            </w:r>
          </w:p>
        </w:tc>
        <w:tc>
          <w:tcPr/>
          <w:p>
            <w:pPr>
              <w:pStyle w:val="Compact"/>
            </w:pPr>
            <w:r>
              <w:rPr>
                <w:lang w:val="es-ES"/>
              </w:rPr>
              <w:t xml:space="preserve">Grupo Mexico 59%</w:t>
            </w:r>
          </w:p>
        </w:tc>
      </w:tr>
      <w:tr>
        <w:tc>
          <w:tcPr/>
          <w:p>
            <w:pPr>
              <w:pStyle w:val="Compact"/>
            </w:pPr>
            <w:r>
              <w:rPr>
                <w:lang w:val="es-ES"/>
              </w:rPr>
              <w:t xml:space="preserve">Plomo</w:t>
            </w:r>
          </w:p>
        </w:tc>
        <w:tc>
          <w:tcPr/>
          <w:p>
            <w:pPr>
              <w:pStyle w:val="Compact"/>
              <w:jc w:val="right"/>
            </w:pPr>
            <w:r>
              <w:rPr>
                <w:lang w:val="es-ES"/>
              </w:rPr>
              <w:t xml:space="preserve">·</w:t>
            </w:r>
          </w:p>
        </w:tc>
        <w:tc>
          <w:tcPr/>
          <w:p>
            <w:pPr>
              <w:pStyle w:val="Compact"/>
              <w:jc w:val="right"/>
            </w:pPr>
            <w:r>
              <w:rPr>
                <w:lang w:val="es-ES"/>
              </w:rPr>
              <w:t xml:space="preserve">858</w:t>
            </w:r>
          </w:p>
        </w:tc>
        <w:tc>
          <w:tcPr/>
          <w:p>
            <w:pPr>
              <w:pStyle w:val="Compact"/>
              <w:jc w:val="right"/>
            </w:pPr>
            <w:r>
              <w:rPr>
                <w:lang w:val="es-ES"/>
              </w:rPr>
              <w:t xml:space="preserve">441*</w:t>
            </w:r>
          </w:p>
        </w:tc>
        <w:tc>
          <w:tcPr/>
          <w:p>
            <w:pPr>
              <w:pStyle w:val="Compact"/>
              <w:jc w:val="right"/>
            </w:pPr>
            <w:r>
              <w:rPr>
                <w:lang w:val="es-ES"/>
              </w:rPr>
              <w:t xml:space="preserve">2465 (2024)</w:t>
            </w:r>
          </w:p>
        </w:tc>
        <w:tc>
          <w:tcPr/>
          <w:p>
            <w:pPr>
              <w:pStyle w:val="Compact"/>
            </w:pPr>
            <w:r>
              <w:rPr>
                <w:lang w:val="es-ES"/>
              </w:rPr>
              <w:t xml:space="preserve">Newmont 41%</w:t>
            </w:r>
          </w:p>
        </w:tc>
      </w:tr>
      <w:tr>
        <w:tc>
          <w:tcPr/>
          <w:p>
            <w:pPr>
              <w:pStyle w:val="Compact"/>
            </w:pPr>
            <w:r>
              <w:rPr>
                <w:lang w:val="es-ES"/>
              </w:rPr>
              <w:t xml:space="preserve">Oro</w:t>
            </w:r>
          </w:p>
        </w:tc>
        <w:tc>
          <w:tcPr/>
          <w:p>
            <w:pPr>
              <w:pStyle w:val="Compact"/>
              <w:jc w:val="right"/>
            </w:pPr>
            <w:r>
              <w:rPr>
                <w:lang w:val="es-ES"/>
              </w:rPr>
              <w:t xml:space="preserve">2043</w:t>
            </w:r>
          </w:p>
        </w:tc>
        <w:tc>
          <w:tcPr/>
          <w:p>
            <w:pPr>
              <w:pStyle w:val="Compact"/>
              <w:jc w:val="right"/>
            </w:pPr>
            <w:r>
              <w:rPr>
                <w:lang w:val="es-ES"/>
              </w:rPr>
              <w:t xml:space="preserve">676</w:t>
            </w:r>
          </w:p>
        </w:tc>
        <w:tc>
          <w:tcPr/>
          <w:p>
            <w:pPr>
              <w:pStyle w:val="Compact"/>
              <w:jc w:val="right"/>
            </w:pPr>
            <w:r>
              <w:rPr>
                <w:lang w:val="es-ES"/>
              </w:rPr>
              <w:t xml:space="preserve">676*</w:t>
            </w:r>
          </w:p>
        </w:tc>
        <w:tc>
          <w:tcPr/>
          <w:p>
            <w:pPr>
              <w:pStyle w:val="Compact"/>
              <w:jc w:val="right"/>
            </w:pPr>
            <w:r>
              <w:rPr>
                <w:lang w:val="es-ES"/>
              </w:rPr>
              <w:t xml:space="preserve">429 (2024)</w:t>
            </w:r>
          </w:p>
        </w:tc>
        <w:tc>
          <w:tcPr/>
          <w:p>
            <w:pPr>
              <w:pStyle w:val="Compact"/>
            </w:pPr>
            <w:r>
              <w:rPr>
                <w:lang w:val="es-ES"/>
              </w:rPr>
              <w:t xml:space="preserve">Torex Gold 12%</w:t>
            </w:r>
          </w:p>
        </w:tc>
      </w:tr>
      <w:tr>
        <w:tc>
          <w:tcPr/>
          <w:p>
            <w:pPr>
              <w:pStyle w:val="Compact"/>
            </w:pPr>
            <w:r>
              <w:rPr>
                <w:lang w:val="es-ES"/>
              </w:rPr>
              <w:t xml:space="preserve">Zinc</w:t>
            </w:r>
          </w:p>
        </w:tc>
        <w:tc>
          <w:tcPr/>
          <w:p>
            <w:pPr>
              <w:pStyle w:val="Compact"/>
              <w:jc w:val="right"/>
            </w:pPr>
            <w:r>
              <w:rPr>
                <w:lang w:val="es-ES"/>
              </w:rPr>
              <w:t xml:space="preserve">·</w:t>
            </w:r>
          </w:p>
        </w:tc>
        <w:tc>
          <w:tcPr/>
          <w:p>
            <w:pPr>
              <w:pStyle w:val="Compact"/>
              <w:jc w:val="right"/>
            </w:pPr>
            <w:r>
              <w:rPr>
                <w:lang w:val="es-ES"/>
              </w:rPr>
              <w:t xml:space="preserve">566</w:t>
            </w:r>
          </w:p>
        </w:tc>
        <w:tc>
          <w:tcPr/>
          <w:p>
            <w:pPr>
              <w:pStyle w:val="Compact"/>
              <w:jc w:val="right"/>
            </w:pPr>
            <w:r>
              <w:rPr>
                <w:lang w:val="es-ES"/>
              </w:rPr>
              <w:t xml:space="preserve">1024*</w:t>
            </w:r>
          </w:p>
        </w:tc>
        <w:tc>
          <w:tcPr/>
          <w:p>
            <w:pPr>
              <w:pStyle w:val="Compact"/>
              <w:jc w:val="right"/>
            </w:pPr>
            <w:r>
              <w:rPr>
                <w:lang w:val="es-ES"/>
              </w:rPr>
              <w:t xml:space="preserve">1683 (2024)</w:t>
            </w:r>
          </w:p>
        </w:tc>
        <w:tc>
          <w:tcPr/>
          <w:p>
            <w:pPr>
              <w:pStyle w:val="Compact"/>
            </w:pPr>
            <w:r>
              <w:rPr>
                <w:lang w:val="es-ES"/>
              </w:rPr>
              <w:t xml:space="preserve">Newmont 33%</w:t>
            </w:r>
          </w:p>
        </w:tc>
      </w:tr>
      <w:tr>
        <w:tc>
          <w:tcPr/>
          <w:p>
            <w:pPr>
              <w:pStyle w:val="Compact"/>
            </w:pPr>
            <w:r>
              <w:rPr>
                <w:lang w:val="es-ES"/>
              </w:rPr>
              <w:t xml:space="preserve">Plata</w:t>
            </w:r>
          </w:p>
        </w:tc>
        <w:tc>
          <w:tcPr/>
          <w:p>
            <w:pPr>
              <w:pStyle w:val="Compact"/>
              <w:jc w:val="right"/>
            </w:pPr>
            <w:r>
              <w:rPr>
                <w:lang w:val="es-ES"/>
              </w:rPr>
              <w:t xml:space="preserve">·</w:t>
            </w:r>
          </w:p>
        </w:tc>
        <w:tc>
          <w:tcPr/>
          <w:p>
            <w:pPr>
              <w:pStyle w:val="Compact"/>
              <w:jc w:val="right"/>
            </w:pPr>
            <w:r>
              <w:rPr>
                <w:lang w:val="es-ES"/>
              </w:rPr>
              <w:t xml:space="preserve">562</w:t>
            </w:r>
          </w:p>
        </w:tc>
        <w:tc>
          <w:tcPr/>
          <w:p>
            <w:pPr>
              <w:pStyle w:val="Compact"/>
              <w:jc w:val="right"/>
            </w:pPr>
            <w:r>
              <w:rPr>
                <w:lang w:val="es-ES"/>
              </w:rPr>
              <w:t xml:space="preserve">1109</w:t>
            </w:r>
          </w:p>
        </w:tc>
        <w:tc>
          <w:tcPr/>
          <w:p>
            <w:pPr>
              <w:pStyle w:val="Compact"/>
              <w:jc w:val="right"/>
            </w:pPr>
            <w:r>
              <w:rPr>
                <w:lang w:val="es-ES"/>
              </w:rPr>
              <w:t xml:space="preserve">1147 (2024)</w:t>
            </w:r>
          </w:p>
        </w:tc>
        <w:tc>
          <w:tcPr/>
          <w:p>
            <w:pPr>
              <w:pStyle w:val="Compact"/>
            </w:pPr>
            <w:r>
              <w:rPr>
                <w:lang w:val="es-ES"/>
              </w:rPr>
              <w:t xml:space="preserve">Fresnillo plc 27%</w:t>
            </w:r>
          </w:p>
        </w:tc>
      </w:tr>
    </w:tbl>
    <w:p>
      <w:pPr>
        <w:pStyle w:val="BodyText"/>
      </w:pPr>
      <w:r>
        <w:rPr>
          <w:lang w:val="es-ES"/>
        </w:rPr>
        <w:t xml:space="preserve">Los diez análisis individuales de las secciones V.2 a V.11 permiten construir una síntesis comparativa que es el insumo directo de la caracterización de los mercados del Capítulo VIII: el HHI por mineral como descriptor de la estructura extractiva. La tabla siguiente ordena los diez minerales de mayor a menor concentración de mercado, combinando la evidencia de concentración empresarial en extracción y refinación con el hito corporativo más relevante del periodo 1993-2025.</w:t>
      </w:r>
    </w:p>
    <w:tbl>
      <w:tblPr>
        <w:tblStyle w:val="Table"/>
        <w:tblW w:type="pct" w:w="4965"/>
        <w:tblLayout w:type="fixed"/>
        <w:tblLook w:firstRow="1" w:lastRow="0" w:firstColumn="0" w:lastColumn="0" w:noHBand="0" w:noVBand="0" w:val="0020"/>
      </w:tblPr>
      <w:tblGrid>
        <w:gridCol w:w="383"/>
        <w:gridCol w:w="1562"/>
        <w:gridCol w:w="2055"/>
        <w:gridCol w:w="1534"/>
        <w:gridCol w:w="2329"/>
      </w:tblGrid>
      <w:tr>
        <w:trPr>
          <w:tblHeader w:val="on"/>
        </w:trPr>
        <w:tc>
          <w:tcPr/>
          <w:p>
            <w:pPr>
              <w:pStyle w:val="Compact"/>
              <w:jc w:val="left"/>
            </w:pPr>
            <w:r>
              <w:rPr>
                <w:b/>
                <w:bCs/>
                <w:lang w:val="es-ES"/>
              </w:rPr>
              <w:t xml:space="preserve">Mineral</w:t>
            </w:r>
          </w:p>
        </w:tc>
        <w:tc>
          <w:tcPr/>
          <w:p>
            <w:pPr>
              <w:pStyle w:val="Compact"/>
              <w:jc w:val="left"/>
            </w:pPr>
            <w:r>
              <w:rPr>
                <w:b/>
                <w:bCs/>
                <w:lang w:val="es-ES"/>
              </w:rPr>
              <w:t xml:space="preserve">Grado de concentración</w:t>
            </w:r>
          </w:p>
        </w:tc>
        <w:tc>
          <w:tcPr/>
          <w:p>
            <w:pPr>
              <w:pStyle w:val="Compact"/>
              <w:jc w:val="left"/>
            </w:pPr>
            <w:r>
              <w:rPr>
                <w:b/>
                <w:bCs/>
                <w:lang w:val="es-ES"/>
              </w:rPr>
              <w:t xml:space="preserve">Actor(es) dominante(s) y % de mercado</w:t>
            </w:r>
          </w:p>
        </w:tc>
        <w:tc>
          <w:tcPr/>
          <w:p>
            <w:pPr>
              <w:pStyle w:val="Compact"/>
              <w:jc w:val="left"/>
            </w:pPr>
            <w:r>
              <w:rPr>
                <w:b/>
                <w:bCs/>
                <w:lang w:val="es-ES"/>
              </w:rPr>
              <w:t xml:space="preserve">Destino mayoritario de la producción</w:t>
            </w:r>
          </w:p>
        </w:tc>
        <w:tc>
          <w:tcPr/>
          <w:p>
            <w:pPr>
              <w:pStyle w:val="Compact"/>
              <w:jc w:val="left"/>
            </w:pPr>
            <w:r>
              <w:rPr>
                <w:b/>
                <w:bCs/>
                <w:lang w:val="es-ES"/>
              </w:rPr>
              <w:t xml:space="preserve">Hito 1993-2025</w:t>
            </w:r>
          </w:p>
        </w:tc>
      </w:tr>
      <w:tr>
        <w:tc>
          <w:tcPr/>
          <w:p>
            <w:pPr>
              <w:pStyle w:val="Compact"/>
              <w:jc w:val="left"/>
            </w:pPr>
            <w:r>
              <w:rPr>
                <w:lang w:val="es-ES"/>
              </w:rPr>
              <w:t xml:space="preserve">Manganeso</w:t>
            </w:r>
          </w:p>
        </w:tc>
        <w:tc>
          <w:tcPr/>
          <w:p>
            <w:pPr>
              <w:pStyle w:val="Compact"/>
              <w:jc w:val="left"/>
            </w:pPr>
            <w:r>
              <w:rPr>
                <w:lang w:val="es-ES"/>
              </w:rPr>
              <w:t xml:space="preserve">Monopolio absoluto</w:t>
            </w:r>
          </w:p>
        </w:tc>
        <w:tc>
          <w:tcPr/>
          <w:p>
            <w:pPr>
              <w:pStyle w:val="Compact"/>
              <w:jc w:val="left"/>
            </w:pPr>
            <w:r>
              <w:rPr>
                <w:lang w:val="es-ES"/>
              </w:rPr>
              <w:t xml:space="preserve">Cía. Minera Autlán: 100% extracción y transformación</w:t>
            </w:r>
          </w:p>
        </w:tc>
        <w:tc>
          <w:tcPr/>
          <w:p>
            <w:pPr>
              <w:pStyle w:val="Compact"/>
              <w:jc w:val="left"/>
            </w:pPr>
            <w:r>
              <w:rPr>
                <w:lang w:val="es-ES"/>
              </w:rPr>
              <w:t xml:space="preserve">Interno (siderurgia)</w:t>
            </w:r>
          </w:p>
        </w:tc>
        <w:tc>
          <w:tcPr/>
          <w:p>
            <w:pPr>
              <w:pStyle w:val="Compact"/>
              <w:jc w:val="left"/>
            </w:pPr>
            <w:r>
              <w:rPr>
                <w:lang w:val="es-ES"/>
              </w:rPr>
              <w:t xml:space="preserve">Privatización 1993; sin entrada de competidores en 30 años</w:t>
            </w:r>
          </w:p>
        </w:tc>
      </w:tr>
      <w:tr>
        <w:tc>
          <w:tcPr/>
          <w:p>
            <w:pPr>
              <w:pStyle w:val="Compact"/>
              <w:jc w:val="left"/>
            </w:pPr>
            <w:r>
              <w:rPr>
                <w:lang w:val="es-ES"/>
              </w:rPr>
              <w:t xml:space="preserve">Fluorita</w:t>
            </w:r>
          </w:p>
        </w:tc>
        <w:tc>
          <w:tcPr/>
          <w:p>
            <w:pPr>
              <w:pStyle w:val="Compact"/>
              <w:jc w:val="left"/>
            </w:pPr>
            <w:r>
              <w:rPr>
                <w:lang w:val="es-ES"/>
              </w:rPr>
              <w:t xml:space="preserve">Duopolio hasta 2011; monopolio de grupo desde 2012</w:t>
            </w:r>
          </w:p>
        </w:tc>
        <w:tc>
          <w:tcPr/>
          <w:p>
            <w:pPr>
              <w:pStyle w:val="Compact"/>
              <w:jc w:val="left"/>
            </w:pPr>
            <w:r>
              <w:rPr>
                <w:lang w:val="es-ES"/>
              </w:rPr>
              <w:t xml:space="preserve">Orbia/Koura: 91-98% (vía Las Cuevas, SLP)</w:t>
            </w:r>
          </w:p>
        </w:tc>
        <w:tc>
          <w:tcPr/>
          <w:p>
            <w:pPr>
              <w:pStyle w:val="Compact"/>
              <w:jc w:val="left"/>
            </w:pPr>
            <w:r>
              <w:rPr>
                <w:lang w:val="es-ES"/>
              </w:rPr>
              <w:t xml:space="preserve">Exportación (EE.UU. 70%; UE 27%)</w:t>
            </w:r>
          </w:p>
        </w:tc>
        <w:tc>
          <w:tcPr/>
          <w:p>
            <w:pPr>
              <w:pStyle w:val="Compact"/>
              <w:jc w:val="left"/>
            </w:pPr>
            <w:r>
              <w:rPr>
                <w:lang w:val="es-ES"/>
              </w:rPr>
              <w:t xml:space="preserve">Adquisición de Fluorita de México (ene-2012); marca Mexichem→Orbia/Koura (2019-20)</w:t>
            </w:r>
          </w:p>
        </w:tc>
      </w:tr>
      <w:tr>
        <w:tc>
          <w:tcPr/>
          <w:p>
            <w:pPr>
              <w:pStyle w:val="Compact"/>
              <w:jc w:val="left"/>
            </w:pPr>
            <w:r>
              <w:rPr>
                <w:lang w:val="es-ES"/>
              </w:rPr>
              <w:t xml:space="preserve">Cobre</w:t>
            </w:r>
          </w:p>
        </w:tc>
        <w:tc>
          <w:tcPr/>
          <w:p>
            <w:pPr>
              <w:pStyle w:val="Compact"/>
              <w:jc w:val="left"/>
            </w:pPr>
            <w:r>
              <w:rPr>
                <w:lang w:val="es-ES"/>
              </w:rPr>
              <w:t xml:space="preserve">Cuasi-monopolio</w:t>
            </w:r>
          </w:p>
        </w:tc>
        <w:tc>
          <w:tcPr/>
          <w:p>
            <w:pPr>
              <w:pStyle w:val="Compact"/>
              <w:jc w:val="left"/>
            </w:pPr>
            <w:r>
              <w:rPr>
                <w:lang w:val="es-ES"/>
              </w:rPr>
              <w:t xml:space="preserve">Grupo México: 78% extracción (2024); 100% refinación (de facto)</w:t>
            </w:r>
          </w:p>
        </w:tc>
        <w:tc>
          <w:tcPr/>
          <w:p>
            <w:pPr>
              <w:pStyle w:val="Compact"/>
              <w:jc w:val="left"/>
            </w:pPr>
            <w:r>
              <w:rPr>
                <w:lang w:val="es-ES"/>
              </w:rPr>
              <w:t xml:space="preserve">Exportación (China 37%)</w:t>
            </w:r>
          </w:p>
        </w:tc>
        <w:tc>
          <w:tcPr/>
          <w:p>
            <w:pPr>
              <w:pStyle w:val="Compact"/>
              <w:jc w:val="left"/>
            </w:pPr>
            <w:r>
              <w:rPr>
                <w:lang w:val="es-ES"/>
              </w:rPr>
              <w:t xml:space="preserve">Compra de ASARCO y SPCC (2004)</w:t>
            </w:r>
          </w:p>
        </w:tc>
      </w:tr>
      <w:tr>
        <w:tc>
          <w:tcPr/>
          <w:p>
            <w:pPr>
              <w:pStyle w:val="Compact"/>
              <w:jc w:val="left"/>
            </w:pPr>
            <w:r>
              <w:rPr>
                <w:lang w:val="es-ES"/>
              </w:rPr>
              <w:t xml:space="preserve">Plomo</w:t>
            </w:r>
          </w:p>
        </w:tc>
        <w:tc>
          <w:tcPr/>
          <w:p>
            <w:pPr>
              <w:pStyle w:val="Compact"/>
              <w:jc w:val="left"/>
            </w:pPr>
            <w:r>
              <w:rPr>
                <w:lang w:val="es-ES"/>
              </w:rPr>
              <w:t xml:space="preserve">Monopolio refinación / oligopolio extracción</w:t>
            </w:r>
          </w:p>
        </w:tc>
        <w:tc>
          <w:tcPr/>
          <w:p>
            <w:pPr>
              <w:pStyle w:val="Compact"/>
              <w:jc w:val="left"/>
            </w:pPr>
            <w:r>
              <w:rPr>
                <w:lang w:val="es-ES"/>
              </w:rPr>
              <w:t xml:space="preserve">Peñoles: 100% refinación; Peñoles, Grupo México, Frisco en extracción</w:t>
            </w:r>
          </w:p>
        </w:tc>
        <w:tc>
          <w:tcPr/>
          <w:p>
            <w:pPr>
              <w:pStyle w:val="Compact"/>
              <w:jc w:val="left"/>
            </w:pPr>
            <w:r>
              <w:rPr>
                <w:lang w:val="es-ES"/>
              </w:rPr>
              <w:t xml:space="preserve">Interno (baterías de plomo-ácido)</w:t>
            </w:r>
          </w:p>
        </w:tc>
        <w:tc>
          <w:tcPr/>
          <w:p>
            <w:pPr>
              <w:pStyle w:val="Compact"/>
              <w:jc w:val="left"/>
            </w:pPr>
            <w:r>
              <w:rPr>
                <w:lang w:val="es-ES"/>
              </w:rPr>
              <w:t xml:space="preserve">Sin cambios estructurales relevantes 1993-2025</w:t>
            </w:r>
          </w:p>
        </w:tc>
      </w:tr>
      <w:tr>
        <w:tc>
          <w:tcPr/>
          <w:p>
            <w:pPr>
              <w:pStyle w:val="Compact"/>
              <w:jc w:val="left"/>
            </w:pPr>
            <w:r>
              <w:rPr>
                <w:lang w:val="es-ES"/>
              </w:rPr>
              <w:t xml:space="preserve">Zinc</w:t>
            </w:r>
          </w:p>
        </w:tc>
        <w:tc>
          <w:tcPr/>
          <w:p>
            <w:pPr>
              <w:pStyle w:val="Compact"/>
              <w:jc w:val="left"/>
            </w:pPr>
            <w:r>
              <w:rPr>
                <w:lang w:val="es-ES"/>
              </w:rPr>
              <w:t xml:space="preserve">Oligopolio concentrado, liderazgo rotado en extracción</w:t>
            </w:r>
          </w:p>
        </w:tc>
        <w:tc>
          <w:tcPr/>
          <w:p>
            <w:pPr>
              <w:pStyle w:val="Compact"/>
              <w:jc w:val="left"/>
            </w:pPr>
            <w:r>
              <w:rPr>
                <w:lang w:val="es-ES"/>
              </w:rPr>
              <w:t xml:space="preserve">Newmont 33.4% extracción (2024); Peñoles ≈69% refinación</w:t>
            </w:r>
          </w:p>
        </w:tc>
        <w:tc>
          <w:tcPr/>
          <w:p>
            <w:pPr>
              <w:pStyle w:val="Compact"/>
              <w:jc w:val="left"/>
            </w:pPr>
            <w:r>
              <w:rPr>
                <w:lang w:val="es-ES"/>
              </w:rPr>
              <w:t xml:space="preserve">Exportación concentrado: Corea, España, Bélgica</w:t>
            </w:r>
          </w:p>
        </w:tc>
        <w:tc>
          <w:tcPr/>
          <w:p>
            <w:pPr>
              <w:pStyle w:val="Compact"/>
              <w:jc w:val="left"/>
            </w:pPr>
            <w:r>
              <w:rPr>
                <w:lang w:val="es-ES"/>
              </w:rPr>
              <w:t xml:space="preserve">Newmont absorbe Goldcorp/Peñasquito (2019)</w:t>
            </w:r>
          </w:p>
        </w:tc>
      </w:tr>
      <w:tr>
        <w:tc>
          <w:tcPr/>
          <w:p>
            <w:pPr>
              <w:pStyle w:val="Compact"/>
              <w:jc w:val="left"/>
            </w:pPr>
            <w:r>
              <w:rPr>
                <w:lang w:val="es-ES"/>
              </w:rPr>
              <w:t xml:space="preserve">Barita</w:t>
            </w:r>
          </w:p>
        </w:tc>
        <w:tc>
          <w:tcPr/>
          <w:p>
            <w:pPr>
              <w:pStyle w:val="Compact"/>
              <w:jc w:val="left"/>
            </w:pPr>
            <w:r>
              <w:rPr>
                <w:lang w:val="es-ES"/>
              </w:rPr>
              <w:t xml:space="preserve">Oligopolio con líder decreciente</w:t>
            </w:r>
          </w:p>
        </w:tc>
        <w:tc>
          <w:tcPr/>
          <w:p>
            <w:pPr>
              <w:pStyle w:val="Compact"/>
              <w:jc w:val="left"/>
            </w:pPr>
            <w:r>
              <w:rPr>
                <w:lang w:val="es-ES"/>
              </w:rPr>
              <w:t xml:space="preserve">Baramin, de ~82% (2021) a 24.6% (2024); 3-5 operadores</w:t>
            </w:r>
          </w:p>
        </w:tc>
        <w:tc>
          <w:tcPr/>
          <w:p>
            <w:pPr>
              <w:pStyle w:val="Compact"/>
              <w:jc w:val="left"/>
            </w:pPr>
            <w:r>
              <w:rPr>
                <w:lang w:val="es-ES"/>
              </w:rPr>
              <w:t xml:space="preserve">Interno (PEMEX y operadores privados, 95%)</w:t>
            </w:r>
          </w:p>
        </w:tc>
        <w:tc>
          <w:tcPr/>
          <w:p>
            <w:pPr>
              <w:pStyle w:val="Compact"/>
              <w:jc w:val="left"/>
            </w:pPr>
            <w:r>
              <w:rPr>
                <w:lang w:val="es-ES"/>
              </w:rPr>
              <w:t xml:space="preserve">Alta variabilidad geográfica; sin fusiones documentadas</w:t>
            </w:r>
          </w:p>
        </w:tc>
      </w:tr>
      <w:tr>
        <w:tc>
          <w:tcPr/>
          <w:p>
            <w:pPr>
              <w:pStyle w:val="Compact"/>
              <w:jc w:val="left"/>
            </w:pPr>
            <w:r>
              <w:rPr>
                <w:lang w:val="es-ES"/>
              </w:rPr>
              <w:t xml:space="preserve">Sílice</w:t>
            </w:r>
          </w:p>
        </w:tc>
        <w:tc>
          <w:tcPr/>
          <w:p>
            <w:pPr>
              <w:pStyle w:val="Compact"/>
              <w:jc w:val="left"/>
            </w:pPr>
            <w:r>
              <w:rPr>
                <w:lang w:val="es-ES"/>
              </w:rPr>
              <w:t xml:space="preserve">Oligopolio concentrado</w:t>
            </w:r>
          </w:p>
        </w:tc>
        <w:tc>
          <w:tcPr/>
          <w:p>
            <w:pPr>
              <w:pStyle w:val="Compact"/>
              <w:jc w:val="left"/>
            </w:pPr>
            <w:r>
              <w:rPr>
                <w:lang w:val="es-ES"/>
              </w:rPr>
              <w:t xml:space="preserve">Concentrado; Covia/Grupo Materias Primas ≈ 74–99% (arena sílica formal)</w:t>
            </w:r>
          </w:p>
        </w:tc>
        <w:tc>
          <w:tcPr/>
          <w:p>
            <w:pPr>
              <w:pStyle w:val="Compact"/>
              <w:jc w:val="left"/>
            </w:pPr>
            <w:r>
              <w:rPr>
                <w:lang w:val="es-ES"/>
              </w:rPr>
              <w:t xml:space="preserve">Interno (vidrio, construcción, automotriz)</w:t>
            </w:r>
          </w:p>
        </w:tc>
        <w:tc>
          <w:tcPr/>
          <w:p>
            <w:pPr>
              <w:pStyle w:val="Compact"/>
              <w:jc w:val="left"/>
            </w:pPr>
            <w:r>
              <w:rPr>
                <w:lang w:val="es-ES"/>
              </w:rPr>
              <w:t xml:space="preserve">Sin consolidación empresarial documentada</w:t>
            </w:r>
          </w:p>
        </w:tc>
      </w:tr>
      <w:tr>
        <w:tc>
          <w:tcPr/>
          <w:p>
            <w:pPr>
              <w:pStyle w:val="Compact"/>
              <w:jc w:val="left"/>
            </w:pPr>
            <w:r>
              <w:rPr>
                <w:lang w:val="es-ES"/>
              </w:rPr>
              <w:t xml:space="preserve">Plata</w:t>
            </w:r>
          </w:p>
        </w:tc>
        <w:tc>
          <w:tcPr/>
          <w:p>
            <w:pPr>
              <w:pStyle w:val="Compact"/>
              <w:jc w:val="left"/>
            </w:pPr>
            <w:r>
              <w:rPr>
                <w:lang w:val="es-ES"/>
              </w:rPr>
              <w:t xml:space="preserve">Oligopolio moderado (5 grandes), dos cifras distintas</w:t>
            </w:r>
          </w:p>
        </w:tc>
        <w:tc>
          <w:tcPr/>
          <w:p>
            <w:pPr>
              <w:pStyle w:val="Compact"/>
              <w:jc w:val="left"/>
            </w:pPr>
            <w:r>
              <w:rPr>
                <w:lang w:val="es-ES"/>
              </w:rPr>
              <w:t xml:space="preserve">Fresnillo plc ≈30% extracción; Peñoles ≈89% refinación</w:t>
            </w:r>
          </w:p>
        </w:tc>
        <w:tc>
          <w:tcPr/>
          <w:p>
            <w:pPr>
              <w:pStyle w:val="Compact"/>
              <w:jc w:val="left"/>
            </w:pPr>
            <w:r>
              <w:rPr>
                <w:lang w:val="es-ES"/>
              </w:rPr>
              <w:t xml:space="preserve">Refinada: EE.UU. (2,587 MDD 2024); concentrado: China</w:t>
            </w:r>
          </w:p>
        </w:tc>
        <w:tc>
          <w:tcPr/>
          <w:p>
            <w:pPr>
              <w:pStyle w:val="Compact"/>
              <w:jc w:val="left"/>
            </w:pPr>
            <w:r>
              <w:rPr>
                <w:lang w:val="es-ES"/>
              </w:rPr>
              <w:t xml:space="preserve">Escisión de Fresnillo plc de Peñoles (2008)</w:t>
            </w:r>
          </w:p>
        </w:tc>
      </w:tr>
      <w:tr>
        <w:tc>
          <w:tcPr/>
          <w:p>
            <w:pPr>
              <w:pStyle w:val="Compact"/>
              <w:jc w:val="left"/>
            </w:pPr>
            <w:r>
              <w:rPr>
                <w:lang w:val="es-ES"/>
              </w:rPr>
              <w:t xml:space="preserve">Oro</w:t>
            </w:r>
          </w:p>
        </w:tc>
        <w:tc>
          <w:tcPr/>
          <w:p>
            <w:pPr>
              <w:pStyle w:val="Compact"/>
              <w:jc w:val="left"/>
            </w:pPr>
            <w:r>
              <w:rPr>
                <w:lang w:val="es-ES"/>
              </w:rPr>
              <w:t xml:space="preserve">Oligopolio moderado-bajo (5 grandes)</w:t>
            </w:r>
          </w:p>
        </w:tc>
        <w:tc>
          <w:tcPr/>
          <w:p>
            <w:pPr>
              <w:pStyle w:val="Compact"/>
              <w:jc w:val="left"/>
            </w:pPr>
            <w:r>
              <w:rPr>
                <w:lang w:val="es-ES"/>
              </w:rPr>
              <w:t xml:space="preserve">Torex, Fresnillo, Alamos, Equinox, Newmont: 42-45% conjunto</w:t>
            </w:r>
          </w:p>
        </w:tc>
        <w:tc>
          <w:tcPr/>
          <w:p>
            <w:pPr>
              <w:pStyle w:val="Compact"/>
              <w:jc w:val="left"/>
            </w:pPr>
            <w:r>
              <w:rPr>
                <w:lang w:val="es-ES"/>
              </w:rPr>
              <w:t xml:space="preserve">Exportación (doré/refinado a EE.UU., Canadá, Asia)</w:t>
            </w:r>
          </w:p>
        </w:tc>
        <w:tc>
          <w:tcPr/>
          <w:p>
            <w:pPr>
              <w:pStyle w:val="Compact"/>
              <w:jc w:val="left"/>
            </w:pPr>
            <w:r>
              <w:rPr>
                <w:lang w:val="es-ES"/>
              </w:rPr>
              <w:t xml:space="preserve">Newmont adquiere Goldcorp (2019); oro declarado crítico en EE.UU. (2025)</w:t>
            </w:r>
          </w:p>
        </w:tc>
      </w:tr>
      <w:tr>
        <w:tc>
          <w:tcPr/>
          <w:p>
            <w:pPr>
              <w:pStyle w:val="Compact"/>
              <w:jc w:val="left"/>
            </w:pPr>
            <w:r>
              <w:rPr>
                <w:lang w:val="es-ES"/>
              </w:rPr>
              <w:t xml:space="preserve">Grafito</w:t>
            </w:r>
          </w:p>
        </w:tc>
        <w:tc>
          <w:tcPr/>
          <w:p>
            <w:pPr>
              <w:pStyle w:val="Compact"/>
              <w:jc w:val="left"/>
            </w:pPr>
            <w:r>
              <w:rPr>
                <w:lang w:val="es-ES"/>
              </w:rPr>
              <w:t xml:space="preserve">Concentrado: duopolio → monopolio (2014)</w:t>
            </w:r>
          </w:p>
        </w:tc>
        <w:tc>
          <w:tcPr/>
          <w:p>
            <w:pPr>
              <w:pStyle w:val="Compact"/>
              <w:jc w:val="left"/>
            </w:pPr>
            <w:r>
              <w:rPr>
                <w:lang w:val="es-ES"/>
              </w:rPr>
              <w:t xml:space="preserve">Grafitos Mexicanos (productor formal único desde 2014); 100% Sonora</w:t>
            </w:r>
          </w:p>
        </w:tc>
        <w:tc>
          <w:tcPr/>
          <w:p>
            <w:pPr>
              <w:pStyle w:val="Compact"/>
              <w:jc w:val="left"/>
            </w:pPr>
            <w:r>
              <w:rPr>
                <w:lang w:val="es-ES"/>
              </w:rPr>
              <w:t xml:space="preserve">Exportación (EE.UU. 94.8-98%)</w:t>
            </w:r>
          </w:p>
        </w:tc>
        <w:tc>
          <w:tcPr/>
          <w:p>
            <w:pPr>
              <w:pStyle w:val="Compact"/>
              <w:jc w:val="left"/>
            </w:pPr>
            <w:r>
              <w:rPr>
                <w:lang w:val="es-ES"/>
              </w:rPr>
              <w:t xml:space="preserve">Grafito Superior sale en 2014 → monopolio de grupo</w:t>
            </w:r>
          </w:p>
        </w:tc>
      </w:tr>
    </w:tbl>
    <w:p>
      <w:pPr>
        <w:pStyle w:val="BodyText"/>
      </w:pPr>
      <w:r>
        <w:rPr>
          <w:i/>
          <w:iCs/>
          <w:lang w:val="es-ES"/>
        </w:rPr>
        <w:t xml:space="preserve">Fuentes: Elaboración propia con base en las fuentes citadas en las secciones V.2 a V.11.</w:t>
      </w:r>
    </w:p>
    <w:bookmarkStart w:id="80" w:name="Xab9712695f5286789a858e6f8dc161d4ac5757a"/>
    <w:p>
      <w:pPr>
        <w:pStyle w:val="Heading3"/>
      </w:pPr>
      <w:r>
        <w:rPr>
          <w:lang w:val="es-ES"/>
        </w:rPr>
        <w:t xml:space="preserve">V.12.1 Tres patrones de concentración con implicaciones distintas para la caracterización de los mercados</w:t>
      </w:r>
    </w:p>
    <w:p>
      <w:pPr>
        <w:pStyle w:val="FirstParagraph"/>
      </w:pPr>
      <w:r>
        <w:rPr>
          <w:lang w:val="es-ES"/>
        </w:rPr>
        <w:t xml:space="preserve">La síntesis anterior permite identificar tres patrones cualitativamente distintos que orientan la caracterización de los mercados del Capítulo VIII.</w:t>
      </w:r>
    </w:p>
    <w:p>
      <w:pPr>
        <w:pStyle w:val="BodyText"/>
      </w:pPr>
      <w:r>
        <w:rPr>
          <w:lang w:val="es-ES"/>
        </w:rPr>
        <w:t xml:space="preserve">El primer patrón es el monopolio por geología única. Manganeso y fluorita deben su concentración a la existencia de un yacimiento de escala industrial sin competidor doméstico comparable: Molango en Hidalgo y Las Cuevas en San Luis Potosí, respectivamente. En estos casos el HHI es muy alto (manganeso = 10,000; fluorita ≈ 6,525 en 2004-2011, como duopolio, y 10,000 desde la consolidación de enero de 2012). El coeficiente de Ghosh de estos dos minerales tiende a ser bajo porque su producción se exporta en su mayoría como mineral primario o de primera transformación.</w:t>
      </w:r>
    </w:p>
    <w:p>
      <w:pPr>
        <w:pStyle w:val="BodyText"/>
      </w:pPr>
      <w:r>
        <w:rPr>
          <w:lang w:val="es-ES"/>
        </w:rPr>
        <w:t xml:space="preserve">El segundo patrón es la concentración por integración vertical post-privatización. Cobre, zinc y plomo deben su concentración al proceso de privatización 1988-1993, que entregó el control de las reservas federales y de la capacidad de fundición y refinación a Grupo México y Peñoles. Ambos grupos han profundizado esa posición durante tres décadas mediante la integración vertical del proceso completo (mina-fundición-refinería en el caso de Grupo México en cobre; dominio de la refinación en el caso de Peñoles en plata, plomo y zinc). En estos casos, el mecanismo por el que el HHI alto podría explicar un coeficiente de Ghosh bajo es el de los precios de transferencia internos: los grupos integrados tienen incentivos para exportar el concentrado hacia sus propias refinerías en el extranjero, en lugar de venderlo a procesadores nacionales que generen encadenamientos adicionales dentro de México.</w:t>
      </w:r>
    </w:p>
    <w:p>
      <w:pPr>
        <w:pStyle w:val="BodyText"/>
      </w:pPr>
      <w:r>
        <w:rPr>
          <w:lang w:val="es-ES"/>
        </w:rPr>
        <w:t xml:space="preserve">El tercer patrón es el de los minerales de menor concentración, que el corpus describe sin designar un caso de contraste único. Los minerales con más productores —oro y plata— presentan los HHI más bajos del corpus (menores a 2,000). La barita constituye un caso dinámico y notable: su empresa líder (Baramin) redujo su participación de alrededor de 82% en 2021 a 24.6% en 2024 por el agotamiento de su principal mina, de modo que su HHI es marcadamente decreciente. El grafito, que inicialmente se supuso atomizado, resultó —según la Tabla 2 del USGS— un mercado concentrado (duopolio hasta 2013 y monopolio de Grafitos Mexicanos desde 2014); y la sílice, pese a su reputación de commodity fragmentado, pertenece por la producción formal al grupo de mercados concentrados (véase V.10.2).</w:t>
      </w:r>
    </w:p>
    <w:bookmarkEnd w:id="80"/>
    <w:bookmarkEnd w:id="81"/>
    <w:bookmarkStart w:id="82" w:name="fuentes-y-referencias"/>
    <w:p>
      <w:pPr>
        <w:pStyle w:val="Heading2"/>
      </w:pPr>
      <w:r>
        <w:rPr>
          <w:lang w:val="es-ES"/>
        </w:rPr>
        <w:t xml:space="preserve">Fuentes y referencias</w:t>
      </w:r>
    </w:p>
    <w:bookmarkEnd w:id="82"/>
    <w:bookmarkEnd w:id="83"/>
    <w:sectPr>
      <w:footnotePr>
        <w:numRestart w:val="eachSect"/>
      </w:footnotePr>
      <w:pgSz w:h="15840" w:w="12240"/>
      <w:pgMar w:bottom="1417" w:left="1701"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jc w:val="both"/>
    </w:pPr>
    <w:rPr>
      <w:rFonts w:ascii="Times New Roman" w:cs="Times New Roman" w:hAnsi="Times New Roman"/>
      <w:sz w:val="24"/>
    </w:rPr>
  </w:style>
  <w:style w:styleId="BodyText" w:type="paragraph">
    <w:name w:val="Body Text"/>
    <w:basedOn w:val="Normal"/>
    <w:link w:val="BodyTextChar"/>
    <w:qFormat/>
    <w:pPr>
      <w:spacing w:after="120" w:before="0" w:line="360" w:lineRule="auto"/>
      <w:jc w:val="both"/>
    </w:pPr>
    <w:rPr>
      <w:rFonts w:ascii="Times New Roman" w:cs="Times New Roman" w:hAnsi="Times New Roman"/>
      <w:sz w:val="24"/>
    </w:rPr>
  </w:style>
  <w:style w:customStyle="1" w:styleId="FirstParagraph" w:type="paragraph">
    <w:name w:val="First Paragraph"/>
    <w:basedOn w:val="BodyText"/>
    <w:next w:val="BodyText"/>
    <w:qFormat/>
    <w:pPr>
      <w:spacing w:after="120" w:before="0" w:line="360" w:lineRule="auto"/>
      <w:jc w:val="both"/>
    </w:pPr>
    <w:rPr>
      <w:rFonts w:ascii="Times New Roman" w:cs="Times New Roman" w:hAnsi="Times New Roman"/>
      <w:sz w:val="24"/>
    </w:rPr>
  </w:style>
  <w:style w:customStyle="1" w:styleId="Compact" w:type="paragraph">
    <w:name w:val="Compact"/>
    <w:basedOn w:val="BodyText"/>
    <w:qFormat/>
    <w:pPr>
      <w:spacing w:after="120" w:before="0" w:line="360" w:lineRule="auto"/>
      <w:jc w:val="both"/>
    </w:pPr>
    <w:rPr>
      <w:rFonts w:ascii="Times New Roman" w:cs="Times New Roman"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imes New Roman" w:cstheme="majorBidi" w:eastAsiaTheme="majorEastAsia" w:hAnsi="Times New Roman" w:hAnsiTheme="majorHAnsi"/>
      <w:b/>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276" w:lineRule="auto"/>
      <w:jc w:val="left"/>
      <w:outlineLvl w:val="0"/>
    </w:pPr>
    <w:rPr>
      <w:rFonts w:ascii="Times New Roman" w:asciiTheme="majorHAnsi" w:cs="Times New Roman" w:cstheme="majorBidi" w:eastAsiaTheme="majorEastAsia" w:hAnsi="Times New Roman" w:hAnsiTheme="majorHAnsi"/>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76" w:lineRule="auto"/>
      <w:jc w:val="left"/>
      <w:outlineLvl w:val="1"/>
    </w:pPr>
    <w:rPr>
      <w:rFonts w:ascii="Times New Roman" w:asciiTheme="majorHAnsi" w:cs="Times New Roman" w:cstheme="majorBidi" w:eastAsiaTheme="majorEastAsia" w:hAnsi="Times New Roman" w:hAnsiTheme="majorHAnsi"/>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76" w:lineRule="auto"/>
      <w:jc w:val="left"/>
      <w:outlineLvl w:val="2"/>
    </w:pPr>
    <w:rPr>
      <w:rFonts w:ascii="Times New Roman" w:cs="Times New Roman" w:cstheme="majorBidi" w:eastAsiaTheme="majorEastAsia"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276" w:lineRule="auto"/>
      <w:jc w:val="left"/>
      <w:outlineLvl w:val="3"/>
    </w:pPr>
    <w:rPr>
      <w:rFonts w:ascii="Times New Roman" w:cs="Times New Roman" w:cstheme="majorBidi" w:eastAsiaTheme="majorEastAsia"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200" w:before="60" w:line="240" w:lineRule="auto"/>
      <w:jc w:val="left"/>
    </w:pPr>
    <w:rPr>
      <w:rFonts w:ascii="Times New Roman" w:cs="Times New Roman" w:hAnsi="Times New Roman"/>
      <w:i w:val="0"/>
      <w:sz w:val="20"/>
    </w:rPr>
  </w:style>
  <w:style w:customStyle="1" w:styleId="ImageCaption" w:type="paragraph">
    <w:name w:val="Image Caption"/>
    <w:basedOn w:val="Caption"/>
    <w:pPr>
      <w:spacing w:after="200" w:before="60" w:line="240" w:lineRule="auto"/>
      <w:jc w:val="left"/>
    </w:pPr>
    <w:rPr>
      <w:rFonts w:ascii="Times New Roman" w:cs="Times New Roman" w:hAnsi="Times New Roman"/>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4" Target="media/rId74.png" /><Relationship Type="http://schemas.openxmlformats.org/officeDocument/2006/relationships/image" Id="rId77" Target="media/rId7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V. Estructura empresarial y de mercado de los diez minerales críticos, 1993–2025</dc:title>
  <dc:creator/>
  <dc:language>es-ES</dc:language>
  <cp:keywords/>
  <dcterms:created xsi:type="dcterms:W3CDTF">2026-09-16T02:46:34Z</dcterms:created>
  <dcterms:modified xsi:type="dcterms:W3CDTF">2026-09-16T02:46:34Z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hapter">
    <vt:lpwstr>V</vt:lpwstr>
  </property>
  <property fmtid="{D5CDD505-2E9C-101B-9397-08002B2CF9AE}" pid="4" name="csl">
    <vt:lpwstr>pandoc\apa.csl</vt:lpwstr>
  </property>
</Properties>
</file>