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8C0C3C">
          <w:pPr>
            <w:pStyle w:val="TDC1"/>
            <w:tabs>
              <w:tab w:val="left" w:pos="440"/>
              <w:tab w:val="right" w:leader="dot" w:pos="8828"/>
            </w:tabs>
            <w:rPr>
              <w:noProof/>
              <w:sz w:val="20"/>
              <w:szCs w:val="20"/>
              <w:lang w:eastAsia="es-PE"/>
            </w:rPr>
          </w:pPr>
          <w:r w:rsidRPr="008C0C3C">
            <w:rPr>
              <w:sz w:val="20"/>
              <w:szCs w:val="20"/>
              <w:lang w:val="es-PE"/>
            </w:rPr>
            <w:fldChar w:fldCharType="begin"/>
          </w:r>
          <w:r w:rsidR="00132C5E" w:rsidRPr="00132C5E">
            <w:rPr>
              <w:sz w:val="20"/>
              <w:szCs w:val="20"/>
            </w:rPr>
            <w:instrText xml:space="preserve"> TOC \o "1-3" \h \z \u </w:instrText>
          </w:r>
          <w:r w:rsidRPr="008C0C3C">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_Toc367492968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_Toc367492971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_Toc367492972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4</w:t>
            </w:r>
            <w:r w:rsidRPr="00132C5E">
              <w:rPr>
                <w:noProof/>
                <w:webHidden/>
                <w:sz w:val="20"/>
                <w:szCs w:val="20"/>
              </w:rPr>
              <w:fldChar w:fldCharType="end"/>
            </w:r>
          </w:hyperlink>
        </w:p>
        <w:p w:rsidR="00132C5E" w:rsidRPr="00132C5E" w:rsidRDefault="008C0C3C">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_Toc367492973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_Toc367492974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_Toc367492975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_Toc367492976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8C0C3C">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8C0C3C">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_Toc367492989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Pr="00132C5E" w:rsidRDefault="008C0C3C"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_Toc367492990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Default="008C0C3C">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9C7F6F" w:rsidP="009C7F6F">
      <w:pPr>
        <w:tabs>
          <w:tab w:val="left" w:pos="6540"/>
        </w:tabs>
        <w:spacing w:after="0"/>
        <w:jc w:val="both"/>
        <w:rPr>
          <w:b/>
        </w:rPr>
      </w:pPr>
      <w:r>
        <w:rPr>
          <w:b/>
        </w:rPr>
        <w:tab/>
      </w: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 xml:space="preserve">Una gestión de la configuración, planificada y ejecutada de manera efectiva, contribuye a la producción de productos TIC de alta calidad evitando el </w:t>
      </w:r>
      <w:proofErr w:type="spellStart"/>
      <w:r w:rsidRPr="00B874DA">
        <w:rPr>
          <w:sz w:val="20"/>
          <w:szCs w:val="20"/>
        </w:rPr>
        <w:t>retrabajo</w:t>
      </w:r>
      <w:proofErr w:type="spellEnd"/>
      <w:r w:rsidRPr="00B874DA">
        <w:rPr>
          <w:sz w:val="20"/>
          <w:szCs w:val="20"/>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proofErr w:type="spellStart"/>
      <w:r w:rsidR="00E9432B" w:rsidRPr="00B874DA">
        <w:rPr>
          <w:sz w:val="20"/>
          <w:szCs w:val="20"/>
        </w:rPr>
        <w:t>Lider</w:t>
      </w:r>
      <w:proofErr w:type="spellEnd"/>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Administrador de </w:t>
            </w:r>
            <w:proofErr w:type="spellStart"/>
            <w:r w:rsidRPr="00B874DA">
              <w:rPr>
                <w:rFonts w:cs="Arial"/>
                <w:sz w:val="20"/>
                <w:szCs w:val="20"/>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usuario tendrá derecho a solicitar un repositorio Git  para su uso personal, el cual estará restringido por una </w:t>
      </w:r>
      <w:proofErr w:type="spellStart"/>
      <w:r w:rsidRPr="00B874DA">
        <w:rPr>
          <w:sz w:val="20"/>
          <w:szCs w:val="20"/>
        </w:rPr>
        <w:t>quota</w:t>
      </w:r>
      <w:proofErr w:type="spellEnd"/>
      <w:r w:rsidRPr="00B874DA">
        <w:rPr>
          <w:sz w:val="20"/>
          <w:szCs w:val="20"/>
        </w:rPr>
        <w:t xml:space="preserve">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 xml:space="preserve">Como herramienta se utilizara el sistema de control de versiones Git, para el entorno de desarrollo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9B4FAF" w:rsidP="00624618">
      <w:pPr>
        <w:spacing w:after="0"/>
        <w:jc w:val="right"/>
      </w:pPr>
      <w:r w:rsidRPr="00B874DA">
        <w:rPr>
          <w:noProof/>
          <w:lang w:val="es-PE" w:eastAsia="es-PE"/>
        </w:rPr>
        <w:lastRenderedPageBreak/>
        <w:drawing>
          <wp:inline distT="0" distB="0" distL="0" distR="0">
            <wp:extent cx="4522528"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2528" cy="150495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3" w:name="_Toc367492980"/>
      <w:r w:rsidRPr="00B874DA">
        <w:rPr>
          <w:rFonts w:asciiTheme="minorHAnsi" w:hAnsiTheme="minorHAnsi"/>
          <w:sz w:val="20"/>
          <w:szCs w:val="20"/>
        </w:rPr>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4"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3"/>
      <w:r w:rsidRPr="00B874DA">
        <w:rPr>
          <w:rFonts w:asciiTheme="minorHAnsi" w:hAnsiTheme="minorHAnsi"/>
          <w:b w:val="0"/>
          <w:sz w:val="20"/>
          <w:szCs w:val="20"/>
        </w:rPr>
        <w:lastRenderedPageBreak/>
        <w:t xml:space="preserve">Los almacenes de información pueden publicarse por HTTP, FTP, </w:t>
      </w:r>
      <w:proofErr w:type="spellStart"/>
      <w:r w:rsidRPr="00B874DA">
        <w:rPr>
          <w:rFonts w:asciiTheme="minorHAnsi" w:hAnsiTheme="minorHAnsi"/>
          <w:b w:val="0"/>
          <w:sz w:val="20"/>
          <w:szCs w:val="20"/>
        </w:rPr>
        <w:t>rsync</w:t>
      </w:r>
      <w:proofErr w:type="spellEnd"/>
      <w:r w:rsidRPr="00B874DA">
        <w:rPr>
          <w:rFonts w:asciiTheme="minorHAnsi" w:hAnsiTheme="minorHAnsi"/>
          <w:b w:val="0"/>
          <w:sz w:val="20"/>
          <w:szCs w:val="20"/>
        </w:rPr>
        <w:t xml:space="preserve"> o mediante un protocolo nativo, ya sea a través de una conexión TCP/IP simple o a través de cifrado SSH. Git también puede emular servidores CVS.</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lastRenderedPageBreak/>
        <w:t>Entorno:</w:t>
      </w:r>
      <w:r w:rsidR="00B71E0F" w:rsidRPr="00B874DA">
        <w:rPr>
          <w:b/>
          <w:sz w:val="20"/>
          <w:szCs w:val="20"/>
        </w:rPr>
        <w:t xml:space="preserve"> </w:t>
      </w:r>
      <w:r w:rsidRPr="00B874DA">
        <w:rPr>
          <w:sz w:val="20"/>
          <w:szCs w:val="20"/>
        </w:rPr>
        <w:t xml:space="preserve">GitHub es un software web para alojar proyectos utilizando el sistema de control de versiones Git. Utiliza el framework </w:t>
      </w:r>
      <w:proofErr w:type="spellStart"/>
      <w:r w:rsidRPr="00B874DA">
        <w:rPr>
          <w:sz w:val="20"/>
          <w:szCs w:val="20"/>
        </w:rPr>
        <w:t>Ruby</w:t>
      </w:r>
      <w:proofErr w:type="spellEnd"/>
      <w:r w:rsidRPr="00B874DA">
        <w:rPr>
          <w:sz w:val="20"/>
          <w:szCs w:val="20"/>
        </w:rPr>
        <w:t xml:space="preserve"> </w:t>
      </w:r>
      <w:proofErr w:type="spellStart"/>
      <w:r w:rsidRPr="00B874DA">
        <w:rPr>
          <w:sz w:val="20"/>
          <w:szCs w:val="20"/>
        </w:rPr>
        <w:t>on</w:t>
      </w:r>
      <w:proofErr w:type="spellEnd"/>
      <w:r w:rsidRPr="00B874DA">
        <w:rPr>
          <w:sz w:val="20"/>
          <w:szCs w:val="20"/>
        </w:rPr>
        <w:t xml:space="preserve"> </w:t>
      </w:r>
      <w:proofErr w:type="spellStart"/>
      <w:r w:rsidRPr="00B874DA">
        <w:rPr>
          <w:sz w:val="20"/>
          <w:szCs w:val="20"/>
        </w:rPr>
        <w:t>Rails</w:t>
      </w:r>
      <w:proofErr w:type="spellEnd"/>
      <w:r w:rsidRPr="00B874DA">
        <w:rPr>
          <w:sz w:val="20"/>
          <w:szCs w:val="20"/>
        </w:rPr>
        <w:t xml:space="preserve">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roofErr w:type="gramStart"/>
            <w:r w:rsidRPr="00B874DA">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sáb</w:t>
            </w:r>
            <w:proofErr w:type="spellEnd"/>
            <w:r w:rsidRPr="00B874DA">
              <w:rPr>
                <w:rFonts w:eastAsia="Times New Roman" w:cs="Times New Roman"/>
                <w:b/>
                <w:bCs/>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vie</w:t>
            </w:r>
            <w:proofErr w:type="spellEnd"/>
            <w:r w:rsidRPr="00B874DA">
              <w:rPr>
                <w:rFonts w:eastAsia="Times New Roman" w:cs="Times New Roman"/>
                <w:b/>
                <w:bCs/>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lastRenderedPageBreak/>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Default="00B874DA" w:rsidP="00624618">
      <w:pPr>
        <w:pStyle w:val="Ttulo1"/>
        <w:numPr>
          <w:ilvl w:val="0"/>
          <w:numId w:val="28"/>
        </w:numPr>
        <w:spacing w:before="0"/>
        <w:rPr>
          <w:rFonts w:asciiTheme="minorHAnsi" w:hAnsiTheme="minorHAnsi"/>
          <w:sz w:val="20"/>
          <w:szCs w:val="20"/>
        </w:rPr>
      </w:pPr>
      <w:bookmarkStart w:id="22" w:name="_Toc367492989"/>
      <w:r w:rsidRPr="00B874DA">
        <w:rPr>
          <w:rFonts w:asciiTheme="minorHAnsi" w:hAnsiTheme="minorHAnsi"/>
          <w:sz w:val="20"/>
          <w:szCs w:val="20"/>
        </w:rPr>
        <w:t>Actividades de la SCM:</w:t>
      </w:r>
      <w:bookmarkEnd w:id="22"/>
    </w:p>
    <w:p w:rsidR="0083417E" w:rsidRDefault="00497B08" w:rsidP="00497B08">
      <w:pPr>
        <w:pStyle w:val="Ttulo1"/>
      </w:pPr>
      <w:r>
        <w:t>Identificación de la configuración, Nomenclatura</w:t>
      </w:r>
    </w:p>
    <w:p w:rsidR="00497B08" w:rsidRPr="00497B08" w:rsidRDefault="00497B08" w:rsidP="00497B08"/>
    <w:p w:rsidR="00B874DA" w:rsidRPr="007870BB" w:rsidRDefault="007870BB" w:rsidP="007870BB">
      <w:pPr>
        <w:spacing w:after="0"/>
        <w:jc w:val="both"/>
        <w:rPr>
          <w:b/>
          <w:sz w:val="20"/>
          <w:szCs w:val="20"/>
        </w:rPr>
      </w:pPr>
      <w:bookmarkStart w:id="23" w:name="_Toc367492991"/>
      <w:r w:rsidRPr="007870BB">
        <w:rPr>
          <w:b/>
          <w:sz w:val="20"/>
          <w:szCs w:val="20"/>
        </w:rPr>
        <w:t xml:space="preserve">i. </w:t>
      </w:r>
      <w:r w:rsidR="0083417E" w:rsidRPr="007870BB">
        <w:rPr>
          <w:b/>
          <w:sz w:val="20"/>
          <w:szCs w:val="20"/>
        </w:rPr>
        <w:t xml:space="preserve">Ítems de Configuración. </w:t>
      </w:r>
      <w:bookmarkEnd w:id="23"/>
    </w:p>
    <w:tbl>
      <w:tblPr>
        <w:tblW w:w="9460" w:type="dxa"/>
        <w:tblInd w:w="55" w:type="dxa"/>
        <w:tblCellMar>
          <w:left w:w="70" w:type="dxa"/>
          <w:right w:w="70" w:type="dxa"/>
        </w:tblCellMar>
        <w:tblLook w:val="04A0"/>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8C0C3C" w:rsidP="007870BB">
            <w:pPr>
              <w:spacing w:after="0" w:line="240" w:lineRule="auto"/>
              <w:jc w:val="center"/>
              <w:rPr>
                <w:rFonts w:ascii="Calibri" w:eastAsia="Times New Roman" w:hAnsi="Calibri" w:cs="Times New Roman"/>
                <w:lang w:val="es-PE" w:eastAsia="es-PE"/>
              </w:rPr>
            </w:pPr>
            <w:hyperlink r:id="rId12" w:tooltip="STD_PROJ_CHAR.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8C0C3C" w:rsidP="007870BB">
            <w:pPr>
              <w:spacing w:after="0" w:line="240" w:lineRule="auto"/>
              <w:jc w:val="center"/>
              <w:rPr>
                <w:rFonts w:ascii="Calibri" w:eastAsia="Times New Roman" w:hAnsi="Calibri" w:cs="Times New Roman"/>
                <w:lang w:val="es-PE" w:eastAsia="es-PE"/>
              </w:rPr>
            </w:pPr>
            <w:hyperlink r:id="rId13" w:tooltip="STD_ENUN_ALC.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8C0C3C" w:rsidP="007870BB">
            <w:pPr>
              <w:spacing w:after="0" w:line="240" w:lineRule="auto"/>
              <w:jc w:val="center"/>
              <w:rPr>
                <w:rFonts w:ascii="Calibri" w:eastAsia="Times New Roman" w:hAnsi="Calibri" w:cs="Times New Roman"/>
                <w:lang w:val="es-PE" w:eastAsia="es-PE"/>
              </w:rPr>
            </w:pPr>
            <w:hyperlink r:id="rId14" w:tooltip="STD_EDT_PRO.wbs"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7870BB" w:rsidRPr="00B874DA" w:rsidRDefault="007870BB" w:rsidP="00624618">
      <w:pPr>
        <w:pStyle w:val="Prrafodelista"/>
        <w:spacing w:after="0"/>
        <w:jc w:val="both"/>
        <w:rPr>
          <w:rFonts w:cs="Arial"/>
          <w:sz w:val="20"/>
          <w:szCs w:val="20"/>
          <w:lang w:val="es-ES_tradnl"/>
        </w:rPr>
      </w:pPr>
    </w:p>
    <w:p w:rsidR="00B874DA" w:rsidRPr="00B874DA" w:rsidRDefault="00B874DA" w:rsidP="00624618">
      <w:pPr>
        <w:spacing w:after="0"/>
        <w:jc w:val="both"/>
        <w:rPr>
          <w:sz w:val="20"/>
          <w:szCs w:val="20"/>
          <w:lang w:val="es-ES_tradnl"/>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4" w:name="_Toc367492996"/>
      <w:proofErr w:type="spellStart"/>
      <w:r>
        <w:rPr>
          <w:rFonts w:asciiTheme="minorHAnsi" w:hAnsiTheme="minorHAnsi"/>
          <w:sz w:val="20"/>
          <w:szCs w:val="20"/>
        </w:rPr>
        <w:lastRenderedPageBreak/>
        <w:t>ii</w:t>
      </w:r>
      <w:proofErr w:type="spellEnd"/>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4"/>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8C0C3C" w:rsidP="00CD2072">
            <w:pPr>
              <w:spacing w:after="0" w:line="240" w:lineRule="auto"/>
              <w:jc w:val="center"/>
              <w:rPr>
                <w:rFonts w:eastAsia="Times New Roman" w:cs="Times New Roman"/>
                <w:color w:val="000000"/>
                <w:sz w:val="20"/>
                <w:szCs w:val="20"/>
                <w:lang w:eastAsia="es-PE"/>
              </w:rPr>
            </w:pPr>
            <w:hyperlink r:id="rId15" w:tooltip="STD_PROJ_CHAR.docx" w:history="1">
              <w:r w:rsidR="00CD2072"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8C0C3C" w:rsidP="00CD2072">
            <w:pPr>
              <w:spacing w:after="0" w:line="240" w:lineRule="auto"/>
              <w:jc w:val="center"/>
              <w:rPr>
                <w:rFonts w:eastAsia="Times New Roman" w:cs="Times New Roman"/>
                <w:color w:val="000000"/>
                <w:sz w:val="20"/>
                <w:szCs w:val="20"/>
                <w:lang w:eastAsia="es-PE"/>
              </w:rPr>
            </w:pPr>
            <w:hyperlink r:id="rId16" w:tooltip="STD_ENUN_ALC.docx" w:history="1">
              <w:r w:rsidR="00CD2072"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8C0C3C" w:rsidP="00CD2072">
            <w:pPr>
              <w:spacing w:after="0" w:line="240" w:lineRule="auto"/>
              <w:jc w:val="center"/>
              <w:rPr>
                <w:rFonts w:eastAsia="Times New Roman" w:cs="Times New Roman"/>
                <w:color w:val="000000"/>
                <w:sz w:val="20"/>
                <w:szCs w:val="20"/>
                <w:lang w:eastAsia="es-PE"/>
              </w:rPr>
            </w:pPr>
            <w:hyperlink r:id="rId17" w:tooltip="STD_EDT_PRO.wbs" w:history="1">
              <w:r w:rsidR="00CD2072"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5"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5"/>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6"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ó, PROYECTO-ACRÓNIMO-COMPONENTE.</w:t>
      </w:r>
      <w:bookmarkEnd w:id="26"/>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sidRPr="00624618">
        <w:rPr>
          <w:rFonts w:asciiTheme="minorHAnsi" w:hAnsiTheme="minorHAnsi"/>
          <w:b w:val="0"/>
          <w:sz w:val="20"/>
          <w:szCs w:val="20"/>
          <w:lang w:val="es-ES_tradnl"/>
        </w:rPr>
        <w:t>to</w:t>
      </w:r>
      <w:proofErr w:type="spellEnd"/>
      <w:r w:rsidRPr="00624618">
        <w:rPr>
          <w:rFonts w:asciiTheme="minorHAnsi" w:hAnsiTheme="minorHAnsi"/>
          <w:b w:val="0"/>
          <w:sz w:val="20"/>
          <w:szCs w:val="20"/>
          <w:lang w:val="es-ES_tradnl"/>
        </w:rPr>
        <w:t xml:space="preserve"> Business) del proyecto STD, tenemos: STD-B2B-SRD.</w:t>
      </w:r>
      <w:bookmarkEnd w:id="28"/>
    </w:p>
    <w:p w:rsidR="00624618" w:rsidRPr="00624618" w:rsidRDefault="00624618" w:rsidP="00CD2072">
      <w:pPr>
        <w:spacing w:after="0"/>
        <w:rPr>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bookmarkStart w:id="29" w:name="_Toc367493003"/>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l nivel de versión se mantiene como un identificador numérico con dos componentes: Versión.Revisión. Ejemplo: 1.1; (Versión 1, Revisión 1).</w:t>
      </w:r>
      <w:bookmarkEnd w:id="29"/>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0" w:name="_Toc367493004"/>
      <w:r w:rsidRPr="00B874DA">
        <w:rPr>
          <w:rFonts w:asciiTheme="minorHAnsi" w:hAnsiTheme="minorHAnsi"/>
          <w:sz w:val="20"/>
          <w:szCs w:val="20"/>
        </w:rPr>
        <w:t>Número de versión</w:t>
      </w:r>
      <w:bookmarkEnd w:id="30"/>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1" w:name="_Toc367493005"/>
      <w:r w:rsidRPr="00624618">
        <w:rPr>
          <w:rFonts w:asciiTheme="minorHAnsi" w:hAnsiTheme="minorHAnsi"/>
          <w:b w:val="0"/>
          <w:sz w:val="20"/>
          <w:szCs w:val="20"/>
        </w:rPr>
        <w:lastRenderedPageBreak/>
        <w:t>El número de versión cambia únicamente cuando la arquitectura principal del ítem ha cambiado, o cuando el ítem es completamente reconstruido, con cambios internos sustanciales. En este caso la versión 1.1 se convertirá en versión 2.0.</w:t>
      </w:r>
      <w:bookmarkEnd w:id="31"/>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2" w:name="_Toc367493006"/>
      <w:r w:rsidRPr="00B874DA">
        <w:rPr>
          <w:rFonts w:asciiTheme="minorHAnsi" w:hAnsiTheme="minorHAnsi"/>
          <w:sz w:val="20"/>
          <w:szCs w:val="20"/>
        </w:rPr>
        <w:t>Número de revisión</w:t>
      </w:r>
      <w:bookmarkEnd w:id="32"/>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3"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3"/>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4" w:name="_Toc367493008"/>
      <w:r w:rsidRPr="00B874DA">
        <w:rPr>
          <w:rFonts w:asciiTheme="minorHAnsi" w:hAnsiTheme="minorHAnsi"/>
          <w:sz w:val="20"/>
          <w:szCs w:val="20"/>
        </w:rPr>
        <w:t>Archivos ejecutables y de soporte</w:t>
      </w:r>
      <w:bookmarkEnd w:id="34"/>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5" w:name="_Toc367493010"/>
      <w:r w:rsidRPr="00624618">
        <w:rPr>
          <w:rFonts w:asciiTheme="minorHAnsi" w:hAnsiTheme="minorHAnsi"/>
          <w:b w:val="0"/>
          <w:sz w:val="20"/>
          <w:szCs w:val="20"/>
        </w:rPr>
        <w:t xml:space="preserve">La convención para los nombres para cada ítem de software en evolución es definida por el equipo de desarrollo. El esquema de numeración de versiones consiste de tres componentes: Versión.RevisiónActualización. </w:t>
      </w:r>
      <w:proofErr w:type="spellStart"/>
      <w:r w:rsidRPr="00624618">
        <w:rPr>
          <w:rFonts w:asciiTheme="minorHAnsi" w:hAnsiTheme="minorHAnsi"/>
          <w:b w:val="0"/>
          <w:sz w:val="20"/>
          <w:szCs w:val="20"/>
        </w:rPr>
        <w:t>Ej</w:t>
      </w:r>
      <w:proofErr w:type="spellEnd"/>
      <w:r w:rsidRPr="00624618">
        <w:rPr>
          <w:rFonts w:asciiTheme="minorHAnsi" w:hAnsiTheme="minorHAnsi"/>
          <w:b w:val="0"/>
          <w:sz w:val="20"/>
          <w:szCs w:val="20"/>
        </w:rPr>
        <w:t>: 1.1a.</w:t>
      </w:r>
      <w:bookmarkEnd w:id="35"/>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6" w:name="_Toc367493015"/>
      <w:r w:rsidRPr="00B874DA">
        <w:rPr>
          <w:rFonts w:asciiTheme="minorHAnsi" w:hAnsiTheme="minorHAnsi"/>
          <w:sz w:val="20"/>
          <w:szCs w:val="20"/>
        </w:rPr>
        <w:t>Carácter de actualización</w:t>
      </w:r>
      <w:bookmarkEnd w:id="36"/>
    </w:p>
    <w:p w:rsidR="00624618" w:rsidRPr="00624618" w:rsidRDefault="00624618" w:rsidP="00CD2072">
      <w:pPr>
        <w:spacing w:after="0"/>
      </w:pPr>
    </w:p>
    <w:p w:rsidR="00B874DA" w:rsidRDefault="00B874DA" w:rsidP="00CD2072">
      <w:pPr>
        <w:pStyle w:val="Ttulo1"/>
        <w:spacing w:before="0"/>
        <w:jc w:val="both"/>
        <w:rPr>
          <w:rFonts w:asciiTheme="minorHAnsi" w:hAnsiTheme="minorHAnsi"/>
          <w:b w:val="0"/>
          <w:sz w:val="20"/>
          <w:szCs w:val="20"/>
        </w:rPr>
      </w:pPr>
      <w:bookmarkStart w:id="37" w:name="_Toc367493016"/>
      <w:r w:rsidRPr="00624618">
        <w:rPr>
          <w:rFonts w:asciiTheme="minorHAnsi" w:hAnsiTheme="minorHAnsi"/>
          <w:b w:val="0"/>
          <w:sz w:val="20"/>
          <w:szCs w:val="20"/>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37"/>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8" w:name="_Toc367493017"/>
      <w:r w:rsidRPr="00B874DA">
        <w:rPr>
          <w:rFonts w:asciiTheme="minorHAnsi" w:hAnsiTheme="minorHAnsi"/>
          <w:sz w:val="20"/>
          <w:szCs w:val="20"/>
        </w:rPr>
        <w:t>Identificación de ítems fuente</w:t>
      </w:r>
      <w:bookmarkEnd w:id="38"/>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39"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GitHub</w:t>
      </w:r>
      <w:bookmarkEnd w:id="39"/>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40" w:name="_Toc367493019"/>
      <w:r w:rsidRPr="00B874DA">
        <w:rPr>
          <w:rFonts w:asciiTheme="minorHAnsi" w:hAnsiTheme="minorHAnsi"/>
          <w:sz w:val="20"/>
          <w:szCs w:val="20"/>
        </w:rPr>
        <w:t>Identificación de ítems de soporte</w:t>
      </w:r>
      <w:bookmarkEnd w:id="40"/>
    </w:p>
    <w:p w:rsidR="000B568A" w:rsidRDefault="000B568A" w:rsidP="00CD2072">
      <w:pPr>
        <w:spacing w:after="0"/>
      </w:pPr>
    </w:p>
    <w:p w:rsidR="00C038D9" w:rsidRDefault="00B874DA" w:rsidP="00CD2072">
      <w:pPr>
        <w:pStyle w:val="Ttulo1"/>
        <w:spacing w:before="0"/>
        <w:jc w:val="both"/>
        <w:rPr>
          <w:rFonts w:asciiTheme="minorHAnsi" w:hAnsiTheme="minorHAnsi"/>
          <w:b w:val="0"/>
          <w:sz w:val="20"/>
          <w:szCs w:val="20"/>
        </w:rPr>
      </w:pPr>
      <w:bookmarkStart w:id="41"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p>
    <w:p w:rsidR="00C038D9" w:rsidRDefault="00C038D9" w:rsidP="00CD2072">
      <w:pPr>
        <w:pStyle w:val="Ttulo1"/>
        <w:spacing w:before="0"/>
        <w:jc w:val="both"/>
        <w:rPr>
          <w:rFonts w:asciiTheme="minorHAnsi" w:hAnsiTheme="minorHAnsi"/>
          <w:b w:val="0"/>
          <w:sz w:val="20"/>
          <w:szCs w:val="20"/>
        </w:rPr>
      </w:pPr>
    </w:p>
    <w:p w:rsidR="00B874DA" w:rsidRPr="00624618" w:rsidRDefault="00B874DA" w:rsidP="00CD2072">
      <w:pPr>
        <w:pStyle w:val="Ttulo1"/>
        <w:spacing w:before="0"/>
        <w:jc w:val="both"/>
        <w:rPr>
          <w:rFonts w:asciiTheme="minorHAnsi" w:hAnsiTheme="minorHAnsi"/>
          <w:b w:val="0"/>
          <w:sz w:val="20"/>
          <w:szCs w:val="20"/>
        </w:rPr>
      </w:pPr>
      <w:r w:rsidRPr="00624618">
        <w:rPr>
          <w:rFonts w:asciiTheme="minorHAnsi" w:hAnsiTheme="minorHAnsi"/>
          <w:b w:val="0"/>
          <w:sz w:val="20"/>
          <w:szCs w:val="20"/>
        </w:rPr>
        <w:t xml:space="preserve">Por 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rango de versión del ítem de configuración será 2.1 – 2.2</w:t>
      </w:r>
      <w:bookmarkEnd w:id="41"/>
      <w:r w:rsidR="006433CE">
        <w:rPr>
          <w:rFonts w:asciiTheme="minorHAnsi" w:hAnsiTheme="minorHAnsi"/>
          <w:b w:val="0"/>
          <w:sz w:val="20"/>
          <w:szCs w:val="20"/>
        </w:rPr>
        <w:t>a</w:t>
      </w:r>
    </w:p>
    <w:p w:rsidR="00B874DA" w:rsidRPr="00B874DA" w:rsidRDefault="00B874DA" w:rsidP="00CD2072">
      <w:pPr>
        <w:spacing w:after="0"/>
        <w:jc w:val="both"/>
        <w:rPr>
          <w:b/>
          <w:sz w:val="20"/>
          <w:szCs w:val="20"/>
        </w:rPr>
      </w:pPr>
    </w:p>
    <w:p w:rsidR="00B874DA" w:rsidRDefault="00B874DA" w:rsidP="00CD2072">
      <w:pPr>
        <w:pStyle w:val="Ttulo1"/>
        <w:spacing w:before="0"/>
        <w:rPr>
          <w:rFonts w:asciiTheme="minorHAnsi" w:hAnsiTheme="minorHAnsi"/>
          <w:sz w:val="20"/>
          <w:szCs w:val="20"/>
        </w:rPr>
      </w:pPr>
      <w:bookmarkStart w:id="42" w:name="_Toc367493021"/>
      <w:r w:rsidRPr="00B874DA">
        <w:rPr>
          <w:rFonts w:asciiTheme="minorHAnsi" w:hAnsiTheme="minorHAnsi"/>
          <w:sz w:val="20"/>
          <w:szCs w:val="20"/>
        </w:rPr>
        <w:t>Identificación de ítems de archivo</w:t>
      </w:r>
      <w:bookmarkEnd w:id="42"/>
    </w:p>
    <w:p w:rsidR="00624618" w:rsidRPr="00624618" w:rsidRDefault="00624618" w:rsidP="00CD2072">
      <w:pPr>
        <w:spacing w:after="0"/>
      </w:pPr>
      <w:bookmarkStart w:id="43" w:name="_GoBack"/>
      <w:bookmarkEnd w:id="43"/>
    </w:p>
    <w:p w:rsidR="00B874DA" w:rsidRPr="00624618" w:rsidRDefault="00B874DA" w:rsidP="00CD2072">
      <w:pPr>
        <w:pStyle w:val="Ttulo1"/>
        <w:spacing w:before="0"/>
        <w:jc w:val="both"/>
        <w:rPr>
          <w:rFonts w:asciiTheme="minorHAnsi" w:hAnsiTheme="minorHAnsi"/>
          <w:b w:val="0"/>
          <w:sz w:val="20"/>
          <w:szCs w:val="20"/>
        </w:rPr>
      </w:pPr>
      <w:bookmarkStart w:id="44" w:name="_Toc367493022"/>
      <w:r w:rsidRPr="00624618">
        <w:rPr>
          <w:rFonts w:asciiTheme="minorHAnsi" w:hAnsiTheme="minorHAnsi"/>
          <w:b w:val="0"/>
          <w:sz w:val="20"/>
          <w:szCs w:val="20"/>
        </w:rPr>
        <w:t>.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44"/>
    </w:p>
    <w:p w:rsidR="00B874DA" w:rsidRPr="00B874DA" w:rsidRDefault="00B874DA" w:rsidP="00624618">
      <w:pPr>
        <w:spacing w:after="0"/>
        <w:rPr>
          <w:sz w:val="20"/>
          <w:szCs w:val="20"/>
        </w:rPr>
      </w:pPr>
    </w:p>
    <w:p w:rsidR="00B874DA" w:rsidRPr="00497B08" w:rsidRDefault="006433CE" w:rsidP="00497B08">
      <w:pPr>
        <w:pStyle w:val="Ttulo1"/>
        <w:rPr>
          <w:sz w:val="20"/>
          <w:szCs w:val="20"/>
        </w:rPr>
      </w:pPr>
      <w:proofErr w:type="gramStart"/>
      <w:r w:rsidRPr="00497B08">
        <w:rPr>
          <w:sz w:val="20"/>
          <w:szCs w:val="20"/>
        </w:rPr>
        <w:t>b</w:t>
      </w:r>
      <w:proofErr w:type="gramEnd"/>
      <w:r w:rsidRPr="00497B08">
        <w:rPr>
          <w:sz w:val="20"/>
          <w:szCs w:val="20"/>
        </w:rPr>
        <w:t xml:space="preserve">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lastRenderedPageBreak/>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proofErr w:type="spellStart"/>
      <w:r>
        <w:rPr>
          <w:rStyle w:val="Ttulo2Car"/>
          <w:rFonts w:asciiTheme="minorHAnsi" w:hAnsiTheme="minorHAnsi"/>
          <w:sz w:val="20"/>
          <w:szCs w:val="20"/>
        </w:rPr>
        <w:t>ii</w:t>
      </w:r>
      <w:proofErr w:type="spellEnd"/>
      <w:r>
        <w:rPr>
          <w:rStyle w:val="Ttulo2Car"/>
          <w:rFonts w:asciiTheme="minorHAnsi" w:hAnsiTheme="minorHAnsi"/>
          <w:sz w:val="20"/>
          <w:szCs w:val="20"/>
        </w:rPr>
        <w:t>. Librerías controladas</w:t>
      </w:r>
    </w:p>
    <w:p w:rsidR="006433CE" w:rsidRDefault="006433CE" w:rsidP="006433CE">
      <w:pPr>
        <w:spacing w:after="0"/>
      </w:pPr>
      <w:r>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lastRenderedPageBreak/>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Integrador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diseño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construcción</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integración y pruebas</w:t>
      </w:r>
    </w:p>
    <w:p w:rsidR="006433CE" w:rsidRPr="00CF4D78" w:rsidRDefault="006433CE" w:rsidP="0087610D">
      <w:pPr>
        <w:pStyle w:val="Prrafodelista"/>
        <w:numPr>
          <w:ilvl w:val="0"/>
          <w:numId w:val="36"/>
        </w:num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790790">
        <w:tc>
          <w:tcPr>
            <w:tcW w:w="2552" w:type="dxa"/>
          </w:tcPr>
          <w:p w:rsidR="006433CE" w:rsidRPr="00CF4D78" w:rsidRDefault="006433CE" w:rsidP="00790790">
            <w:pPr>
              <w:rPr>
                <w:sz w:val="20"/>
                <w:szCs w:val="20"/>
              </w:rPr>
            </w:pPr>
            <w:r w:rsidRPr="00CF4D78">
              <w:rPr>
                <w:sz w:val="20"/>
                <w:szCs w:val="20"/>
              </w:rPr>
              <w:t>Rol</w:t>
            </w:r>
          </w:p>
        </w:tc>
        <w:tc>
          <w:tcPr>
            <w:tcW w:w="6318" w:type="dxa"/>
          </w:tcPr>
          <w:p w:rsidR="006433CE" w:rsidRPr="00CF4D78" w:rsidRDefault="006433CE" w:rsidP="00790790">
            <w:pPr>
              <w:rPr>
                <w:sz w:val="20"/>
                <w:szCs w:val="20"/>
              </w:rPr>
            </w:pPr>
            <w:r w:rsidRPr="00CF4D78">
              <w:rPr>
                <w:sz w:val="20"/>
                <w:szCs w:val="20"/>
              </w:rPr>
              <w:t>Tipo de acceso</w:t>
            </w:r>
          </w:p>
        </w:tc>
      </w:tr>
      <w:tr w:rsidR="006433CE" w:rsidRPr="00CF4D78" w:rsidTr="00790790">
        <w:tc>
          <w:tcPr>
            <w:tcW w:w="2552" w:type="dxa"/>
          </w:tcPr>
          <w:p w:rsidR="006433CE" w:rsidRPr="00CF4D78" w:rsidRDefault="006433CE" w:rsidP="00790790">
            <w:pPr>
              <w:rPr>
                <w:sz w:val="20"/>
                <w:szCs w:val="20"/>
              </w:rPr>
            </w:pPr>
            <w:r w:rsidRPr="00CF4D78">
              <w:rPr>
                <w:sz w:val="20"/>
                <w:szCs w:val="20"/>
              </w:rPr>
              <w:t>Gestor  de Configuración</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Escritura</w:t>
            </w:r>
          </w:p>
          <w:p w:rsidR="006433CE" w:rsidRPr="00CF4D78" w:rsidRDefault="006433CE" w:rsidP="00790790">
            <w:pPr>
              <w:rPr>
                <w:sz w:val="20"/>
                <w:szCs w:val="20"/>
              </w:rPr>
            </w:pPr>
            <w:r w:rsidRPr="00CF4D78">
              <w:rPr>
                <w:sz w:val="20"/>
                <w:szCs w:val="20"/>
              </w:rPr>
              <w:t>Ejecutar</w:t>
            </w:r>
          </w:p>
          <w:p w:rsidR="006433CE" w:rsidRPr="00CF4D78" w:rsidRDefault="006433CE" w:rsidP="00790790">
            <w:pPr>
              <w:rPr>
                <w:sz w:val="20"/>
                <w:szCs w:val="20"/>
              </w:rPr>
            </w:pPr>
            <w:r w:rsidRPr="00CF4D78">
              <w:rPr>
                <w:sz w:val="20"/>
                <w:szCs w:val="20"/>
              </w:rPr>
              <w:t>Eliminar</w:t>
            </w:r>
          </w:p>
        </w:tc>
      </w:tr>
      <w:tr w:rsidR="006433CE" w:rsidRPr="00CF4D78" w:rsidTr="00790790">
        <w:tc>
          <w:tcPr>
            <w:tcW w:w="2552" w:type="dxa"/>
          </w:tcPr>
          <w:p w:rsidR="006433CE" w:rsidRPr="00CF4D78" w:rsidRDefault="006433CE" w:rsidP="00790790">
            <w:pPr>
              <w:rPr>
                <w:sz w:val="20"/>
                <w:szCs w:val="20"/>
              </w:rPr>
            </w:pPr>
            <w:r w:rsidRPr="00CF4D78">
              <w:rPr>
                <w:sz w:val="20"/>
                <w:szCs w:val="20"/>
              </w:rPr>
              <w:t>Gerente del Proyecto</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Ejecutar</w:t>
            </w:r>
          </w:p>
        </w:tc>
      </w:tr>
      <w:tr w:rsidR="006433CE" w:rsidRPr="00CF4D78" w:rsidTr="00790790">
        <w:tc>
          <w:tcPr>
            <w:tcW w:w="2552" w:type="dxa"/>
          </w:tcPr>
          <w:p w:rsidR="006433CE" w:rsidRPr="00CF4D78" w:rsidRDefault="006433CE" w:rsidP="00790790">
            <w:pPr>
              <w:rPr>
                <w:sz w:val="20"/>
                <w:szCs w:val="20"/>
              </w:rPr>
            </w:pPr>
            <w:r w:rsidRPr="00CF4D78">
              <w:rPr>
                <w:sz w:val="20"/>
                <w:szCs w:val="20"/>
              </w:rPr>
              <w:t>Desarrollo</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Ejecutar</w:t>
            </w:r>
          </w:p>
          <w:p w:rsidR="006433CE" w:rsidRPr="00CF4D78" w:rsidRDefault="006433CE" w:rsidP="00790790">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19" w:history="1">
        <w:r w:rsidRPr="00CF4D78">
          <w:rPr>
            <w:rStyle w:val="Hipervnculo"/>
            <w:sz w:val="20"/>
            <w:szCs w:val="20"/>
          </w:rPr>
          <w:t>https://github.com/alexgino147/lib-dev</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Librería maestra</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Repositorio de trabajo propio de la Organización de Gestión de Configuración</w:t>
      </w:r>
      <w:r w:rsidRPr="00CF4D78">
        <w:rPr>
          <w:sz w:val="20"/>
          <w:szCs w:val="20"/>
        </w:rPr>
        <w:t xml:space="preserve">. </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Contiene SW de soporte de control, SW liberado para su integración.</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Actividades:</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Repositorio donde se encuentra el código fuente integrado listo  para ser pasado a producción, el cual ya paso por una verificación.</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Arquitecto de Software.</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planificación.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especificación de requerimientos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diseño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construcción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790790">
        <w:tc>
          <w:tcPr>
            <w:tcW w:w="2552" w:type="dxa"/>
          </w:tcPr>
          <w:p w:rsidR="006433CE" w:rsidRPr="00CF4D78" w:rsidRDefault="006433CE" w:rsidP="00790790">
            <w:pPr>
              <w:rPr>
                <w:sz w:val="20"/>
                <w:szCs w:val="20"/>
              </w:rPr>
            </w:pPr>
            <w:r w:rsidRPr="00CF4D78">
              <w:rPr>
                <w:sz w:val="20"/>
                <w:szCs w:val="20"/>
              </w:rPr>
              <w:t>Rol</w:t>
            </w:r>
          </w:p>
        </w:tc>
        <w:tc>
          <w:tcPr>
            <w:tcW w:w="6318" w:type="dxa"/>
          </w:tcPr>
          <w:p w:rsidR="006433CE" w:rsidRPr="00CF4D78" w:rsidRDefault="006433CE" w:rsidP="00790790">
            <w:pPr>
              <w:rPr>
                <w:sz w:val="20"/>
                <w:szCs w:val="20"/>
              </w:rPr>
            </w:pPr>
            <w:r w:rsidRPr="00CF4D78">
              <w:rPr>
                <w:sz w:val="20"/>
                <w:szCs w:val="20"/>
              </w:rPr>
              <w:t>Tipo de acceso</w:t>
            </w:r>
          </w:p>
        </w:tc>
      </w:tr>
      <w:tr w:rsidR="006433CE" w:rsidRPr="00CF4D78" w:rsidTr="00790790">
        <w:tc>
          <w:tcPr>
            <w:tcW w:w="2552" w:type="dxa"/>
          </w:tcPr>
          <w:p w:rsidR="006433CE" w:rsidRPr="00CF4D78" w:rsidRDefault="006433CE" w:rsidP="00790790">
            <w:pPr>
              <w:rPr>
                <w:sz w:val="20"/>
                <w:szCs w:val="20"/>
              </w:rPr>
            </w:pPr>
            <w:r w:rsidRPr="00CF4D78">
              <w:rPr>
                <w:sz w:val="20"/>
                <w:szCs w:val="20"/>
              </w:rPr>
              <w:t>Gerente del Proyecto</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Escritura</w:t>
            </w:r>
          </w:p>
          <w:p w:rsidR="006433CE" w:rsidRPr="00CF4D78" w:rsidRDefault="006433CE" w:rsidP="00790790">
            <w:pPr>
              <w:rPr>
                <w:sz w:val="20"/>
                <w:szCs w:val="20"/>
              </w:rPr>
            </w:pPr>
            <w:r w:rsidRPr="00CF4D78">
              <w:rPr>
                <w:sz w:val="20"/>
                <w:szCs w:val="20"/>
              </w:rPr>
              <w:t>Ejecutar</w:t>
            </w:r>
          </w:p>
          <w:p w:rsidR="006433CE" w:rsidRPr="00CF4D78" w:rsidRDefault="006433CE" w:rsidP="00790790">
            <w:pPr>
              <w:rPr>
                <w:sz w:val="20"/>
                <w:szCs w:val="20"/>
              </w:rPr>
            </w:pPr>
            <w:r w:rsidRPr="00CF4D78">
              <w:rPr>
                <w:sz w:val="20"/>
                <w:szCs w:val="20"/>
              </w:rPr>
              <w:t>Eliminar</w:t>
            </w:r>
          </w:p>
        </w:tc>
      </w:tr>
      <w:tr w:rsidR="006433CE" w:rsidRPr="00CF4D78" w:rsidTr="00790790">
        <w:tc>
          <w:tcPr>
            <w:tcW w:w="2552" w:type="dxa"/>
          </w:tcPr>
          <w:p w:rsidR="006433CE" w:rsidRPr="00CF4D78" w:rsidRDefault="006433CE" w:rsidP="00790790">
            <w:pPr>
              <w:rPr>
                <w:sz w:val="20"/>
                <w:szCs w:val="20"/>
              </w:rPr>
            </w:pPr>
            <w:r w:rsidRPr="00CF4D78">
              <w:rPr>
                <w:sz w:val="20"/>
                <w:szCs w:val="20"/>
              </w:rPr>
              <w:t>Arquitectura</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Ejecutar</w:t>
            </w:r>
          </w:p>
        </w:tc>
      </w:tr>
      <w:tr w:rsidR="006433CE" w:rsidRPr="00CF4D78" w:rsidTr="00790790">
        <w:tc>
          <w:tcPr>
            <w:tcW w:w="2552" w:type="dxa"/>
          </w:tcPr>
          <w:p w:rsidR="006433CE" w:rsidRPr="00CF4D78" w:rsidRDefault="006433CE" w:rsidP="00790790">
            <w:pPr>
              <w:rPr>
                <w:sz w:val="20"/>
                <w:szCs w:val="20"/>
              </w:rPr>
            </w:pPr>
            <w:r w:rsidRPr="00CF4D78">
              <w:rPr>
                <w:sz w:val="20"/>
                <w:szCs w:val="20"/>
              </w:rPr>
              <w:t>Analista de Calidad</w:t>
            </w:r>
          </w:p>
        </w:tc>
        <w:tc>
          <w:tcPr>
            <w:tcW w:w="6318"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0" w:history="1">
        <w:r w:rsidRPr="00CF4D78">
          <w:rPr>
            <w:rStyle w:val="Hipervnculo"/>
            <w:sz w:val="20"/>
            <w:szCs w:val="20"/>
          </w:rPr>
          <w:t>https://github.com/alexgino147/lib-mst</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 xml:space="preserve">Librería estática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Almacén SW o archivo de seguridad.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Repositorio de almacenamiento propio de la Organización de Gestión de Configuración</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Contiene el SW que haya contenido la librería maestra a lo largo del tiempo.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No permite el cambio de elementos contenidos, sí puede ampliarse y reducirse</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Responsable:</w:t>
      </w:r>
    </w:p>
    <w:p w:rsidR="006433CE" w:rsidRPr="00CF4D78" w:rsidRDefault="006433CE" w:rsidP="006433CE">
      <w:pPr>
        <w:spacing w:after="0"/>
        <w:rPr>
          <w:sz w:val="20"/>
          <w:szCs w:val="20"/>
        </w:rPr>
      </w:pPr>
      <w:r w:rsidRPr="00CF4D78">
        <w:rPr>
          <w:sz w:val="20"/>
          <w:szCs w:val="20"/>
        </w:rPr>
        <w:t>Gestor de la Configuración.</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pStyle w:val="Prrafodelista"/>
        <w:numPr>
          <w:ilvl w:val="0"/>
          <w:numId w:val="36"/>
        </w:numPr>
        <w:spacing w:after="0"/>
        <w:rPr>
          <w:sz w:val="20"/>
          <w:szCs w:val="20"/>
        </w:rPr>
      </w:pPr>
      <w:r w:rsidRPr="00CF4D78">
        <w:rPr>
          <w:sz w:val="20"/>
          <w:szCs w:val="20"/>
        </w:rPr>
        <w:t>Código Fuente, Frameworks, plugins</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4381"/>
        <w:gridCol w:w="4489"/>
      </w:tblGrid>
      <w:tr w:rsidR="006433CE" w:rsidRPr="00CF4D78" w:rsidTr="00790790">
        <w:tc>
          <w:tcPr>
            <w:tcW w:w="4381" w:type="dxa"/>
          </w:tcPr>
          <w:p w:rsidR="006433CE" w:rsidRPr="00CF4D78" w:rsidRDefault="006433CE" w:rsidP="00790790">
            <w:pPr>
              <w:rPr>
                <w:sz w:val="20"/>
                <w:szCs w:val="20"/>
              </w:rPr>
            </w:pPr>
            <w:r w:rsidRPr="00CF4D78">
              <w:rPr>
                <w:sz w:val="20"/>
                <w:szCs w:val="20"/>
              </w:rPr>
              <w:t>Rol</w:t>
            </w:r>
          </w:p>
        </w:tc>
        <w:tc>
          <w:tcPr>
            <w:tcW w:w="4489" w:type="dxa"/>
          </w:tcPr>
          <w:p w:rsidR="006433CE" w:rsidRPr="00CF4D78" w:rsidRDefault="006433CE" w:rsidP="00790790">
            <w:pPr>
              <w:rPr>
                <w:sz w:val="20"/>
                <w:szCs w:val="20"/>
              </w:rPr>
            </w:pPr>
            <w:r w:rsidRPr="00CF4D78">
              <w:rPr>
                <w:sz w:val="20"/>
                <w:szCs w:val="20"/>
              </w:rPr>
              <w:t>Tipo de acceso</w:t>
            </w:r>
          </w:p>
        </w:tc>
      </w:tr>
      <w:tr w:rsidR="006433CE" w:rsidRPr="00CF4D78" w:rsidTr="00790790">
        <w:tc>
          <w:tcPr>
            <w:tcW w:w="4381" w:type="dxa"/>
          </w:tcPr>
          <w:p w:rsidR="006433CE" w:rsidRPr="00CF4D78" w:rsidRDefault="006433CE" w:rsidP="00790790">
            <w:pPr>
              <w:rPr>
                <w:sz w:val="20"/>
                <w:szCs w:val="20"/>
              </w:rPr>
            </w:pPr>
            <w:r w:rsidRPr="00CF4D78">
              <w:rPr>
                <w:sz w:val="20"/>
                <w:szCs w:val="20"/>
              </w:rPr>
              <w:t>Gestor  de Configuración</w:t>
            </w:r>
          </w:p>
        </w:tc>
        <w:tc>
          <w:tcPr>
            <w:tcW w:w="4489"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Escritura</w:t>
            </w:r>
          </w:p>
          <w:p w:rsidR="006433CE" w:rsidRPr="00CF4D78" w:rsidRDefault="006433CE" w:rsidP="00790790">
            <w:pPr>
              <w:rPr>
                <w:sz w:val="20"/>
                <w:szCs w:val="20"/>
              </w:rPr>
            </w:pPr>
            <w:r w:rsidRPr="00CF4D78">
              <w:rPr>
                <w:sz w:val="20"/>
                <w:szCs w:val="20"/>
              </w:rPr>
              <w:t>Ejecutar</w:t>
            </w:r>
          </w:p>
          <w:p w:rsidR="006433CE" w:rsidRPr="00CF4D78" w:rsidRDefault="006433CE" w:rsidP="00790790">
            <w:pPr>
              <w:rPr>
                <w:sz w:val="20"/>
                <w:szCs w:val="20"/>
              </w:rPr>
            </w:pPr>
            <w:r w:rsidRPr="00CF4D78">
              <w:rPr>
                <w:sz w:val="20"/>
                <w:szCs w:val="20"/>
              </w:rPr>
              <w:t>Eliminar</w:t>
            </w:r>
          </w:p>
        </w:tc>
      </w:tr>
      <w:tr w:rsidR="006433CE" w:rsidRPr="00CF4D78" w:rsidTr="00790790">
        <w:tc>
          <w:tcPr>
            <w:tcW w:w="4381" w:type="dxa"/>
          </w:tcPr>
          <w:p w:rsidR="006433CE" w:rsidRPr="00CF4D78" w:rsidRDefault="006433CE" w:rsidP="00790790">
            <w:pPr>
              <w:rPr>
                <w:sz w:val="20"/>
                <w:szCs w:val="20"/>
              </w:rPr>
            </w:pPr>
            <w:r w:rsidRPr="00CF4D78">
              <w:rPr>
                <w:sz w:val="20"/>
                <w:szCs w:val="20"/>
              </w:rPr>
              <w:t>Gerente de Proyecto</w:t>
            </w:r>
          </w:p>
        </w:tc>
        <w:tc>
          <w:tcPr>
            <w:tcW w:w="4489" w:type="dxa"/>
          </w:tcPr>
          <w:p w:rsidR="006433CE" w:rsidRPr="00CF4D78" w:rsidRDefault="006433CE" w:rsidP="00790790">
            <w:pPr>
              <w:rPr>
                <w:sz w:val="20"/>
                <w:szCs w:val="20"/>
              </w:rPr>
            </w:pPr>
            <w:r w:rsidRPr="00CF4D78">
              <w:rPr>
                <w:sz w:val="20"/>
                <w:szCs w:val="20"/>
              </w:rPr>
              <w:t>Leer</w:t>
            </w:r>
          </w:p>
          <w:p w:rsidR="006433CE" w:rsidRPr="00CF4D78" w:rsidRDefault="006433CE" w:rsidP="00790790">
            <w:pPr>
              <w:rPr>
                <w:sz w:val="20"/>
                <w:szCs w:val="20"/>
              </w:rPr>
            </w:pPr>
            <w:r w:rsidRPr="00CF4D78">
              <w:rPr>
                <w:sz w:val="20"/>
                <w:szCs w:val="20"/>
              </w:rPr>
              <w:t>Ejecutar</w:t>
            </w: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1" w:history="1">
        <w:r w:rsidRPr="00CF4D78">
          <w:rPr>
            <w:rStyle w:val="Hipervnculo"/>
            <w:sz w:val="20"/>
            <w:szCs w:val="20"/>
          </w:rPr>
          <w:t>https://github.com/alexgino147/lib-stc</w:t>
        </w:r>
      </w:hyperlink>
    </w:p>
    <w:p w:rsidR="006433CE" w:rsidRPr="00CF4D78" w:rsidRDefault="006433CE" w:rsidP="00624618">
      <w:pPr>
        <w:spacing w:after="0"/>
        <w:rPr>
          <w:rStyle w:val="Ttulo2Car"/>
          <w:rFonts w:asciiTheme="minorHAnsi" w:hAnsiTheme="minorHAnsi"/>
          <w:sz w:val="20"/>
          <w:szCs w:val="20"/>
        </w:rPr>
      </w:pPr>
    </w:p>
    <w:p w:rsidR="006433CE" w:rsidRPr="00CF4D78" w:rsidRDefault="006433CE" w:rsidP="00624618">
      <w:pPr>
        <w:spacing w:after="0"/>
        <w:rPr>
          <w:rStyle w:val="Ttulo2Car"/>
          <w:rFonts w:asciiTheme="minorHAnsi" w:hAnsiTheme="minorHAnsi"/>
          <w:sz w:val="20"/>
          <w:szCs w:val="20"/>
        </w:rPr>
      </w:pPr>
      <w:proofErr w:type="spellStart"/>
      <w:r w:rsidRPr="00CF4D78">
        <w:rPr>
          <w:rStyle w:val="Ttulo2Car"/>
          <w:rFonts w:asciiTheme="minorHAnsi" w:hAnsiTheme="minorHAnsi"/>
          <w:sz w:val="20"/>
          <w:szCs w:val="20"/>
        </w:rPr>
        <w:t>iii</w:t>
      </w:r>
      <w:proofErr w:type="spellEnd"/>
      <w:r w:rsidRPr="00CF4D78">
        <w:rPr>
          <w:rStyle w:val="Ttulo2Car"/>
          <w:rFonts w:asciiTheme="minorHAnsi" w:hAnsiTheme="minorHAnsi"/>
          <w:sz w:val="20"/>
          <w:szCs w:val="20"/>
        </w:rPr>
        <w:t>. Control de cambios</w:t>
      </w:r>
    </w:p>
    <w:p w:rsidR="00B147B4" w:rsidRPr="00CF4D78" w:rsidRDefault="00B147B4" w:rsidP="00B147B4">
      <w:pPr>
        <w:jc w:val="both"/>
        <w:rPr>
          <w:sz w:val="20"/>
          <w:szCs w:val="20"/>
        </w:rPr>
      </w:pPr>
      <w:r w:rsidRPr="00CF4D78">
        <w:rPr>
          <w:sz w:val="20"/>
          <w:szCs w:val="20"/>
        </w:rPr>
        <w:t>El proceso de control de cambios gestiona la solicitud, evaluación, aprobación y ejecución de cambios identificados durante el desarrollo y mantenimiento del software. Cuando la solicitud de cambio afecta a un ítem bajo línea base requerirá aprobación del Comité d</w:t>
      </w:r>
      <w:r w:rsidR="0087610D" w:rsidRPr="00CF4D78">
        <w:rPr>
          <w:sz w:val="20"/>
          <w:szCs w:val="20"/>
        </w:rPr>
        <w:t>e</w:t>
      </w:r>
      <w:r w:rsidRPr="00CF4D78">
        <w:rPr>
          <w:sz w:val="20"/>
          <w:szCs w:val="20"/>
        </w:rPr>
        <w:t xml:space="preserve"> Cambios (CCC); caso contrario serán gestionadas por el gerente del proyecto y el arquitecto de software.</w:t>
      </w:r>
    </w:p>
    <w:p w:rsidR="00B147B4" w:rsidRPr="00CF4D78" w:rsidRDefault="00B147B4" w:rsidP="00B147B4">
      <w:pPr>
        <w:pStyle w:val="Ttulo2"/>
        <w:rPr>
          <w:sz w:val="20"/>
          <w:szCs w:val="20"/>
        </w:rPr>
      </w:pPr>
      <w:r w:rsidRPr="00CF4D78">
        <w:rPr>
          <w:sz w:val="20"/>
          <w:szCs w:val="20"/>
        </w:rPr>
        <w:t>Comité de Control de Cambios (CCC)</w:t>
      </w:r>
    </w:p>
    <w:p w:rsidR="00B147B4" w:rsidRPr="00CF4D78" w:rsidRDefault="00B147B4" w:rsidP="00B147B4">
      <w:pPr>
        <w:jc w:val="both"/>
        <w:rPr>
          <w:sz w:val="20"/>
          <w:szCs w:val="20"/>
        </w:rPr>
      </w:pPr>
      <w:r w:rsidRPr="00CF4D78">
        <w:rPr>
          <w:sz w:val="20"/>
          <w:szCs w:val="20"/>
        </w:rPr>
        <w:t>El CCC estará conformado por los siguientes miembros:</w:t>
      </w:r>
    </w:p>
    <w:p w:rsidR="00B147B4" w:rsidRPr="00CF4D78" w:rsidRDefault="00B147B4" w:rsidP="00B147B4">
      <w:pPr>
        <w:numPr>
          <w:ilvl w:val="0"/>
          <w:numId w:val="38"/>
        </w:numPr>
        <w:spacing w:line="300" w:lineRule="exact"/>
        <w:jc w:val="both"/>
        <w:rPr>
          <w:sz w:val="20"/>
          <w:szCs w:val="20"/>
        </w:rPr>
      </w:pPr>
      <w:r w:rsidRPr="00CF4D78">
        <w:rPr>
          <w:sz w:val="20"/>
          <w:szCs w:val="20"/>
        </w:rPr>
        <w:lastRenderedPageBreak/>
        <w:t>Líder ejecutivo del proyecto;</w:t>
      </w:r>
    </w:p>
    <w:p w:rsidR="00B147B4" w:rsidRPr="00CF4D78" w:rsidRDefault="00B147B4" w:rsidP="00B147B4">
      <w:pPr>
        <w:numPr>
          <w:ilvl w:val="0"/>
          <w:numId w:val="38"/>
        </w:numPr>
        <w:spacing w:line="300" w:lineRule="exact"/>
        <w:jc w:val="both"/>
        <w:rPr>
          <w:sz w:val="20"/>
          <w:szCs w:val="20"/>
        </w:rPr>
      </w:pPr>
      <w:r w:rsidRPr="00CF4D78">
        <w:rPr>
          <w:sz w:val="20"/>
          <w:szCs w:val="20"/>
        </w:rPr>
        <w:t>Gerente de proyecto;</w:t>
      </w:r>
    </w:p>
    <w:p w:rsidR="00B147B4" w:rsidRPr="00CF4D78" w:rsidRDefault="00B147B4" w:rsidP="00B147B4">
      <w:pPr>
        <w:numPr>
          <w:ilvl w:val="0"/>
          <w:numId w:val="38"/>
        </w:numPr>
        <w:spacing w:line="300" w:lineRule="exact"/>
        <w:jc w:val="both"/>
        <w:rPr>
          <w:sz w:val="20"/>
          <w:szCs w:val="20"/>
        </w:rPr>
      </w:pPr>
      <w:r w:rsidRPr="00CF4D78">
        <w:rPr>
          <w:sz w:val="20"/>
          <w:szCs w:val="20"/>
        </w:rPr>
        <w:t>Arquitecto de Software;</w:t>
      </w:r>
    </w:p>
    <w:p w:rsidR="00B147B4" w:rsidRPr="00CF4D78" w:rsidRDefault="00B147B4" w:rsidP="00B147B4">
      <w:pPr>
        <w:numPr>
          <w:ilvl w:val="0"/>
          <w:numId w:val="38"/>
        </w:numPr>
        <w:spacing w:line="300" w:lineRule="exact"/>
        <w:jc w:val="both"/>
        <w:rPr>
          <w:sz w:val="20"/>
          <w:szCs w:val="20"/>
        </w:rPr>
      </w:pPr>
      <w:r w:rsidRPr="00CF4D78">
        <w:rPr>
          <w:sz w:val="20"/>
          <w:szCs w:val="20"/>
        </w:rPr>
        <w:t>Usuario afectados por la solicitud de cambio;</w:t>
      </w:r>
    </w:p>
    <w:p w:rsidR="00B147B4" w:rsidRPr="00CF4D78" w:rsidRDefault="00B147B4" w:rsidP="00B147B4">
      <w:pPr>
        <w:jc w:val="both"/>
        <w:rPr>
          <w:sz w:val="20"/>
          <w:szCs w:val="20"/>
        </w:rPr>
      </w:pPr>
      <w:r w:rsidRPr="00CF4D78">
        <w:rPr>
          <w:sz w:val="20"/>
          <w:szCs w:val="20"/>
        </w:rPr>
        <w:t xml:space="preserve">El propósito que persigue el CCC en el contexto de desarrollo de software es priorizar y seleccionar las solicitudes de cambio a ser gestionadas en una iteración específica de desarrollo. </w:t>
      </w:r>
    </w:p>
    <w:p w:rsidR="00B147B4" w:rsidRPr="00CF4D78" w:rsidRDefault="00B147B4" w:rsidP="00B147B4">
      <w:pPr>
        <w:pStyle w:val="Ttulo2"/>
        <w:rPr>
          <w:sz w:val="20"/>
          <w:szCs w:val="20"/>
        </w:rPr>
      </w:pPr>
      <w:r w:rsidRPr="00CF4D78">
        <w:rPr>
          <w:sz w:val="20"/>
          <w:szCs w:val="20"/>
        </w:rPr>
        <w:t>Solicitudes de Cambio</w:t>
      </w:r>
    </w:p>
    <w:p w:rsidR="00B147B4" w:rsidRPr="00CF4D78" w:rsidRDefault="00B147B4" w:rsidP="00B147B4">
      <w:pPr>
        <w:jc w:val="both"/>
        <w:rPr>
          <w:sz w:val="20"/>
          <w:szCs w:val="20"/>
        </w:rPr>
      </w:pPr>
      <w:r w:rsidRPr="00CF4D78">
        <w:rPr>
          <w:sz w:val="20"/>
          <w:szCs w:val="20"/>
        </w:rPr>
        <w:t>El control de configuración debe cubrir lo siguiente:</w:t>
      </w:r>
    </w:p>
    <w:p w:rsidR="00B147B4" w:rsidRPr="00CF4D78" w:rsidRDefault="00B147B4" w:rsidP="00B147B4">
      <w:pPr>
        <w:numPr>
          <w:ilvl w:val="0"/>
          <w:numId w:val="37"/>
        </w:numPr>
        <w:spacing w:line="300" w:lineRule="exact"/>
        <w:jc w:val="both"/>
        <w:rPr>
          <w:sz w:val="20"/>
          <w:szCs w:val="20"/>
        </w:rPr>
      </w:pPr>
      <w:r w:rsidRPr="00CF4D78">
        <w:rPr>
          <w:sz w:val="20"/>
          <w:szCs w:val="20"/>
        </w:rPr>
        <w:t>Identificación y documentación de la necesidad de cambio;</w:t>
      </w:r>
    </w:p>
    <w:p w:rsidR="00B147B4" w:rsidRPr="00CF4D78" w:rsidRDefault="00B147B4" w:rsidP="00B147B4">
      <w:pPr>
        <w:numPr>
          <w:ilvl w:val="0"/>
          <w:numId w:val="37"/>
        </w:numPr>
        <w:spacing w:line="300" w:lineRule="exact"/>
        <w:jc w:val="both"/>
        <w:rPr>
          <w:sz w:val="20"/>
          <w:szCs w:val="20"/>
        </w:rPr>
      </w:pPr>
      <w:r w:rsidRPr="00CF4D78">
        <w:rPr>
          <w:sz w:val="20"/>
          <w:szCs w:val="20"/>
        </w:rPr>
        <w:t>Análisis y evaluación del pedido de cambio;</w:t>
      </w:r>
    </w:p>
    <w:p w:rsidR="00B147B4" w:rsidRPr="00CF4D78" w:rsidRDefault="00B147B4" w:rsidP="00B147B4">
      <w:pPr>
        <w:numPr>
          <w:ilvl w:val="0"/>
          <w:numId w:val="37"/>
        </w:numPr>
        <w:spacing w:line="300" w:lineRule="exact"/>
        <w:jc w:val="both"/>
        <w:rPr>
          <w:sz w:val="20"/>
          <w:szCs w:val="20"/>
        </w:rPr>
      </w:pPr>
      <w:r w:rsidRPr="00CF4D78">
        <w:rPr>
          <w:sz w:val="20"/>
          <w:szCs w:val="20"/>
        </w:rPr>
        <w:t>Aprobación o desaprobación del pedido;</w:t>
      </w:r>
    </w:p>
    <w:p w:rsidR="00C250BA" w:rsidRDefault="00B147B4" w:rsidP="00C250BA">
      <w:pPr>
        <w:numPr>
          <w:ilvl w:val="0"/>
          <w:numId w:val="37"/>
        </w:numPr>
        <w:spacing w:line="300" w:lineRule="exact"/>
        <w:jc w:val="both"/>
        <w:rPr>
          <w:sz w:val="20"/>
          <w:szCs w:val="20"/>
        </w:rPr>
      </w:pPr>
      <w:r w:rsidRPr="00CF4D78">
        <w:rPr>
          <w:sz w:val="20"/>
          <w:szCs w:val="20"/>
        </w:rPr>
        <w:t>Verificación, implementación y liberación de cambios</w:t>
      </w:r>
    </w:p>
    <w:p w:rsidR="00C250BA" w:rsidRDefault="00C250BA" w:rsidP="00595F9E">
      <w:pPr>
        <w:jc w:val="both"/>
        <w:rPr>
          <w:sz w:val="20"/>
          <w:szCs w:val="20"/>
        </w:rPr>
      </w:pPr>
      <w:r>
        <w:rPr>
          <w:sz w:val="20"/>
          <w:szCs w:val="20"/>
        </w:rPr>
        <w:t>Plantilla Base para Solicitud de cambios</w:t>
      </w:r>
    </w:p>
    <w:tbl>
      <w:tblPr>
        <w:tblStyle w:val="Sombreadoclaro-nfasis4"/>
        <w:tblW w:w="8172" w:type="dxa"/>
        <w:tblLook w:val="04A0"/>
      </w:tblPr>
      <w:tblGrid>
        <w:gridCol w:w="1554"/>
        <w:gridCol w:w="6739"/>
      </w:tblGrid>
      <w:tr w:rsidR="00C250BA" w:rsidRPr="00C250BA" w:rsidTr="00C250BA">
        <w:trPr>
          <w:cnfStyle w:val="100000000000"/>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ID</w:t>
            </w:r>
          </w:p>
        </w:tc>
        <w:tc>
          <w:tcPr>
            <w:tcW w:w="6739" w:type="dxa"/>
            <w:noWrap/>
            <w:hideMark/>
          </w:tcPr>
          <w:p w:rsidR="00C250BA" w:rsidRPr="00C250BA" w:rsidRDefault="00C250BA" w:rsidP="00C250BA">
            <w:pPr>
              <w:cnfStyle w:val="1000000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Proyecto</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Fecha</w:t>
            </w:r>
          </w:p>
        </w:tc>
        <w:tc>
          <w:tcPr>
            <w:tcW w:w="6739" w:type="dxa"/>
            <w:noWrap/>
            <w:hideMark/>
          </w:tcPr>
          <w:p w:rsidR="00C250BA" w:rsidRPr="00C250BA" w:rsidRDefault="00C250BA" w:rsidP="00C250BA">
            <w:pPr>
              <w:cnfStyle w:val="0000000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Fuentes</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Descripción</w:t>
            </w:r>
          </w:p>
        </w:tc>
        <w:tc>
          <w:tcPr>
            <w:tcW w:w="6739" w:type="dxa"/>
            <w:noWrap/>
            <w:hideMark/>
          </w:tcPr>
          <w:p w:rsidR="00C250BA" w:rsidRPr="00C250BA" w:rsidRDefault="00C250BA" w:rsidP="00C250BA">
            <w:pPr>
              <w:cnfStyle w:val="0000000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trHeight w:val="428"/>
        </w:trPr>
        <w:tc>
          <w:tcPr>
            <w:cnfStyle w:val="00100000000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Justificación</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5F2B08" w:rsidRPr="00C250BA" w:rsidTr="00C250BA">
        <w:trPr>
          <w:trHeight w:val="428"/>
        </w:trPr>
        <w:tc>
          <w:tcPr>
            <w:cnfStyle w:val="001000000000"/>
            <w:tcW w:w="1433" w:type="dxa"/>
            <w:noWrap/>
          </w:tcPr>
          <w:p w:rsidR="005F2B08" w:rsidRPr="00C250BA"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Solicitud</w:t>
            </w:r>
          </w:p>
        </w:tc>
        <w:tc>
          <w:tcPr>
            <w:tcW w:w="6739" w:type="dxa"/>
            <w:noWrap/>
          </w:tcPr>
          <w:p w:rsidR="005F2B08" w:rsidRPr="00C250BA" w:rsidRDefault="005F2B08" w:rsidP="00C250BA">
            <w:pPr>
              <w:cnfStyle w:val="000000000000"/>
              <w:rPr>
                <w:rFonts w:ascii="Calibri" w:eastAsia="Times New Roman" w:hAnsi="Calibri" w:cs="Times New Roman"/>
                <w:color w:val="000000"/>
                <w:lang w:val="es-PE" w:eastAsia="es-PE"/>
              </w:rPr>
            </w:pPr>
          </w:p>
        </w:tc>
      </w:tr>
      <w:tr w:rsidR="005F2B08" w:rsidRPr="00C250BA" w:rsidTr="00C250BA">
        <w:trPr>
          <w:cnfStyle w:val="000000100000"/>
          <w:trHeight w:val="428"/>
        </w:trPr>
        <w:tc>
          <w:tcPr>
            <w:cnfStyle w:val="001000000000"/>
            <w:tcW w:w="1433" w:type="dxa"/>
            <w:noWrap/>
          </w:tcPr>
          <w:p w:rsidR="005F2B08"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Observaciones</w:t>
            </w:r>
          </w:p>
        </w:tc>
        <w:tc>
          <w:tcPr>
            <w:tcW w:w="6739" w:type="dxa"/>
            <w:noWrap/>
          </w:tcPr>
          <w:p w:rsidR="005F2B08" w:rsidRPr="00C250BA" w:rsidRDefault="005F2B08" w:rsidP="00C250BA">
            <w:pPr>
              <w:cnfStyle w:val="000000100000"/>
              <w:rPr>
                <w:rFonts w:ascii="Calibri" w:eastAsia="Times New Roman" w:hAnsi="Calibri" w:cs="Times New Roman"/>
                <w:color w:val="000000"/>
                <w:lang w:val="es-PE" w:eastAsia="es-PE"/>
              </w:rPr>
            </w:pPr>
          </w:p>
        </w:tc>
      </w:tr>
      <w:tr w:rsidR="00B97A82" w:rsidRPr="00C250BA" w:rsidTr="00C250BA">
        <w:trPr>
          <w:trHeight w:val="428"/>
        </w:trPr>
        <w:tc>
          <w:tcPr>
            <w:cnfStyle w:val="001000000000"/>
            <w:tcW w:w="1433" w:type="dxa"/>
            <w:noWrap/>
          </w:tcPr>
          <w:p w:rsidR="00B97A82" w:rsidRDefault="00B97A82"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Estado</w:t>
            </w:r>
          </w:p>
        </w:tc>
        <w:tc>
          <w:tcPr>
            <w:tcW w:w="6739" w:type="dxa"/>
            <w:noWrap/>
          </w:tcPr>
          <w:p w:rsidR="00B97A82" w:rsidRPr="00C250BA" w:rsidRDefault="00B97A82" w:rsidP="00C250BA">
            <w:pPr>
              <w:cnfStyle w:val="000000000000"/>
              <w:rPr>
                <w:rFonts w:ascii="Calibri" w:eastAsia="Times New Roman" w:hAnsi="Calibri" w:cs="Times New Roman"/>
                <w:color w:val="000000"/>
                <w:lang w:val="es-PE" w:eastAsia="es-PE"/>
              </w:rPr>
            </w:pPr>
          </w:p>
        </w:tc>
      </w:tr>
    </w:tbl>
    <w:p w:rsidR="006433CE" w:rsidRPr="00B874DA" w:rsidRDefault="00C250BA" w:rsidP="00C250BA">
      <w:pPr>
        <w:spacing w:line="300" w:lineRule="exact"/>
        <w:ind w:left="1440"/>
        <w:jc w:val="both"/>
        <w:rPr>
          <w:sz w:val="20"/>
          <w:szCs w:val="20"/>
        </w:rPr>
      </w:pPr>
      <w:r w:rsidRPr="00B874DA">
        <w:rPr>
          <w:sz w:val="20"/>
          <w:szCs w:val="20"/>
        </w:rPr>
        <w:t xml:space="preserve"> </w:t>
      </w:r>
    </w:p>
    <w:sectPr w:rsidR="006433CE" w:rsidRPr="00B874DA" w:rsidSect="00942349">
      <w:footerReference w:type="default" r:id="rId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2E" w:rsidRDefault="001E1E2E" w:rsidP="00E47FBB">
      <w:pPr>
        <w:spacing w:after="0" w:line="240" w:lineRule="auto"/>
      </w:pPr>
      <w:r>
        <w:separator/>
      </w:r>
    </w:p>
  </w:endnote>
  <w:endnote w:type="continuationSeparator" w:id="0">
    <w:p w:rsidR="001E1E2E" w:rsidRDefault="001E1E2E"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CD2072" w:rsidRDefault="008C0C3C">
        <w:pPr>
          <w:pStyle w:val="Piedepgina"/>
          <w:jc w:val="right"/>
        </w:pPr>
        <w:fldSimple w:instr="PAGE   \* MERGEFORMAT">
          <w:r w:rsidR="00B97A82">
            <w:rPr>
              <w:noProof/>
            </w:rPr>
            <w:t>16</w:t>
          </w:r>
        </w:fldSimple>
      </w:p>
    </w:sdtContent>
  </w:sdt>
  <w:p w:rsidR="00CD2072" w:rsidRDefault="00CD20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2E" w:rsidRDefault="001E1E2E" w:rsidP="00E47FBB">
      <w:pPr>
        <w:spacing w:after="0" w:line="240" w:lineRule="auto"/>
      </w:pPr>
      <w:r>
        <w:separator/>
      </w:r>
    </w:p>
  </w:footnote>
  <w:footnote w:type="continuationSeparator" w:id="0">
    <w:p w:rsidR="001E1E2E" w:rsidRDefault="001E1E2E" w:rsidP="00E4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1656"/>
    <w:rsid w:val="00474CB3"/>
    <w:rsid w:val="0049137D"/>
    <w:rsid w:val="004916FE"/>
    <w:rsid w:val="00492189"/>
    <w:rsid w:val="00497B08"/>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C0C3C"/>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51036"/>
    <w:rsid w:val="00B54B9D"/>
    <w:rsid w:val="00B576E2"/>
    <w:rsid w:val="00B67343"/>
    <w:rsid w:val="00B71859"/>
    <w:rsid w:val="00B71E0F"/>
    <w:rsid w:val="00B72B74"/>
    <w:rsid w:val="00B838BB"/>
    <w:rsid w:val="00B84D61"/>
    <w:rsid w:val="00B8531A"/>
    <w:rsid w:val="00B874DA"/>
    <w:rsid w:val="00B87DB6"/>
    <w:rsid w:val="00B97A82"/>
    <w:rsid w:val="00BA0ABD"/>
    <w:rsid w:val="00BA3AF1"/>
    <w:rsid w:val="00BA3D44"/>
    <w:rsid w:val="00BB34E0"/>
    <w:rsid w:val="00BB3509"/>
    <w:rsid w:val="00BB5F6A"/>
    <w:rsid w:val="00BC4879"/>
    <w:rsid w:val="00BC64F1"/>
    <w:rsid w:val="00BC6D28"/>
    <w:rsid w:val="00BD57C5"/>
    <w:rsid w:val="00BD589C"/>
    <w:rsid w:val="00BE24E2"/>
    <w:rsid w:val="00C02B08"/>
    <w:rsid w:val="00C038D9"/>
    <w:rsid w:val="00C070B1"/>
    <w:rsid w:val="00C10D0B"/>
    <w:rsid w:val="00C17126"/>
    <w:rsid w:val="00C2397A"/>
    <w:rsid w:val="00C250B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1415D"/>
    <w:rsid w:val="00D16955"/>
    <w:rsid w:val="00D200DF"/>
    <w:rsid w:val="00D215CE"/>
    <w:rsid w:val="00D25794"/>
    <w:rsid w:val="00D25A3A"/>
    <w:rsid w:val="00D47EEB"/>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338"/>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8A722C-AAD5-4630-AD31-E26EC47D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3590</Words>
  <Characters>19746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17</cp:revision>
  <dcterms:created xsi:type="dcterms:W3CDTF">2013-09-21T13:35:00Z</dcterms:created>
  <dcterms:modified xsi:type="dcterms:W3CDTF">2013-09-28T14:50:00Z</dcterms:modified>
</cp:coreProperties>
</file>