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0"/>
      </w:pPr>
      <w:r>
        <w:rPr>
          <w:rFonts w:ascii="Aptos Display" w:cs="Aptos Display" w:eastAsia="Aptos Display" w:hAnsi="Aptos Display"/>
          <w:b/>
          <w:bCs/>
          <w:color w:val="00A6D6"/>
          <w:spacing w:val="180"/>
          <w:sz w:val="18"/>
          <w:szCs w:val="18"/>
        </w:rPr>
        <w:t xml:space="preserve">AISA  /  POWER PLATFORM</w:t>
      </w:r>
    </w:p>
    <w:p>
      <w:pPr>
        <w:spacing w:before="900" w:after="40"/>
      </w:pPr>
      <w:r>
        <w:rPr>
          <w:rFonts w:ascii="Aptos Display" w:cs="Aptos Display" w:eastAsia="Aptos Display" w:hAnsi="Aptos Display"/>
          <w:b/>
          <w:bCs/>
          <w:color w:val="12304A"/>
          <w:sz w:val="56"/>
          <w:szCs w:val="56"/>
        </w:rPr>
        <w:t xml:space="preserve">Power Platform</w:t>
      </w:r>
    </w:p>
    <w:p>
      <w:pPr>
        <w:spacing w:after="280"/>
      </w:pPr>
      <w:r>
        <w:rPr>
          <w:rFonts w:ascii="Aptos Display" w:cs="Aptos Display" w:eastAsia="Aptos Display" w:hAnsi="Aptos Display"/>
          <w:b/>
          <w:bCs/>
          <w:color w:val="0072CE"/>
          <w:sz w:val="56"/>
          <w:szCs w:val="56"/>
        </w:rPr>
        <w:t xml:space="preserve">Governance Charter</w:t>
      </w:r>
    </w:p>
    <w:p>
      <w:pPr>
        <w:pBdr>
          <w:bottom w:val="single" w:color="00A6D6" w:sz="20" w:space="1"/>
        </w:pBdr>
        <w:spacing w:after="260"/>
      </w:pPr>
    </w:p>
    <w:p>
      <w:pPr>
        <w:spacing w:after="130" w:line="290"/>
        <w:rPr>
          <w:color w:val="64748B"/>
          <w:sz w:val="25"/>
          <w:szCs w:val="25"/>
        </w:rPr>
      </w:pPr>
      <w:r>
        <w:rPr>
          <w:rFonts w:ascii="Aptos" w:cs="Aptos" w:eastAsia="Aptos" w:hAnsi="Aptos"/>
          <w:color w:val="64748B"/>
          <w:sz w:val="25"/>
          <w:szCs w:val="25"/>
        </w:rPr>
        <w:t xml:space="preserve">Decision rights, operating principles and accountability for a governed platform</w:t>
      </w:r>
    </w:p>
    <w:p>
      <w:pPr>
        <w:spacing w:after="700"/>
      </w:pP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26"/>
        <w:gridCol w:w="74"/>
      </w:tblGrid>
      <w:tr>
        <w:trPr>
          <w:cantSplit/>
          <w:tblHeader/>
        </w:trPr>
        <w:tc>
          <w:tcPr>
            <w:tcW w:type="pct" w:w="2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pct" w:w="7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PP-GOV-001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STATUS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Draft for organisational approval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VERSION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EFFECTIVE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3 September 2026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OWNER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Power Platform Governance Lead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</w:t>
            </w:r>
          </w:p>
        </w:tc>
        <w:tc>
          <w:tcPr>
            <w:tcW w:type="pct" w:w="7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Digital / Technology Governance Board</w:t>
            </w:r>
          </w:p>
        </w:tc>
      </w:tr>
      <w:tr>
        <w:trPr>
          <w:cantSplit/>
          <w:tblHeader w:val="false"/>
        </w:trPr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REVIEW</w:t>
            </w:r>
          </w:p>
        </w:tc>
        <w:tc>
          <w:tcPr>
            <w:tcW w:type="pct" w:w="7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Annual and after material platform change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CONTROLLED DOCUMENT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Review named authorities, risk thresholds, service levels, retention requirements and volatile platform behaviour before approval.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How to use this document</w:t>
      </w:r>
    </w:p>
    <w:p>
      <w:pPr>
        <w:spacing w:after="130" w:line="29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This document is a draft governance instrument derived from the canonical Power Platform evidence set. It becomes binding only after approval through the organisation’s document-control process.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28"/>
        <w:gridCol w:w="72"/>
      </w:tblGrid>
      <w:tr>
        <w:trPr>
          <w:cantSplit/>
          <w:tblHeader/>
        </w:trPr>
        <w:tc>
          <w:tcPr>
            <w:tcW w:type="pct" w:w="2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pct" w:w="7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MUST / MUST NOT</w:t>
            </w:r>
          </w:p>
        </w:tc>
        <w:tc>
          <w:tcPr>
            <w:tcW w:type="pct" w:w="7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Mandatory requirement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SHOULD / SHOULD NOT</w:t>
            </w:r>
          </w:p>
        </w:tc>
        <w:tc>
          <w:tcPr>
            <w:tcW w:type="pct" w:w="7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Expected; deviation requires recorded justification</w:t>
            </w:r>
          </w:p>
        </w:tc>
      </w:tr>
      <w:tr>
        <w:trPr>
          <w:cantSplit/>
          <w:tblHeader w:val="false"/>
        </w:trPr>
        <w:tc>
          <w:tcPr>
            <w:tcW w:type="pct" w:w="2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MAY</w:t>
            </w:r>
          </w:p>
        </w:tc>
        <w:tc>
          <w:tcPr>
            <w:tcW w:type="pct" w:w="7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Optional within the stated boundaries</w:t>
            </w:r>
          </w:p>
        </w:tc>
      </w:tr>
    </w:tbl>
    <w:p>
      <w:pPr>
        <w:spacing w:after="90"/>
      </w:pPr>
    </w:p>
    <w:tbl>
      <w:tblPr>
        <w:tblW w:type="pct" w:w="100%"/>
        <w:tblBorders>
          <w:top w:val="none"/>
          <w:left w:val="single" w:color="00A6D6" w:sz="22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AF4FA" w:val="clear"/>
            <w:tcMar>
              <w:top w:type="dxa" w:w="160"/>
              <w:left w:type="dxa" w:w="190"/>
              <w:bottom w:type="dxa" w:w="160"/>
              <w:right w:type="dxa" w:w="19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EVIDENCE HANDLING</w:t>
            </w:r>
          </w:p>
          <w:p>
            <w:pPr>
              <w:spacing w:after="130" w:line="290"/>
              <w:rPr>
                <w:b/>
                <w:bCs/>
                <w:color w:val="12304A"/>
                <w:sz w:val="21"/>
                <w:szCs w:val="21"/>
              </w:rPr>
            </w:pPr>
            <w:r>
              <w:rPr>
                <w:rFonts w:ascii="Aptos" w:cs="Aptos" w:eastAsia="Aptos" w:hAnsi="Aptos"/>
                <w:b/>
                <w:bCs/>
                <w:color w:val="12304A"/>
                <w:sz w:val="21"/>
                <w:szCs w:val="21"/>
              </w:rPr>
              <w:t xml:space="preserve">UNKNOWN, CONFLICTED, INF and VOLATILE VALUE evidence must retain its canonical meaning and must not be silently converted into a fixed rule.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Purpose and intended outcomes</w:t>
      </w:r>
    </w:p>
    <w:p>
      <w:pPr>
        <w:spacing w:after="130" w:line="290"/>
        <w:rPr>
          <w:color w:val="64748B"/>
          <w:sz w:val="22"/>
          <w:szCs w:val="22"/>
        </w:rPr>
      </w:pPr>
      <w:r>
        <w:rPr>
          <w:rFonts w:ascii="Aptos" w:cs="Aptos" w:eastAsia="Aptos" w:hAnsi="Aptos"/>
          <w:color w:val="64748B"/>
          <w:sz w:val="22"/>
          <w:szCs w:val="22"/>
        </w:rPr>
        <w:t xml:space="preserve">This charter establishes how Power Platform is governed so teams can deliver quickly without compromising security, accountability, production integrity or cost control.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Enable delivery teams through clear, proportionate guardrails.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Protect organisational data, identities, services and regulatory obligations.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Maintain production traceability, durable ownership, supportability and recoverability.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Make licensing, capacity and operating costs visible before architectural commitment.</w:t>
      </w:r>
    </w:p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Scope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Applies to Power Apps, Power Automate, Dataverse, Power Pages, Copilot Studio assets, connectors, gateways and associated services.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Applies to employees, contractors, suppliers, makers, developers, administrators, owners and support personnel.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Hybrid components remain subject to the governance of their owning Azure, enterprise-platform or on-premises estate in addition to this framework.</w:t>
      </w:r>
    </w:p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Governance principles</w:t>
      </w:r>
    </w:p>
    <w:p>
      <w:pPr>
        <w:pStyle w:val="ListParagraph"/>
        <w:numPr>
          <w:ilvl w:val="0"/>
          <w:numId w:val="3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Govern centrally and enable delivery locally through a hybrid operating model.</w:t>
      </w:r>
    </w:p>
    <w:p>
      <w:pPr>
        <w:pStyle w:val="ListParagraph"/>
        <w:numPr>
          <w:ilvl w:val="0"/>
          <w:numId w:val="3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Prefer preventive controls; detective reporting alone is not assurance.</w:t>
      </w:r>
    </w:p>
    <w:p>
      <w:pPr>
        <w:pStyle w:val="ListParagraph"/>
        <w:numPr>
          <w:ilvl w:val="0"/>
          <w:numId w:val="3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Use source control as the authoritative representation of solution assets.</w:t>
      </w:r>
    </w:p>
    <w:p>
      <w:pPr>
        <w:pStyle w:val="ListParagraph"/>
        <w:numPr>
          <w:ilvl w:val="0"/>
          <w:numId w:val="3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Separate creation, approval, deployment, administration and audit duties where risk requires it.</w:t>
      </w:r>
    </w:p>
    <w:p>
      <w:pPr>
        <w:pStyle w:val="ListParagraph"/>
        <w:numPr>
          <w:ilvl w:val="0"/>
          <w:numId w:val="3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Assign durable business, technical and support ownership to every production asset.</w:t>
      </w:r>
    </w:p>
    <w:p>
      <w:pPr>
        <w:pStyle w:val="ListParagraph"/>
        <w:numPr>
          <w:ilvl w:val="0"/>
          <w:numId w:val="3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Prefer built-in platform governance and documented APIs before custom tooling.</w:t>
      </w:r>
    </w:p>
    <w:p>
      <w:pPr>
        <w:pStyle w:val="ListParagraph"/>
        <w:numPr>
          <w:ilvl w:val="0"/>
          <w:numId w:val="3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Design for least privilege, data minimisation, observable operation and recovery.</w:t>
      </w:r>
    </w:p>
    <w:p>
      <w:pPr>
        <w:pStyle w:val="ListParagraph"/>
        <w:numPr>
          <w:ilvl w:val="0"/>
          <w:numId w:val="3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Treat licensing, capacity and external-estate obligations as architecture constraints.</w:t>
      </w:r>
    </w:p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Decision rights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Accountable role</w:t>
            </w:r>
          </w:p>
        </w:tc>
        <w:tc>
          <w:tcPr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Required consultation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Tenant baseline, groups and data policies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Platform Owner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Security, Architecture, Data Protection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Solution classification and architecture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Business / Technical Owner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Architecture, Security, Data Owner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Production release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Release Approver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Product, Support and Security as required</w:t>
            </w:r>
          </w:p>
        </w:tc>
      </w:tr>
      <w:tr>
        <w:trPr>
          <w:cantSplit/>
          <w:tblHeader w:val="false"/>
        </w:trPr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Exception acceptance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Risk Owner</w:t>
            </w:r>
          </w:p>
        </w:tc>
        <w:tc>
          <w:tcPr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Control Owner, Security, Architecture</w:t>
            </w:r>
          </w:p>
        </w:tc>
      </w:tr>
      <w:tr>
        <w:trPr>
          <w:cantSplit/>
          <w:tblHeader w:val="false"/>
        </w:trPr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Retirement and data disposition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Business Owner</w:t>
            </w:r>
          </w:p>
        </w:tc>
        <w:tc>
          <w:tcPr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Data Owner, Support, Records / Privacy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Core accountabilities</w:t>
      </w:r>
    </w:p>
    <w:tbl>
      <w:tblPr>
        <w:tblW w:type="pct" w:w="100%"/>
        <w:tblBorders>
          <w:top w:val="single" w:color="FFFFFF" w:sz="10"/>
          <w:left w:val="single" w:color="FFFFFF" w:sz="10"/>
          <w:bottom w:val="single" w:color="FFFFFF" w:sz="10"/>
          <w:right w:val="single" w:color="FFFFFF" w:sz="10"/>
          <w:insideH w:val="single" w:color="FFFFFF" w:sz="10"/>
          <w:insideV w:val="single" w:color="FFFFFF" w:sz="10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50%"/>
            <w:shd w:fill="F5F8FA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PLATFORM OWNER</w:t>
            </w:r>
          </w:p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Service strategy, tenant controls, capacity, roadmap and operating model.</w:t>
            </w:r>
          </w:p>
        </w:tc>
        <w:tc>
          <w:tcPr>
            <w:tcW w:type="pct" w:w="50%"/>
            <w:shd w:fill="F5F8FA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BUSINESS OWNER</w:t>
            </w:r>
          </w:p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Value, lawful use, funding, continuity and retirement.</w:t>
            </w:r>
          </w:p>
        </w:tc>
      </w:tr>
      <w:tr>
        <w:trPr>
          <w:cantSplit/>
        </w:trPr>
        <w:tc>
          <w:tcPr>
            <w:tcW w:type="pct" w:w="50%"/>
            <w:shd w:fill="F5F8FA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TECHNICAL OWNER</w:t>
            </w:r>
          </w:p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Design, quality, delivery, documentation and supportability.</w:t>
            </w:r>
          </w:p>
        </w:tc>
        <w:tc>
          <w:tcPr>
            <w:tcW w:type="pct" w:w="50%"/>
            <w:shd w:fill="F5F8FA" w:val="clear"/>
            <w:tcMar>
              <w:top w:type="dxa" w:w="170"/>
              <w:left w:type="dxa" w:w="170"/>
              <w:bottom w:type="dxa" w:w="170"/>
              <w:right w:type="dxa" w:w="170"/>
            </w:tcMar>
          </w:tcPr>
          <w:p>
            <w:pPr>
              <w:spacing w:before="100" w:after="70"/>
            </w:pPr>
            <w:r>
              <w:rPr>
                <w:rFonts w:ascii="Aptos" w:cs="Aptos" w:eastAsia="Aptos" w:hAnsi="Aptos"/>
                <w:b/>
                <w:bCs/>
                <w:color w:val="0072CE"/>
                <w:spacing w:val="80"/>
                <w:sz w:val="17"/>
                <w:szCs w:val="17"/>
              </w:rPr>
              <w:t xml:space="preserve">SUPPORT OWNER</w:t>
            </w:r>
          </w:p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Monitoring, runbooks, incidents, recovery and service reporting.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Governance rhythm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rPr>
          <w:cantSplit/>
        </w:trPr>
        <w:tc>
          <w:tcPr>
            <w:tcW w:type="pct" w:w="22%"/>
            <w:shd w:fill="1230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WEEKLY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Ownership, orphan, inactivity, failed automation, security and platform-action review.</w:t>
            </w:r>
          </w:p>
        </w:tc>
      </w:tr>
      <w:tr>
        <w:trPr>
          <w:cantSplit/>
        </w:trPr>
        <w:tc>
          <w:tcPr>
            <w:tcW w:type="pct" w:w="22%"/>
            <w:shd w:fill="0072C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MONTHLY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Service health, capacity, licences, exceptions, connectors and production changes.</w:t>
            </w:r>
          </w:p>
        </w:tc>
      </w:tr>
      <w:tr>
        <w:trPr>
          <w:cantSplit/>
        </w:trPr>
        <w:tc>
          <w:tcPr>
            <w:tcW w:type="pct" w:w="22%"/>
            <w:shd w:fill="12304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QUARTERLY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Access certification, criticality, recovery readiness and control effectiveness.</w:t>
            </w:r>
          </w:p>
        </w:tc>
      </w:tr>
      <w:tr>
        <w:trPr>
          <w:cantSplit/>
        </w:trPr>
        <w:tc>
          <w:tcPr>
            <w:tcW w:type="pct" w:w="22%"/>
            <w:shd w:fill="0072C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7"/>
                <w:szCs w:val="17"/>
              </w:rPr>
              <w:t xml:space="preserve">ANNUALLY</w:t>
            </w:r>
          </w:p>
        </w:tc>
        <w:tc>
          <w:tcPr>
            <w:tcW w:type="pct" w:w="78%"/>
            <w:shd w:fill="F5F8FA" w:val="clear"/>
            <w:tcMar>
              <w:top w:type="dxa" w:w="120"/>
              <w:left w:type="dxa" w:w="160"/>
              <w:bottom w:type="dxa" w:w="120"/>
              <w:right w:type="dxa" w:w="130"/>
            </w:tcMar>
          </w:tcPr>
          <w:p>
            <w:pPr>
              <w:spacing w:after="130" w:line="290"/>
            </w:pPr>
            <w:r>
              <w:rPr>
                <w:rFonts w:ascii="Aptos" w:cs="Aptos" w:eastAsia="Aptos" w:hAnsi="Aptos"/>
                <w:color w:val="1F2937"/>
                <w:sz w:val="20"/>
                <w:szCs w:val="20"/>
              </w:rPr>
              <w:t xml:space="preserve">Charter, standards, taxonomy, risk appetite and roadmap review.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Evidence basis</w:t>
      </w:r>
    </w:p>
    <w:p>
      <w:pPr>
        <w:spacing w:after="130" w:line="290"/>
        <w:rPr>
          <w:color w:val="64748B"/>
        </w:rPr>
      </w:pPr>
      <w:r>
        <w:rPr>
          <w:rFonts w:ascii="Aptos" w:cs="Aptos" w:eastAsia="Aptos" w:hAnsi="Aptos"/>
          <w:color w:val="64748B"/>
          <w:sz w:val="20"/>
          <w:szCs w:val="20"/>
        </w:rPr>
        <w:t xml:space="preserve">The policy wording synthesises the following internal research artifacts. References are repository-relative; source status and reservations remain governed by the canonical manifest.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Canonical manifest — research/pp/evidence/canonical-manifest.md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Governance evidence — research/pp/evidence/governance.md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Security evidence — research/pp/evidence/security.md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ALM / DevOps evidence — research/pp/evidence/alm-devops.md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Operations and support evidence — research/pp/evidence/operations-support.md</w:t>
      </w:r>
    </w:p>
    <w:p>
      <w:pPr>
        <w:pStyle w:val="ListParagraph"/>
        <w:numPr>
          <w:ilvl w:val="0"/>
          <w:numId w:val="2"/>
        </w:numPr>
        <w:spacing w:after="105" w:line="280"/>
      </w:pPr>
      <w:r>
        <w:rPr>
          <w:rFonts w:ascii="Aptos" w:cs="Aptos" w:eastAsia="Aptos" w:hAnsi="Aptos"/>
          <w:color w:val="1F2937"/>
          <w:sz w:val="20"/>
          <w:szCs w:val="20"/>
        </w:rPr>
        <w:t xml:space="preserve">Anti-pattern evidence — research/pp/evidence/anti-patterns.md</w:t>
      </w:r>
    </w:p>
    <w:p>
      <w:pPr>
        <w:spacing w:after="120"/>
      </w:pPr>
    </w:p>
    <w:p>
      <w:pPr>
        <w:pStyle w:val="Heading1"/>
        <w:keepNext/>
      </w:pPr>
      <w:r>
        <w:rPr>
          <w:rFonts w:ascii="Aptos" w:cs="Aptos" w:eastAsia="Aptos" w:hAnsi="Aptos"/>
          <w:b/>
          <w:bCs/>
          <w:color w:val="12304A"/>
          <w:sz w:val="29"/>
          <w:szCs w:val="29"/>
        </w:rPr>
        <w:t xml:space="preserve">Approval record</w:t>
      </w:r>
    </w:p>
    <w:tbl>
      <w:tblPr>
        <w:tblW w:type="pct" w:w="100%"/>
        <w:tblBorders>
          <w:top w:val="single" w:color="CBD5E1" w:sz="5"/>
          <w:left w:val="single" w:color="CBD5E1" w:sz="5"/>
          <w:bottom w:val="single" w:color="CBD5E1" w:sz="5"/>
          <w:right w:val="single" w:color="CBD5E1" w:sz="5"/>
          <w:insideH w:val="single" w:color="CBD5E1" w:sz="4"/>
          <w:insideV w:val="single" w:color="CBD5E1" w:sz="4"/>
        </w:tblBorders>
      </w:tblPr>
      <w:tblGrid>
        <w:gridCol w:w="34"/>
        <w:gridCol w:w="26"/>
        <w:gridCol w:w="22"/>
        <w:gridCol w:w="18"/>
      </w:tblGrid>
      <w:tr>
        <w:trPr>
          <w:cantSplit/>
          <w:tblHeader/>
        </w:trPr>
        <w:tc>
          <w:tcPr>
            <w:tcW w:type="pct" w:w="34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pct" w:w="26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pct" w:w="22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pct" w:w="18%"/>
            <w:shd w:fill="12304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Document owner</w:t>
            </w:r>
          </w:p>
        </w:tc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Security / architecture reviewer</w:t>
            </w:r>
          </w:p>
        </w:tc>
        <w:tc>
          <w:tcPr>
            <w:tcW w:type="pct" w:w="26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5F8FA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pct" w:w="34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>Approver</w:t>
            </w:r>
          </w:p>
        </w:tc>
        <w:tc>
          <w:tcPr>
            <w:tcW w:type="pct" w:w="26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22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pct" w:w="18%"/>
            <w:shd w:fill="FFFFFF" w:val="clear"/>
            <w:tcMar>
              <w:top w:type="dxa" w:w="110"/>
              <w:left w:type="dxa" w:w="125"/>
              <w:bottom w:type="dxa" w:w="110"/>
              <w:right w:type="dxa" w:w="125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00" w:right="1100" w:bottom="10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6"/>
      </w:pBdr>
    </w:pPr>
    <w:r>
      <w:rPr>
        <w:rFonts w:ascii="Aptos" w:cs="Aptos" w:eastAsia="Aptos" w:hAnsi="Aptos"/>
        <w:color w:val="64748B"/>
        <w:sz w:val="15"/>
        <w:szCs w:val="15"/>
      </w:rPr>
      <w:t xml:space="preserve">Draft  |  v1.0  |  Power Platform Governance Lead</w:t>
    </w:r>
    <w:r>
      <w:rPr>
        <w:sz w:val="15"/>
        <w:szCs w:val="15"/>
      </w:rPr>
      <w:t xml:space="preserve">                                             </w:t>
    </w:r>
    <w:r>
      <w:rPr>
        <w:rFonts w:ascii="Aptos" w:cs="Aptos" w:eastAsia="Aptos" w:hAnsi="Aptos"/>
        <w:color w:val="64748B"/>
        <w:sz w:val="15"/>
        <w:szCs w:val="15"/>
      </w:rPr>
      <w:t xml:space="preserve">Page </w:t>
    </w:r>
    <w:r>
      <w:rPr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64748B"/>
        <w:sz w:val="15"/>
        <w:szCs w:val="15"/>
      </w:rPr>
      <w:t xml:space="preserve"> of </w:t>
    </w:r>
    <w:r>
      <w:rPr>
        <w:color w:val="64748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CBD5E1" w:sz="4"/>
        <w:right w:val="none"/>
        <w:insideH w:val="none"/>
        <w:insideV w:val="none"/>
      </w:tblBorders>
    </w:tblPr>
    <w:tblGrid>
      <w:gridCol w:w="100"/>
      <w:gridCol w:w="100"/>
    </w:tblGrid>
    <w:tr>
      <w:tc>
        <w:tcPr>
          <w:tcW w:type="pct" w:w="65%"/>
          <w:tcMar>
            <w:bottom w:type="dxa" w:w="70"/>
          </w:tcMar>
        </w:tcPr>
        <w:p>
          <w:r>
            <w:rPr>
              <w:rFonts w:ascii="Aptos" w:cs="Aptos" w:eastAsia="Aptos" w:hAnsi="Aptos"/>
              <w:b/>
              <w:bCs/>
              <w:color w:val="0072CE"/>
              <w:spacing w:val="100"/>
              <w:sz w:val="15"/>
              <w:szCs w:val="15"/>
            </w:rPr>
            <w:t xml:space="preserve">AISA  /  POWER PLATFORM</w:t>
          </w:r>
        </w:p>
      </w:tc>
      <w:tc>
        <w:tcPr>
          <w:tcW w:type="pct" w:w="35%"/>
          <w:tcMar>
            <w:bottom w:type="dxa" w:w="70"/>
          </w:tcMar>
        </w:tcPr>
        <w:p>
          <w:pPr>
            <w:jc w:val="right"/>
          </w:pPr>
          <w:r>
            <w:rPr>
              <w:rFonts w:ascii="Aptos" w:cs="Aptos" w:eastAsia="Aptos" w:hAnsi="Aptos"/>
              <w:b/>
              <w:bCs/>
              <w:color w:val="64748B"/>
              <w:sz w:val="15"/>
              <w:szCs w:val="15"/>
            </w:rPr>
            <w:t xml:space="preserve">PP-GOV-001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0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0"/>
        <w:szCs w:val="20"/>
      </w:rPr>
    </w:rPrDefault>
    <w:pPrDefault>
      <w:pPr>
        <w:spacing w:after="120"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 Platform Governance Charter</dc:title>
  <dc:subject>Decision rights, operating principles and accountability for a governed platform</dc:subject>
  <dc:creator>AISA Power Platform Governance</dc:creator>
  <dc:description>PP-GOV-001 - generated governance document</dc:description>
  <cp:lastModifiedBy>Un-named</cp:lastModifiedBy>
  <cp:revision>1</cp:revision>
  <dcterms:created xsi:type="dcterms:W3CDTF">2026-09-03T14:00:46.304Z</dcterms:created>
  <dcterms:modified xsi:type="dcterms:W3CDTF">2026-09-03T14:00:46.308Z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