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rPr>
          <w:rFonts w:ascii="Aptos Display" w:cs="Aptos Display" w:eastAsia="Aptos Display" w:hAnsi="Aptos Display"/>
          <w:b/>
          <w:bCs/>
          <w:color w:val="00A6D6"/>
          <w:spacing w:val="180"/>
          <w:sz w:val="18"/>
          <w:szCs w:val="18"/>
        </w:rPr>
        <w:t xml:space="preserve">AISA  /  POWER PLATFORM</w:t>
      </w:r>
    </w:p>
    <w:p>
      <w:pPr>
        <w:spacing w:before="900" w:after="40"/>
      </w:pPr>
      <w:r>
        <w:rPr>
          <w:rFonts w:ascii="Aptos Display" w:cs="Aptos Display" w:eastAsia="Aptos Display" w:hAnsi="Aptos Display"/>
          <w:b/>
          <w:bCs/>
          <w:color w:val="12304A"/>
          <w:sz w:val="56"/>
          <w:szCs w:val="56"/>
        </w:rPr>
        <w:t xml:space="preserve">Power Platform</w:t>
      </w:r>
    </w:p>
    <w:p>
      <w:pPr>
        <w:spacing w:after="280"/>
      </w:pPr>
      <w:r>
        <w:rPr>
          <w:rFonts w:ascii="Aptos Display" w:cs="Aptos Display" w:eastAsia="Aptos Display" w:hAnsi="Aptos Display"/>
          <w:b/>
          <w:bCs/>
          <w:color w:val="0072CE"/>
          <w:sz w:val="56"/>
          <w:szCs w:val="56"/>
        </w:rPr>
        <w:t xml:space="preserve">Engineering Standards</w:t>
      </w:r>
    </w:p>
    <w:p>
      <w:pPr>
        <w:pBdr>
          <w:bottom w:val="single" w:color="00A6D6" w:sz="20" w:space="1"/>
        </w:pBdr>
        <w:spacing w:after="260"/>
      </w:pPr>
    </w:p>
    <w:p>
      <w:pPr>
        <w:spacing w:after="130" w:line="290"/>
        <w:rPr>
          <w:color w:val="64748B"/>
          <w:sz w:val="25"/>
          <w:szCs w:val="25"/>
        </w:rPr>
      </w:pPr>
      <w:r>
        <w:rPr>
          <w:rFonts w:ascii="Aptos" w:cs="Aptos" w:eastAsia="Aptos" w:hAnsi="Aptos"/>
          <w:color w:val="64748B"/>
          <w:sz w:val="25"/>
          <w:szCs w:val="25"/>
        </w:rPr>
        <w:t xml:space="preserve">Mandatory engineering practices for secure, maintainable and supportable solutions</w:t>
      </w:r>
    </w:p>
    <w:p>
      <w:pPr>
        <w:spacing w:after="700"/>
      </w:pP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6"/>
        <w:gridCol w:w="74"/>
      </w:tblGrid>
      <w:tr>
        <w:trPr>
          <w:cantSplit/>
          <w:tblHeader/>
        </w:trPr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pct" w:w="7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PP-STD-001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Draft for organisational approval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EFFECTIVE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3 September 2026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Power Platform Architecture Lead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Architecture Review Board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REVIEW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Every six months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CONTROLLED DOCUMENT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Review named authorities, risk thresholds, service levels, retention requirements and volatile platform behaviour before approval.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How to use this document</w:t>
      </w:r>
    </w:p>
    <w:p>
      <w:pPr>
        <w:spacing w:after="130" w:line="2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This document is a draft governance instrument derived from the canonical Power Platform evidence set. It becomes binding only after approval through the organisation’s document-control process.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8"/>
        <w:gridCol w:w="72"/>
      </w:tblGrid>
      <w:tr>
        <w:trPr>
          <w:cantSplit/>
          <w:tblHeader/>
        </w:trPr>
        <w:tc>
          <w:tcPr>
            <w:tcW w:type="pct" w:w="2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7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MUST / MUST NOT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Mandatory requirement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SHOULD / SHOULD NOT</w:t>
            </w:r>
          </w:p>
        </w:tc>
        <w:tc>
          <w:tcPr>
            <w:tcW w:type="pct" w:w="7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Expected; deviation requires recorded justification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MAY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Optional within the stated boundaries</w:t>
            </w:r>
          </w:p>
        </w:tc>
      </w:tr>
    </w:tbl>
    <w:p>
      <w:pPr>
        <w:spacing w:after="9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EVIDENCE HANDLING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UNKNOWN, CONFLICTED, INF and VOLATILE VALUE evidence must retain its canonical meaning and must not be silently converted into a fixed rule.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Environment and solution design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Business-critical solutions use dedicated development, test/UAT and production environments.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B42318"/>
                <w:spacing w:val="50"/>
                <w:sz w:val="16"/>
                <w:szCs w:val="16"/>
              </w:rPr>
              <w:t xml:space="preserve">MUST NOT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Production workloads run in the default environment.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Non-development environments receive managed solutions only, except under an approved exception.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One approved publisher and prefix is selected at project inception and used consistently.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B42318"/>
                <w:spacing w:val="50"/>
                <w:sz w:val="16"/>
                <w:szCs w:val="16"/>
              </w:rPr>
              <w:t xml:space="preserve">MUST NOT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An unmanaged component is included in more than one solution.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59E0B"/>
                <w:spacing w:val="50"/>
                <w:sz w:val="16"/>
                <w:szCs w:val="16"/>
              </w:rPr>
              <w:t xml:space="preserve">SHOULD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Tables are owned by one designated solution; dependencies are documented and tested.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Irreversible provisioning choices receive architecture review before creation.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Source, configuration and secrets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Source control is the source of truth and changes are attributable to reviewed work.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Target-specific values are supplied through deployment settings or approved configuration stores.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Connection references are used where supported.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B42318"/>
                <w:spacing w:val="50"/>
                <w:sz w:val="16"/>
                <w:szCs w:val="16"/>
              </w:rPr>
              <w:t xml:space="preserve">MUST NOT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Secrets are committed to source control or stored as ordinary text configuration.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59E0B"/>
                <w:spacing w:val="50"/>
                <w:sz w:val="16"/>
                <w:szCs w:val="16"/>
              </w:rPr>
              <w:t xml:space="preserve">SHOULD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Production automations use governed workload identities or service-owned connections.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Data and integration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Every solution declares data classification, systems of record, retention needs and data owners.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Connector combinations comply with applicable tenant and environment policies.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Custom connectors, HTTP endpoints, gateways and external APIs receive security and architecture review.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Integration contracts define identity, throttling, timeout, retry, idempotency, errors and observability.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Cross-system writes define reconciliation and compensation where atomicity is unavailable.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Performance-sensitive designs are measured with representative workloads.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Quality and operability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BD5E1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Solutions pass static analysis, dependency validation and required tests before production.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Critical findings block release unless accepted through the exception process.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Production components expose telemetry sufficient to identify failures and affected transactions.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59E0B"/>
                <w:spacing w:val="50"/>
                <w:sz w:val="16"/>
                <w:szCs w:val="16"/>
              </w:rPr>
              <w:t xml:space="preserve">SHOULD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Accessibility and maintainability are verified through checker rules and user testing.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115"/>
              <w:left w:type="dxa" w:w="0"/>
              <w:bottom w:type="dxa" w:w="115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0072CE"/>
                <w:spacing w:val="50"/>
                <w:sz w:val="16"/>
                <w:szCs w:val="16"/>
              </w:rPr>
              <w:t xml:space="preserve">MUST</w:t>
            </w:r>
          </w:p>
        </w:tc>
        <w:tc>
          <w:tcPr>
            <w:tcW w:type="pct" w:w="82%"/>
            <w:tcMar>
              <w:top w:type="dxa" w:w="105"/>
              <w:left w:type="dxa" w:w="0"/>
              <w:bottom w:type="dxa" w:w="105"/>
              <w:right w:type="dxa" w:w="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Design records identify limits, unknowns and volatile assumptions requiring revalidation.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Evidence basis</w:t>
      </w:r>
    </w:p>
    <w:p>
      <w:pPr>
        <w:spacing w:after="130" w:line="290"/>
        <w:rPr>
          <w:color w:val="64748B"/>
        </w:rPr>
      </w:pPr>
      <w:r>
        <w:rPr>
          <w:rFonts w:ascii="Aptos" w:cs="Aptos" w:eastAsia="Aptos" w:hAnsi="Aptos"/>
          <w:color w:val="64748B"/>
          <w:sz w:val="20"/>
          <w:szCs w:val="20"/>
        </w:rPr>
        <w:t xml:space="preserve">The policy wording synthesises the following internal research artifacts. References are repository-relative; source status and reservations remain governed by the canonical manifest.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Canonical manifest — research/pp/evidence/canonical-manifest.md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Governance evidence — research/pp/evidence/governance.md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Security evidence — research/pp/evidence/security.md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ALM / DevOps evidence — research/pp/evidence/alm-devops.md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Operations and support evidence — research/pp/evidence/operations-support.md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Anti-pattern evidence — research/pp/evidence/anti-patterns.md</w:t>
      </w:r>
    </w:p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Approval record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34"/>
        <w:gridCol w:w="26"/>
        <w:gridCol w:w="22"/>
        <w:gridCol w:w="18"/>
      </w:tblGrid>
      <w:tr>
        <w:trPr>
          <w:cantSplit/>
          <w:tblHeader/>
        </w:trPr>
        <w:tc>
          <w:tcPr>
            <w:tcW w:type="pct" w:w="3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2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pct" w:w="1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Document owner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 / architecture reviewer</w:t>
            </w:r>
          </w:p>
        </w:tc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0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</w:pPr>
    <w:r>
      <w:rPr>
        <w:rFonts w:ascii="Aptos" w:cs="Aptos" w:eastAsia="Aptos" w:hAnsi="Aptos"/>
        <w:color w:val="64748B"/>
        <w:sz w:val="15"/>
        <w:szCs w:val="15"/>
      </w:rPr>
      <w:t xml:space="preserve">Draft  |  v1.0  |  Power Platform Architecture Lead</w:t>
    </w:r>
    <w:r>
      <w:rPr>
        <w:sz w:val="15"/>
        <w:szCs w:val="15"/>
      </w:rPr>
      <w:t xml:space="preserve">                                             </w:t>
    </w:r>
    <w:r>
      <w:rPr>
        <w:rFonts w:ascii="Aptos" w:cs="Aptos" w:eastAsia="Aptos" w:hAnsi="Aptos"/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CBD5E1" w:sz="4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65%"/>
          <w:tcMar>
            <w:bottom w:type="dxa" w:w="70"/>
          </w:tcMar>
        </w:tcPr>
        <w:p>
          <w:r>
            <w:rPr>
              <w:rFonts w:ascii="Aptos" w:cs="Aptos" w:eastAsia="Aptos" w:hAnsi="Aptos"/>
              <w:b/>
              <w:bCs/>
              <w:color w:val="0072CE"/>
              <w:spacing w:val="100"/>
              <w:sz w:val="15"/>
              <w:szCs w:val="15"/>
            </w:rPr>
            <w:t xml:space="preserve">AISA  /  POWER PLATFORM</w:t>
          </w:r>
        </w:p>
      </w:tc>
      <w:tc>
        <w:tcPr>
          <w:tcW w:type="pct" w:w="35%"/>
          <w:tcMar>
            <w:bottom w:type="dxa" w:w="70"/>
          </w:tcMar>
        </w:tcPr>
        <w:p>
          <w:pPr>
            <w:jc w:val="right"/>
          </w:pPr>
          <w:r>
            <w:rPr>
              <w:rFonts w:ascii="Aptos" w:cs="Aptos" w:eastAsia="Aptos" w:hAnsi="Aptos"/>
              <w:b/>
              <w:bCs/>
              <w:color w:val="64748B"/>
              <w:sz w:val="15"/>
              <w:szCs w:val="15"/>
            </w:rPr>
            <w:t xml:space="preserve">PP-STD-001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0"/>
        <w:szCs w:val="20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Platform Engineering Standards</dc:title>
  <dc:subject>Mandatory engineering practices for secure, maintainable and supportable solutions</dc:subject>
  <dc:creator>AISA Power Platform Governance</dc:creator>
  <dc:description>PP-STD-001 - generated governance document</dc:description>
  <cp:lastModifiedBy>Un-named</cp:lastModifiedBy>
  <cp:revision>1</cp:revision>
  <dcterms:created xsi:type="dcterms:W3CDTF">2026-09-03T14:00:46.380Z</dcterms:created>
  <dcterms:modified xsi:type="dcterms:W3CDTF">2026-09-03T14:00:46.380Z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