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rPr>
          <w:rFonts w:ascii="Aptos Display" w:cs="Aptos Display" w:eastAsia="Aptos Display" w:hAnsi="Aptos Display"/>
          <w:b/>
          <w:bCs/>
          <w:color w:val="00A6D6"/>
          <w:spacing w:val="180"/>
          <w:sz w:val="18"/>
          <w:szCs w:val="18"/>
        </w:rPr>
        <w:t xml:space="preserve">AISA  /  POWER PLATFORM</w:t>
      </w:r>
    </w:p>
    <w:p>
      <w:pPr>
        <w:spacing w:before="900" w:after="40"/>
      </w:pPr>
      <w:r>
        <w:rPr>
          <w:rFonts w:ascii="Aptos Display" w:cs="Aptos Display" w:eastAsia="Aptos Display" w:hAnsi="Aptos Display"/>
          <w:b/>
          <w:bCs/>
          <w:color w:val="12304A"/>
          <w:sz w:val="56"/>
          <w:szCs w:val="56"/>
        </w:rPr>
        <w:t xml:space="preserve">Application Lifecycle</w:t>
      </w:r>
    </w:p>
    <w:p>
      <w:pPr>
        <w:spacing w:after="280"/>
      </w:pPr>
      <w:r>
        <w:rPr>
          <w:rFonts w:ascii="Aptos Display" w:cs="Aptos Display" w:eastAsia="Aptos Display" w:hAnsi="Aptos Display"/>
          <w:b/>
          <w:bCs/>
          <w:color w:val="0072CE"/>
          <w:sz w:val="56"/>
          <w:szCs w:val="56"/>
        </w:rPr>
        <w:t xml:space="preserve">Standard</w:t>
      </w:r>
    </w:p>
    <w:p>
      <w:pPr>
        <w:pBdr>
          <w:bottom w:val="single" w:color="00A6D6" w:sz="20" w:space="1"/>
        </w:pBdr>
        <w:spacing w:after="260"/>
      </w:pPr>
    </w:p>
    <w:p>
      <w:pPr>
        <w:spacing w:after="130" w:line="290"/>
        <w:rPr>
          <w:color w:val="64748B"/>
          <w:sz w:val="25"/>
          <w:szCs w:val="25"/>
        </w:rPr>
      </w:pPr>
      <w:r>
        <w:rPr>
          <w:rFonts w:ascii="Aptos" w:cs="Aptos" w:eastAsia="Aptos" w:hAnsi="Aptos"/>
          <w:color w:val="64748B"/>
          <w:sz w:val="25"/>
          <w:szCs w:val="25"/>
        </w:rPr>
        <w:t xml:space="preserve">Accountability from registration and classification through operation and retirement</w:t>
      </w:r>
    </w:p>
    <w:p>
      <w:pPr>
        <w:spacing w:after="700"/>
      </w:pP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26"/>
        <w:gridCol w:w="74"/>
      </w:tblGrid>
      <w:tr>
        <w:trPr>
          <w:cantSplit/>
          <w:tblHeader/>
        </w:trPr>
        <w:tc>
          <w:tcPr>
            <w:tcW w:type="pct" w:w="26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pct" w:w="74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PP-STD-003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Draft for organisational approval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VERSION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EFFECTIVE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3 September 2026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OWNER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Application Portfolio Owner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APPROVER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Power Platform Governance Lead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REVIEW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Quarterly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CONTROLLED DOCUMENT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Review named authorities, risk thresholds, service levels, retention requirements and volatile platform behaviour before approval.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How to use this document</w:t>
      </w:r>
    </w:p>
    <w:p>
      <w:pPr>
        <w:spacing w:after="130" w:line="2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This document is a draft governance instrument derived from the canonical Power Platform evidence set. It becomes binding only after approval through the organisation’s document-control process.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28"/>
        <w:gridCol w:w="72"/>
      </w:tblGrid>
      <w:tr>
        <w:trPr>
          <w:cantSplit/>
          <w:tblHeader/>
        </w:trPr>
        <w:tc>
          <w:tcPr>
            <w:tcW w:type="pct" w:w="28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pct" w:w="72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MUST / MUST NOT</w:t>
            </w:r>
          </w:p>
        </w:tc>
        <w:tc>
          <w:tcPr>
            <w:tcW w:type="pct" w:w="7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Mandatory requirement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SHOULD / SHOULD NOT</w:t>
            </w:r>
          </w:p>
        </w:tc>
        <w:tc>
          <w:tcPr>
            <w:tcW w:type="pct" w:w="7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Expected; deviation requires recorded justification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MAY</w:t>
            </w:r>
          </w:p>
        </w:tc>
        <w:tc>
          <w:tcPr>
            <w:tcW w:type="pct" w:w="7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Optional within the stated boundaries</w:t>
            </w:r>
          </w:p>
        </w:tc>
      </w:tr>
    </w:tbl>
    <w:p>
      <w:pPr>
        <w:spacing w:after="90"/>
      </w:pP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EVIDENCE HANDLING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UNKNOWN, CONFLICTED, INF and VOLATILE VALUE evidence must retain its canonical meaning and must not be silently converted into a fixed rule.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Register and classify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CBD5E1" w:sz="4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Every application, flow, site, agent and material integration is registered before production use.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The register records purpose, criticality, data, users, environment, dependencies, licences and lifecycle state.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Every asset has named business, technical and support owners.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Criticality determines approval, testing, monitoring, recovery and review depth.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Operate and review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Owners review continued need, access, licensing, compliance, supportability and technical health at the assigned cadence.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Ownership change includes validation of permissions, connections, data access and transferred knowledge; reassignment alone is insufficient.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Ownerless, inactive or non-compliant assets enter triage with a defined remediation SLA.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Operational changes follow the same traceable release process as feature changes.</w:t>
      </w:r>
    </w:p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Retire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2%"/>
            <w:shd w:fill="1230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DECIDE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Business and data owners approve retirement.</w:t>
            </w:r>
          </w:p>
        </w:tc>
      </w:tr>
      <w:tr>
        <w:trPr>
          <w:cantSplit/>
        </w:trPr>
        <w:tc>
          <w:tcPr>
            <w:tcW w:type="pct" w:w="22%"/>
            <w:shd w:fill="0072C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DISCOVER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Identify dependencies, consumers and required notices.</w:t>
            </w:r>
          </w:p>
        </w:tc>
      </w:tr>
      <w:tr>
        <w:trPr>
          <w:cantSplit/>
        </w:trPr>
        <w:tc>
          <w:tcPr>
            <w:tcW w:type="pct" w:w="22%"/>
            <w:shd w:fill="1230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PRESERVE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Migrate, archive or dispose of data according to retention obligations.</w:t>
            </w:r>
          </w:p>
        </w:tc>
      </w:tr>
      <w:tr>
        <w:trPr>
          <w:cantSplit/>
        </w:trPr>
        <w:tc>
          <w:tcPr>
            <w:tcW w:type="pct" w:w="22%"/>
            <w:shd w:fill="0072C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DISCONNECT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Remove or reassign access, identities, licences, gateways, endpoints and monitoring.</w:t>
            </w:r>
          </w:p>
        </w:tc>
      </w:tr>
      <w:tr>
        <w:trPr>
          <w:cantSplit/>
        </w:trPr>
        <w:tc>
          <w:tcPr>
            <w:tcW w:type="pct" w:w="22%"/>
            <w:shd w:fill="1230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CLOSE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Quarantine where appropriate and retain the decision and evidence in inventory.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Evidence basis</w:t>
      </w:r>
    </w:p>
    <w:p>
      <w:pPr>
        <w:spacing w:after="130" w:line="290"/>
        <w:rPr>
          <w:color w:val="64748B"/>
        </w:rPr>
      </w:pPr>
      <w:r>
        <w:rPr>
          <w:rFonts w:ascii="Aptos" w:cs="Aptos" w:eastAsia="Aptos" w:hAnsi="Aptos"/>
          <w:color w:val="64748B"/>
          <w:sz w:val="20"/>
          <w:szCs w:val="20"/>
        </w:rPr>
        <w:t xml:space="preserve">The policy wording synthesises the following internal research artifacts. References are repository-relative; source status and reservations remain governed by the canonical manifest.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Canonical manifest — research/pp/evidence/canonical-manifest.md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Governance evidence — research/pp/evidence/governance.md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Security evidence — research/pp/evidence/security.md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ALM / DevOps evidence — research/pp/evidence/alm-devops.md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Operations and support evidence — research/pp/evidence/operations-support.md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Anti-pattern evidence — research/pp/evidence/anti-patterns.md</w:t>
      </w:r>
    </w:p>
    <w:p>
      <w:pPr>
        <w:spacing w:after="12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Approval record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34"/>
        <w:gridCol w:w="26"/>
        <w:gridCol w:w="22"/>
        <w:gridCol w:w="18"/>
      </w:tblGrid>
      <w:tr>
        <w:trPr>
          <w:cantSplit/>
          <w:tblHeader/>
        </w:trPr>
        <w:tc>
          <w:tcPr>
            <w:tcW w:type="pct" w:w="34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26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22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pct" w:w="18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Document owner</w:t>
            </w:r>
          </w:p>
        </w:tc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Security / architecture reviewer</w:t>
            </w:r>
          </w:p>
        </w:tc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Approver</w:t>
            </w:r>
          </w:p>
        </w:tc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100" w:bottom="10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</w:pPr>
    <w:r>
      <w:rPr>
        <w:rFonts w:ascii="Aptos" w:cs="Aptos" w:eastAsia="Aptos" w:hAnsi="Aptos"/>
        <w:color w:val="64748B"/>
        <w:sz w:val="15"/>
        <w:szCs w:val="15"/>
      </w:rPr>
      <w:t xml:space="preserve">Draft  |  v1.0  |  Application Portfolio Owner</w:t>
    </w:r>
    <w:r>
      <w:rPr>
        <w:sz w:val="15"/>
        <w:szCs w:val="15"/>
      </w:rPr>
      <w:t xml:space="preserve">                                             </w:t>
    </w:r>
    <w:r>
      <w:rPr>
        <w:rFonts w:ascii="Aptos" w:cs="Aptos" w:eastAsia="Aptos" w:hAnsi="Aptos"/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64748B"/>
        <w:sz w:val="15"/>
        <w:szCs w:val="15"/>
      </w:rPr>
      <w:t xml:space="preserve"> of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CBD5E1" w:sz="4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pct" w:w="65%"/>
          <w:tcMar>
            <w:bottom w:type="dxa" w:w="70"/>
          </w:tcMar>
        </w:tcPr>
        <w:p>
          <w:r>
            <w:rPr>
              <w:rFonts w:ascii="Aptos" w:cs="Aptos" w:eastAsia="Aptos" w:hAnsi="Aptos"/>
              <w:b/>
              <w:bCs/>
              <w:color w:val="0072CE"/>
              <w:spacing w:val="100"/>
              <w:sz w:val="15"/>
              <w:szCs w:val="15"/>
            </w:rPr>
            <w:t xml:space="preserve">AISA  /  POWER PLATFORM</w:t>
          </w:r>
        </w:p>
      </w:tc>
      <w:tc>
        <w:tcPr>
          <w:tcW w:type="pct" w:w="35%"/>
          <w:tcMar>
            <w:bottom w:type="dxa" w:w="70"/>
          </w:tcMar>
        </w:tcPr>
        <w:p>
          <w:pPr>
            <w:jc w:val="right"/>
          </w:pPr>
          <w:r>
            <w:rPr>
              <w:rFonts w:ascii="Aptos" w:cs="Aptos" w:eastAsia="Aptos" w:hAnsi="Aptos"/>
              <w:b/>
              <w:bCs/>
              <w:color w:val="64748B"/>
              <w:sz w:val="15"/>
              <w:szCs w:val="15"/>
            </w:rPr>
            <w:t xml:space="preserve">PP-STD-003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0"/>
        <w:szCs w:val="20"/>
      </w:rPr>
    </w:rPrDefault>
    <w:pPrDefault>
      <w:pPr>
        <w:spacing w:after="120"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Lifecycle Standard</dc:title>
  <dc:subject>Accountability from registration and classification through operation and retirement</dc:subject>
  <dc:creator>AISA Power Platform Governance</dc:creator>
  <dc:description>PP-STD-003 - generated governance document</dc:description>
  <cp:lastModifiedBy>Un-named</cp:lastModifiedBy>
  <cp:revision>1</cp:revision>
  <dcterms:created xsi:type="dcterms:W3CDTF">2026-09-03T14:00:46.526Z</dcterms:created>
  <dcterms:modified xsi:type="dcterms:W3CDTF">2026-09-03T14:00:46.526Z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