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Architecture Decision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Record Template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A durable record of context, options, evidence, trade-offs and consequences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PP-TPL-001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Solution Technical Owner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Architecture Authority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Per decision and material change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Decision identification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ADR ID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Decision title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Proposed / Accepted / Superseded / Rejected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Approvers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Decision date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 trigger / date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Context and requirements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Describe the business problem, users, criticality, data classification, expected scale, regions, dependencies and constraints.</w:t>
            </w:r>
          </w:p>
        </w:tc>
      </w:tr>
    </w:tbl>
    <w:p>
      <w:pPr>
        <w:spacing w:after="55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Separate verified facts from assumptions and mark UNKNOWN, CONFLICTED, INF and VOLATILE VALUE evidence.</w:t>
            </w:r>
          </w:p>
        </w:tc>
      </w:tr>
    </w:tbl>
    <w:p>
      <w:pPr>
        <w:spacing w:after="55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State measurable security, availability, recovery, performance, operability, cost and delivery requirements.</w:t>
            </w:r>
          </w:p>
        </w:tc>
      </w:tr>
    </w:tbl>
    <w:p>
      <w:pPr>
        <w:spacing w:after="55"/>
      </w:pP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Options considered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Benefits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Risks / costs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native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Hybrid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Custom / alternative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Decision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State the selected option and why it best satisfies the requirements.</w:t>
            </w:r>
          </w:p>
        </w:tc>
      </w:tr>
    </w:tbl>
    <w:p>
      <w:pPr>
        <w:spacing w:after="55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Record environment topology, solution boundaries, data ownership, integrations, identities and deployment model.</w:t>
            </w:r>
          </w:p>
        </w:tc>
      </w:tr>
    </w:tbl>
    <w:p>
      <w:pPr>
        <w:spacing w:after="55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Identify irreversible choices and decisions requiring revalidation before implementation or commitment.</w:t>
            </w:r>
          </w:p>
        </w:tc>
      </w:tr>
    </w:tbl>
    <w:p>
      <w:pPr>
        <w:spacing w:after="55"/>
      </w:pP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Consequences and controls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Describe positive and negative consequences, licences, support obligations, limits and imported external-estate governance.</w:t>
            </w:r>
          </w:p>
        </w:tc>
      </w:tr>
    </w:tbl>
    <w:p>
      <w:pPr>
        <w:spacing w:after="55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List mandatory controls, tests, monitoring, recovery, reconciliation and required evidence.</w:t>
            </w:r>
          </w:p>
        </w:tc>
      </w:tr>
    </w:tbl>
    <w:p>
      <w:pPr>
        <w:spacing w:after="55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Record approved exception IDs and expiry dates.</w:t>
            </w:r>
          </w:p>
        </w:tc>
      </w:tr>
    </w:tbl>
    <w:p>
      <w:pPr>
        <w:spacing w:after="55"/>
      </w:pP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Validation and review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Define proof-of-concept, functional, security, performance, recovery and operational acceptance criteria.</w:t>
            </w:r>
          </w:p>
        </w:tc>
      </w:tr>
    </w:tbl>
    <w:p>
      <w:pPr>
        <w:spacing w:after="55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Set review triggers: requirement change, platform change, incident, scale threshold, renewal or scheduled date.</w:t>
            </w:r>
          </w:p>
        </w:tc>
      </w:tr>
    </w:tbl>
    <w:p>
      <w:pPr>
        <w:spacing w:after="55"/>
      </w:pP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/>
          <w:insideV w:val="none"/>
        </w:tblBorders>
      </w:tblPr>
      <w:tblGrid>
        <w:gridCol w:w="100"/>
      </w:tblGrid>
      <w:tr>
        <w:tc>
          <w:tcPr>
            <w:tcMar>
              <w:top w:type="dxa" w:w="130"/>
              <w:left w:type="dxa" w:w="140"/>
              <w:bottom w:type="dxa" w:w="360"/>
              <w:right w:type="dxa" w:w="140"/>
            </w:tcMar>
          </w:tcPr>
          <w:p>
            <w:pPr>
              <w:spacing w:after="130" w:line="290"/>
              <w:rPr>
                <w:color w:val="64748B"/>
              </w:rPr>
            </w:pPr>
            <w:r>
              <w:rPr>
                <w:rFonts w:ascii="Aptos" w:cs="Aptos" w:eastAsia="Aptos" w:hAnsi="Aptos"/>
                <w:color w:val="64748B"/>
                <w:sz w:val="20"/>
                <w:szCs w:val="20"/>
              </w:rPr>
              <w:t xml:space="preserve">Link superseding ADRs without deleting this historical decision.</w:t>
            </w:r>
          </w:p>
        </w:tc>
      </w:tr>
    </w:tbl>
    <w:p>
      <w:pPr>
        <w:spacing w:after="55"/>
      </w:pP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Solution Technical Owner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PP-TPL-001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Decision Record Template</dc:title>
  <dc:subject>A durable record of context, options, evidence, trade-offs and consequences</dc:subject>
  <dc:creator>AISA Power Platform Governance</dc:creator>
  <dc:description>PP-TPL-001 - generated governance document</dc:description>
  <cp:lastModifiedBy>Un-named</cp:lastModifiedBy>
  <cp:revision>1</cp:revision>
  <dcterms:created xsi:type="dcterms:W3CDTF">2026-09-03T14:00:46.617Z</dcterms:created>
  <dcterms:modified xsi:type="dcterms:W3CDTF">2026-09-03T14:00:46.617Z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