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Application Architecture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Standard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Fit-for-purpose application selection, design boundaries and platform-exit criteria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PP-STD-004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Application Architecture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 Review Board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Every six months and after material platform change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Architecture decision principles</w:t>
      </w: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SELECTION PRINCIPLE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Application type is selected from verified requirements and constraints—not maker familiarity, licence availability in a development tenant or visual preference.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Teams evaluate configure, buy and first-party capabilities before creating a new application.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The architecture decision records users, personas, data, experience, identity, device, offline, accessibility, localisation, scale, ALM, support and cost requirements.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The least complex architecture that satisfies the verified requirements is selected.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Moving to PCF, code apps, hybrid Azure or custom development has named professional-development and operational ownership.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Unknown, conflicted or volatile capability assumptions are prototyped or retained as explicit decision risks.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Application-type selection matrix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Strong fit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Review trigger / poor fit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Configure / buy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Requirement met by M365, Dynamics 365 or approved product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Material gaps, lock-in or unacceptable lifecycle cost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Canvas app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Task-focused internal experience; few personas; connector-led data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Divergent personas, complex relational process, brand-critical or large mutable UI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Model-driven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Dataverse-centric, data-dense, process-driven work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Consumer-grade branding, device-heavy capture or non-Dataverse system of record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Model-driven + custom pages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Structured backbone with a bounded number of bespoke screens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State-heavy, offline or device-capability experience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Pages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Authenticated external users over Dataverse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Non-Dataverse system of record, bespoke API platform, offline or strict server control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Code app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Bespoke governed SPA for internal or B2B users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Anonymous use, offline, native mobile or unsupported network restrictions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Teams-hosted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Bounded team-scoped productivity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Enterprise scale, APIs, plug-ins, model-driven or offline needs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Hybrid Azure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Compute, integration or server logic beyond low-code limits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 owner for the second security, ALM, monitoring and cost model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Custom application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Consumer UX, public API, custom sync, hard SLA or uneconomic licensing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Commodity process readily served by governed platform capability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Decision ladder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0  CONFIGURE / BUY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Use an existing first-party or approved product when it meets the requirement.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1  CANVAS / MODEL-DRIVEN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Choose the native application type that fits experience and data shape.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2  COMPONENT LIBRARY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Standardise repeated canvas interaction and visual patterns.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3  PCF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Introduce code-level controls only for a justified capability or UX gap.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4  CODE APP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Use a pro-code SPA within the platform connector and governance model.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5  HYBRID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Add governed Azure or enterprise services for bounded seams.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6  CUSTOM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Exit the platform when product, scale, UX, API, offline or economics require it.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Canvas application standard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Canvas apps remain task-focused, with a bounded persona and screen model.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Responsive behaviour is deliberately designed and tested for each supported form factor.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Large or divergent experiences are partitioned using documented application or navigation boundaries.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Named formulas, StartScreen and maintainable functions are preferred over monolithic initialisation logic.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Client-side visibility or role branching is treated as data authorisation.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Data access avoids non-delegable queries and repeated per-row calls; representative performance is measured.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Concurrent contribution follows the approved isolation and source-control model.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Model-driven and custom-page standard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Model-driven apps are used for Dataverse-centric, record-oriented and process-driven work.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Persona segmentation uses security roles, app modules and platform security—not cosmetic navigation alone.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Custom pages are limited to justified bespoke interactions and assessed against documented page, connector, navigation and offline constraints.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Form scripts, controls, tabs and related data are reviewed for performance impact.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Business process flows guide stages but do not substitute for server-side business logic or security.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External applications and Power Pages</w:t>
      </w: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EXTERNAL BOUNDARY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Any internet-facing or external-user application requires explicit identity, licensing, data-permission, abuse, capacity and operational review.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Power Pages is used as a Dataverse-fronted external channel only when its data, caching, identity and lifecycle model fits.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Table permissions and web roles enforce least privilege; anonymous access is explicitly justified and tested.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Open registration, site visibility and public data exposure are reviewed before launch and after material change.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Cache behaviour and freshness requirements are validated for each business-critical journey.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 custom web architecture is evaluated when the system of record is outside Dataverse, a public API is required, or server/caching control is material.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Mobile, device and offline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Supported devices, browser/player context and required hardware capabilities are decided before application type.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Offline requirements define data scope, conflict behaviour, sync timing, error recovery and security.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Offline capability is proven with the selected application type and real integration dependencies.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Wrap is assessed for audience, distribution, signing, Intune, update cadence and documented feature exclusions.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Push notification, sensor or offline capabilities are assumed from generic mobile support.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Reuse and extensibility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 governed design system and component libraries provide reusable canvas patterns.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Library update ownership and consumer adoption are defined because updates are not automatically propagated.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Allow-customisation decisions recognise that local changes create a permanent fork.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PCF controls have code ownership, secure-development practices, dependency maintenance, accessibility testing and release support.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External calls from extensibility components undergo connector, licensing, security and data-flow review.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Quality attributes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Mandatory architecture evidence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Server-side authorisation, identity, data permissions and trust boundaries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Accessibility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Applicable standard, supported patterns and test evidence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Localisation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Languages, translation ownership, formatting and RTL validation where required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Representative data, request patterns, latency, concurrency and limits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Reliability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Failure modes, retry, reconciliation, recovery and user experience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Maintainability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Component boundaries, formula/code complexity, ownership and change isolation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ALM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Source, environments, artifact, configuration, testing and deployment path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Operations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Telemetry, support model, service dependencies and lifecycle obligations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Architecture review triggers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External or anonymous audience; new identity provider; public exposure or material data-permission change.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Offline, native-device capability, branded mobile distribution or push notification requirement.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Multiple materially different personas, rapidly growing screen/form complexity or more than one concurrent maker.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PCF, code app, custom connector, HTTP endpoint, gateway, Azure component or custom application.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Material scale, latency, availability, recovery, regulatory, residency or accessibility requirement.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New premium licensing exposure, external capacity model or a material change in lifecycle cost.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Reliance on a preview, recently changed, undocumented or otherwise volatile platform capability.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Architecture acceptance checklist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Required outcome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Fit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Selected application type satisfies verified requirements without violating a documented boundary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Identity, authorisation, data access and external exposure approved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Experience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Personas, responsiveness, accessibility, localisation and device context validated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Engineering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Composition, reuse, dependencies, testability and maintainability accepted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Limits reviewed and material workloads measured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Lifecycle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Source control, deployment, ownership, monitoring, support and recovery defined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Economics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Licensing, capacity and external-estate operating costs accepted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Evidence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ADR links decisions, assumptions, prototypes, exceptions and revalidation triggers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Application Architecture Lead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PP-STD-004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Architecture Standard</dc:title>
  <dc:subject>Fit-for-purpose application selection, design boundaries and platform-exit criteria</dc:subject>
  <dc:creator>AISA Power Platform Governance</dc:creator>
  <dc:description>PP-STD-004 - generated governance document</dc:description>
  <cp:lastModifiedBy>Un-named</cp:lastModifiedBy>
  <cp:revision>1</cp:revision>
  <dcterms:created xsi:type="dcterms:W3CDTF">2026-09-03T14:00:46.653Z</dcterms:created>
  <dcterms:modified xsi:type="dcterms:W3CDTF">2026-09-03T14:00:46.653Z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