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D7A"/>
          <w:sz w:val="36"/>
        </w:rPr>
        <w:t>Invoice Audit Agent — Cheat Sheet de demo (Cap. 2 + 3)</w:t>
      </w:r>
    </w:p>
    <w:p>
      <w:r>
        <w:rPr>
          <w:i/>
          <w:color w:val="595959"/>
          <w:sz w:val="20"/>
        </w:rPr>
        <w:t>Todo ya está desplegado y validado. Solo navega y muestra — nada que configurar en vivo.</w:t>
      </w:r>
    </w:p>
    <w:p/>
    <w:p>
      <w:r>
        <w:rPr>
          <w:b/>
          <w:color w:val="1F3D7A"/>
          <w:sz w:val="26"/>
        </w:rPr>
        <w:t>CAPÍTULO 2 — Build, Observe &amp; Tune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432"/>
            <w:shd w:val="clear" w:color="auto" w:fill="1F3D7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736"/>
            <w:shd w:val="clear" w:color="auto" w:fill="1F3D7A"/>
          </w:tcPr>
          <w:p>
            <w:r>
              <w:rPr>
                <w:b/>
                <w:color w:val="FFFFFF"/>
                <w:sz w:val="18"/>
              </w:rPr>
              <w:t>Navegación / clic</w:t>
            </w:r>
          </w:p>
        </w:tc>
        <w:tc>
          <w:tcPr>
            <w:tcW w:type="dxa" w:w="3312"/>
            <w:shd w:val="clear" w:color="auto" w:fill="1F3D7A"/>
          </w:tcPr>
          <w:p>
            <w:r>
              <w:rPr>
                <w:b/>
                <w:color w:val="FFFFFF"/>
                <w:sz w:val="18"/>
              </w:rPr>
              <w:t>Qué decir (1 línea)</w:t>
            </w:r>
          </w:p>
        </w:tc>
        <w:tc>
          <w:tcPr>
            <w:tcW w:type="dxa" w:w="3600"/>
            <w:shd w:val="clear" w:color="auto" w:fill="1F3D7A"/>
          </w:tcPr>
          <w:p>
            <w:r>
              <w:rPr>
                <w:b/>
                <w:color w:val="FFFFFF"/>
                <w:sz w:val="18"/>
              </w:rPr>
              <w:t>Qué señalar en pantalla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ENTRAR AQUÍ (URL completa):</w:t>
              <w:br/>
              <w:t>https://ai.azure.com/nextgen/r/3eUZlgMRTK6RlV-UO9QbxQ,rg-invoice-audit-demo,,invoice-audit-foundry2,invoice-audit-demo/build/agents/invoice-audit-agent/build?tid=e00660b6-957d-4851-a2b1-26d94d7527cd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"Construimos este agente con instrucciones + conocimiento conectado — sin escribir código."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Instructions · Model (gpt-4o) · Knowledge conectada. Escribe la pregunta en vivo o muestra la ya respondida (abajo).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Pregunta de ejemplo (pégala en el chat si la escribes en vivo):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"Please audit invoice INV-2026-08602 from ServicePro Staffing Solutions (Columbus, OH site, August 2026) against the MSA and the overtime pre-approval log. Flag any non-billable overtime and tell me the dollar amount at risk."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Clic en pestaña "Traces" (misma página)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"Cada respuesta es 100% trazable — aquí está el paso a paso exacto."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Lista de ejecuciones (Completed, costo, tokens). Abre una → árbol: Invoke Agent → Execute Tool → Chat.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Clic en pestaña "Monitor" (misma página)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"Esto es gobierno de costos de IA en tiempo real — mismo principio de FinOps que ya aplican a Azure."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Costo acumulado, uso de tokens, agentes corriendo.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Clic en pestaña "Evaluation" (misma página)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"La calidad no se mide a ojo — existe una rúbrica medible y repetible."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Si ya creaste el Evaluator custom: mostrar el score. Si no: "No evaluations found" — explicar que es el único paso manual (~5 min).</w:t>
            </w:r>
          </w:p>
        </w:tc>
      </w:tr>
    </w:tbl>
    <w:p/>
    <w:p>
      <w:r>
        <w:rPr>
          <w:b/>
          <w:sz w:val="18"/>
        </w:rPr>
        <w:t xml:space="preserve">Cierre Cap. 2: </w:t>
      </w:r>
      <w:r>
        <w:rPr>
          <w:i/>
          <w:sz w:val="18"/>
        </w:rPr>
        <w:t>"Construir, fundamentar, observar y ajustar — el ciclo completo de un agente de producción, en el mismo portal."</w:t>
      </w:r>
    </w:p>
    <w:p/>
    <w:p>
      <w:r>
        <w:rPr>
          <w:b/>
          <w:color w:val="1F3D7A"/>
          <w:sz w:val="26"/>
        </w:rPr>
        <w:t>CAPÍTULO 3 — Seguridad (mismo agente, sin ambiente aparte)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432"/>
            <w:shd w:val="clear" w:color="auto" w:fill="1F3D7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736"/>
            <w:shd w:val="clear" w:color="auto" w:fill="1F3D7A"/>
          </w:tcPr>
          <w:p>
            <w:r>
              <w:rPr>
                <w:b/>
                <w:color w:val="FFFFFF"/>
                <w:sz w:val="18"/>
              </w:rPr>
              <w:t>Navegación / clic</w:t>
            </w:r>
          </w:p>
        </w:tc>
        <w:tc>
          <w:tcPr>
            <w:tcW w:type="dxa" w:w="3312"/>
            <w:shd w:val="clear" w:color="auto" w:fill="1F3D7A"/>
          </w:tcPr>
          <w:p>
            <w:r>
              <w:rPr>
                <w:b/>
                <w:color w:val="FFFFFF"/>
                <w:sz w:val="18"/>
              </w:rPr>
              <w:t>Qué decir (1 línea)</w:t>
            </w:r>
          </w:p>
        </w:tc>
        <w:tc>
          <w:tcPr>
            <w:tcW w:type="dxa" w:w="3600"/>
            <w:shd w:val="clear" w:color="auto" w:fill="1F3D7A"/>
          </w:tcPr>
          <w:p>
            <w:r>
              <w:rPr>
                <w:b/>
                <w:color w:val="FFFFFF"/>
                <w:sz w:val="18"/>
              </w:rPr>
              <w:t>Qué señalar en pantalla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ENTRAR AQUÍ: entra.microsoft.com → Entra ID → Agents</w:t>
              <w:br/>
              <w:t>(o pega: entra.microsoft.com/#view/Microsoft_AAD_RegisteredApps/AllAgents.MenuView)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"Cada agente tiene una identidad gobernable en Entra — igual que cualquier app empresarial."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8 identidades activas, ligadas a nuestro ambiente. Clic en una → detalle (Application ID, Conditional Access).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ENTRAR AQUÍ: portal.azure.com → Microsoft Defender for Cloud → Inventory → invoice-audit-foundry2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"Esto no es un recurso de ejemplo — es nuestro propio agente, detectado automáticamente."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2 recomendaciones "Unhealthy" reales (Private Link, restrict network access) — sin configuración manual.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7 (opcional)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Clic en "Attack path analysis" (menú izquierdo de Defender)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"Defender no solo lista problemas sueltos — busca si se combinan en una ruta de ataque real. Hoy no hay ninguna."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"No attack paths found" — se puede mencionar de palabra sin navegar, para ahorrar tiempo.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Clic en la recomendación → sección "Governance" (ya asignada, no reclickear)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"Aquí está el ciclo completo: detectar, asignar dueño, fijar fecha — con trazabilidad total."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Status = "On time", Recommendation owner + Due date ya asignados (solo mostrar, ya ejecutado).</w:t>
            </w:r>
          </w:p>
        </w:tc>
      </w:tr>
    </w:tbl>
    <w:p/>
    <w:p>
      <w:r>
        <w:rPr>
          <w:b/>
          <w:sz w:val="18"/>
        </w:rPr>
        <w:t xml:space="preserve">Cierre Cap. 3: </w:t>
      </w:r>
      <w:r>
        <w:rPr>
          <w:i/>
          <w:sz w:val="18"/>
        </w:rPr>
        <w:t>"No solo construimos y operamos el agente — también lo gobernamos: identidad auditable, postura de seguridad monitoreada, y contención con dueño y fecha."</w:t>
      </w:r>
    </w:p>
    <w:p/>
    <w:p>
      <w:r>
        <w:rPr>
          <w:i/>
          <w:color w:val="B00000"/>
          <w:sz w:val="16"/>
        </w:rPr>
        <w:t>⚠️ No ejecutar en vivo: no apliques "Fix"/Quick Fix sobre la recomendación de red en el recurso Foundry real — rompería el agente. La acción de contención (paso 8) ya está hecha.</w:t>
      </w:r>
    </w:p>
    <w:p>
      <w:r>
        <w:rPr>
          <w:color w:val="808080"/>
          <w:sz w:val="16"/>
        </w:rPr>
        <w:t>Guion completo con contexto, mensajes de valor y explicaciones: deliverables/Guion-Invoice-Audit-Agent-Capitulo2-con-imagenes.docx (mismo repo).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