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pStyle w:val="Heading2"/>
      </w:pPr>
      <w:r>
        <w:t>Monitor → "Configure": evaluaciones recurrentes y red teaming automático (preconfigurado)</w:t>
      </w:r>
    </w:p>
    <w:p>
      <w:pPr/>
      <w:r>
        <w:rPr>
          <w:b/>
        </w:rPr>
        <w:t>Objetivo de esta sección</w:t>
      </w:r>
    </w:p>
    <w:p>
      <w:pPr/>
      <w:r>
        <w:t>Mostrar que el monitoreo de un agente en producción no se limita a costo y tokens: Foundry permite automatizar la certificación continua de calidad/seguridad (evaluaciones recurrentes) y pruebas adversariales programadas (red teaming), sin que nadie tenga que ejecutarlas manualmente cada semana.</w:t>
      </w:r>
    </w:p>
    <w:p>
      <w:pPr/>
      <w:r>
        <w:rPr>
          <w:b/>
        </w:rPr>
        <w:t>Dónde está esto en el portal</w:t>
      </w:r>
    </w:p>
    <w:p>
      <w:pPr/>
      <w:r>
        <w:t>Dentro de Monitor → botón "Configure" se abre el diálogo "Monitor settings" con 5 interruptores: App Insights (conexión ya activa desde el Capítulo 2), Insights (Preview, paneles analíticos adicionales), Recurring evaluations (evaluaciones de calidad/seguridad en cadencia fija), Scheduled red teaming runs (pruebas de seguridad adversariales en cadencia fija), y Evaluation Alerts (notificaciones cuando una métrica cae bajo un umbral).</w:t>
      </w:r>
    </w:p>
    <w:p>
      <w:pPr/>
      <w:r>
        <w:rPr>
          <w:i/>
        </w:rPr>
        <w:t>Nota de nomenclatura confirmada en vivo: la tarjeta "Scheduled evaluations" que aparece en la vista general de Monitor y el toggle "Recurring evaluations" de este diálogo son la misma funcionalidad — Foundry la muestra con dos nombres en dos lugares distintos de la misma pantalla.</w:t>
      </w:r>
    </w:p>
    <w:p>
      <w:pPr>
        <w:pStyle w:val="Heading3"/>
      </w:pPr>
      <w:r>
        <w:t>Evaluaciones recurrentes — "weekly-quality-monitor" (ya configurada y activa)</w:t>
      </w:r>
    </w:p>
    <w:p>
      <w:pPr/>
      <w:r>
        <w:rPr>
          <w:b/>
        </w:rPr>
        <w:t>Qué mostrar en pantalla</w:t>
      </w:r>
    </w:p>
    <w:p>
      <w:pPr/>
      <w:r>
        <w:t>Build → Evaluations → pestaña "Recurring configs" (Preview): aparece weekly-quality-monitor, Frecuencia = Scheduled, 0 corridas todavía (se ejecutará sola según el ciclo configurado).</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09-recurring-evaluation-created.png"/>
                    <pic:cNvPicPr/>
                  </pic:nvPicPr>
                  <pic:blipFill>
                    <a:blip r:embed="rId22"/>
                    <a:stretch>
                      <a:fillRect/>
                    </a:stretch>
                  </pic:blipFill>
                  <pic:spPr>
                    <a:xfrm>
                      <a:off x="0" y="0"/>
                      <a:ext cx="5486400" cy="3086100"/>
                    </a:xfrm>
                    <a:prstGeom prst="rect"/>
                  </pic:spPr>
                </pic:pic>
              </a:graphicData>
            </a:graphic>
          </wp:inline>
        </w:drawing>
      </w:r>
    </w:p>
    <w:p>
      <w:pPr/>
      <w:r>
        <w:rPr>
          <w:i/>
        </w:rPr>
        <w:t>Captura 9 — Evaluación recurrente "weekly-quality-monitor" ya creada y activa (pestaña Recurring configs).</w:t>
      </w:r>
    </w:p>
    <w:p>
      <w:pPr/>
      <w:r>
        <w:rPr>
          <w:b/>
        </w:rPr>
        <w:t>Configuración real aplicada</w:t>
      </w:r>
    </w:p>
    <w:p>
      <w:pPr>
        <w:pStyle w:val="ListParagraph"/>
      </w:pPr>
      <w:r>
        <w:t>Target: invoice-audit-agent (siempre evalúa la versión activa/desplegada más reciente, no una versión fija).</w:t>
      </w:r>
    </w:p>
    <w:p>
      <w:pPr>
        <w:pStyle w:val="ListParagraph"/>
      </w:pPr>
      <w:r>
        <w:t>Scope: Individual turns (correcto para un agente tipo RAG de preguntas y respuestas, no conversación multi-turno).</w:t>
      </w:r>
    </w:p>
    <w:p>
      <w:pPr>
        <w:pStyle w:val="ListParagraph"/>
      </w:pPr>
      <w:r>
        <w:t>Frecuencia: Recurring → Scheduled → cada 1 semana, sobre Live traffic, con muestreo Random de hasta 100 trazas por corrida.</w:t>
      </w:r>
    </w:p>
    <w:p>
      <w:pPr>
        <w:pStyle w:val="ListParagraph"/>
      </w:pPr>
      <w:r>
        <w:t>Criterios: 4 evaluadores de seguridad recomendados (Violence, Sexual, Self-harm, Hate and unfairness) más Output quality (añadido por nosotros: cubre fluency, coherence, intent resolution, task adherence, groundedness y task completion).</w:t>
      </w:r>
    </w:p>
    <w:p>
      <w:pPr>
        <w:pStyle w:val="ListParagraph"/>
      </w:pPr>
      <w:r>
        <w:t>Juez: modelo gpt-4o (Global Standard).</w:t>
      </w:r>
    </w:p>
    <w:p>
      <w:pPr/>
      <w:r>
        <w:rPr>
          <w:i/>
        </w:rPr>
        <w:t>Qué NO quedó configurado en esta pasada: el wizard no incluye un umbral de alerta % en el mismo flujo — eso vive en el toggle separado "Evaluation Alerts", que normalmente se configura una vez que ya existe al menos una corrida con resultados. No se activó en esta sesión.</w:t>
      </w:r>
    </w:p>
    <w:p>
      <w:pPr/>
      <w:r>
        <w:rPr>
          <w:b/>
        </w:rPr>
        <w:t>Mensaje de valor para el cliente</w:t>
      </w:r>
    </w:p>
    <w:p>
      <w:pPr/>
      <w:r>
        <w:rPr>
          <w:i/>
        </w:rPr>
        <w:t>"Esto es lo que ustedes ya hacen con monitoreo de infraestructura — alertas automáticas cuando algo se desvía — aplicado a la calidad del agente. No se necesita que alguien se acuerde de correr una evaluación cada semana: ya quedó programada, corre sola contra tráfico real, y en el futuro puede avisar automáticamente si la calidad cae bajo un umbral."</w:t>
      </w:r>
    </w:p>
    <w:p>
      <w:pPr>
        <w:pStyle w:val="Heading3"/>
      </w:pPr>
      <w:r>
        <w:t>Red teaming — una corrida real ejecutada en este ambiente</w:t>
      </w:r>
    </w:p>
    <w:p>
      <w:pPr/>
      <w:r>
        <w:rPr>
          <w:b/>
        </w:rPr>
        <w:t>Qué mostrar en pantalla</w:t>
      </w:r>
    </w:p>
    <w:p>
      <w:pPr/>
      <w:r>
        <w:t>Build → Evaluations → pestaña "Red team" (Preview): a diferencia de las evaluaciones recurrentes, aquí no existe una opción de programar una cadencia dentro del asistente — cada red team es una corrida puntual bajo demanda. Confirmado en vivo: el toggle "Scheduled red teaming runs" existe en Monitor settings, pero el asistente "Create red teaming run" no tiene ningún paso de frecuencia/cadencia — solo Target → Run configuration → Review prohibited actions → Review → Submit.</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10-redteam-tab.png"/>
                    <pic:cNvPicPr/>
                  </pic:nvPicPr>
                  <pic:blipFill>
                    <a:blip r:embed="rId23"/>
                    <a:stretch>
                      <a:fillRect/>
                    </a:stretch>
                  </pic:blipFill>
                  <pic:spPr>
                    <a:xfrm>
                      <a:off x="0" y="0"/>
                      <a:ext cx="5486400" cy="3086100"/>
                    </a:xfrm>
                    <a:prstGeom prst="rect"/>
                  </pic:spPr>
                </pic:pic>
              </a:graphicData>
            </a:graphic>
          </wp:inline>
        </w:drawing>
      </w:r>
    </w:p>
    <w:p>
      <w:pPr/>
      <w:r>
        <w:rPr>
          <w:i/>
        </w:rPr>
        <w:t>Captura 10 — Pestaña "Red team" (Preview) dentro de Evaluations, antes de crear la primera corrida.</w:t>
      </w:r>
    </w:p>
    <w:p>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11-redteam-create-wizard.png"/>
                    <pic:cNvPicPr/>
                  </pic:nvPicPr>
                  <pic:blipFill>
                    <a:blip r:embed="rId24"/>
                    <a:stretch>
                      <a:fillRect/>
                    </a:stretch>
                  </pic:blipFill>
                  <pic:spPr>
                    <a:xfrm>
                      <a:off x="0" y="0"/>
                      <a:ext cx="5486400" cy="3086100"/>
                    </a:xfrm>
                    <a:prstGeom prst="rect"/>
                  </pic:spPr>
                </pic:pic>
              </a:graphicData>
            </a:graphic>
          </wp:inline>
        </w:drawing>
      </w:r>
    </w:p>
    <w:p>
      <w:pPr/>
      <w:r>
        <w:rPr>
          <w:i/>
        </w:rPr>
        <w:t>Captura 11 — Paso 1 del asistente: elegir el objetivo (Agent) a atacar.</w:t>
      </w:r>
    </w:p>
    <w:p>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12-redteam-run-configuration.png"/>
                    <pic:cNvPicPr/>
                  </pic:nvPicPr>
                  <pic:blipFill>
                    <a:blip r:embed="rId25"/>
                    <a:stretch>
                      <a:fillRect/>
                    </a:stretch>
                  </pic:blipFill>
                  <pic:spPr>
                    <a:xfrm>
                      <a:off x="0" y="0"/>
                      <a:ext cx="5486400" cy="3086100"/>
                    </a:xfrm>
                    <a:prstGeom prst="rect"/>
                  </pic:spPr>
                </pic:pic>
              </a:graphicData>
            </a:graphic>
          </wp:inline>
        </w:drawing>
      </w:r>
    </w:p>
    <w:p>
      <w:pPr/>
      <w:r>
        <w:rPr>
          <w:i/>
        </w:rPr>
        <w:t>Captura 12 — Paso 2 "Run configuration": categorías de riesgo (taxonomía "Standard" — 9 categorías), consultas semilla por categoría, y estrategias de ataque.</w:t>
      </w:r>
    </w:p>
    <w:p>
      <w:pPr/>
      <w:r>
        <w:t>Dos categorías de riesgo ("Prohibited actions" y "Task adherence") exigen describir las herramientas del agente antes de continuar — Foundry usa esa descripción para generar ataques específicos al contexto real del agente, no genéricos:</w:t>
      </w:r>
    </w:p>
    <w:p>
      <w:pPr/>
      <w:r>
        <w:rPr>
          <w:i/>
        </w:rPr>
        <w:t>Tool description (mcp): "MCP tool that queries the servicepro-contract-and-invoices knowledge base (MSA contract, rate card, overtime approvals, and vendor invoices) to answer invoice audit questions."</w:t>
      </w:r>
    </w:p>
    <w:p>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13-redteam-prohibited-actions.png"/>
                    <pic:cNvPicPr/>
                  </pic:nvPicPr>
                  <pic:blipFill>
                    <a:blip r:embed="rId26"/>
                    <a:stretch>
                      <a:fillRect/>
                    </a:stretch>
                  </pic:blipFill>
                  <pic:spPr>
                    <a:xfrm>
                      <a:off x="0" y="0"/>
                      <a:ext cx="5486400" cy="3086100"/>
                    </a:xfrm>
                    <a:prstGeom prst="rect"/>
                  </pic:spPr>
                </pic:pic>
              </a:graphicData>
            </a:graphic>
          </wp:inline>
        </w:drawing>
      </w:r>
    </w:p>
    <w:p>
      <w:pPr/>
      <w:r>
        <w:rPr>
          <w:i/>
        </w:rPr>
        <w:t>Captura 13 — Paso 3 "Review prohibited actions": taxonomía de acciones prohibidas auto-generada (genérica de plataforma) a revisar y confirmar — ej. "Changing a Password", "Bypassing Browser Security Warnings", "Transacting in Regulated Goods".</w:t>
      </w:r>
    </w:p>
    <w:p>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14-redteam-taxonomy-review.png"/>
                    <pic:cNvPicPr/>
                  </pic:nvPicPr>
                  <pic:blipFill>
                    <a:blip r:embed="rId27"/>
                    <a:stretch>
                      <a:fillRect/>
                    </a:stretch>
                  </pic:blipFill>
                  <pic:spPr>
                    <a:xfrm>
                      <a:off x="0" y="0"/>
                      <a:ext cx="5486400" cy="3086100"/>
                    </a:xfrm>
                    <a:prstGeom prst="rect"/>
                  </pic:spPr>
                </pic:pic>
              </a:graphicData>
            </a:graphic>
          </wp:inline>
        </w:drawing>
      </w:r>
    </w:p>
    <w:p>
      <w:pPr/>
      <w:r>
        <w:rPr>
          <w:i/>
        </w:rPr>
        <w:t>Captura 14 — Detalle del modal de revisión de taxonomía de acciones prohibidas.</w:t>
      </w:r>
    </w:p>
    <w:p>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15-redteam-review-final.png"/>
                    <pic:cNvPicPr/>
                  </pic:nvPicPr>
                  <pic:blipFill>
                    <a:blip r:embed="rId28"/>
                    <a:stretch>
                      <a:fillRect/>
                    </a:stretch>
                  </pic:blipFill>
                  <pic:spPr>
                    <a:xfrm>
                      <a:off x="0" y="0"/>
                      <a:ext cx="5486400" cy="3086100"/>
                    </a:xfrm>
                    <a:prstGeom prst="rect"/>
                  </pic:spPr>
                </pic:pic>
              </a:graphicData>
            </a:graphic>
          </wp:inline>
        </w:drawing>
      </w:r>
    </w:p>
    <w:p>
      <w:pPr/>
      <w:r>
        <w:rPr>
          <w:i/>
        </w:rPr>
        <w:t>Captura 15 — Paso 4 "Review": resumen final antes de enviar — objetivo, 9 categorías de riesgo, estrategia de ataque "AsciiArt", y descripción de la herramienta MCP.</w:t>
      </w:r>
    </w:p>
    <w:p>
      <w:pPr/>
      <w:r>
        <w:t>Se envió como "invoice-audit-security-scan" y quedó corriendo en vivo contra el agente real.</w:t>
      </w:r>
    </w:p>
    <w:p>
      <w:pPr/>
      <w:r>
        <w:rPr>
          <w:b/>
        </w:rPr>
        <w:t>Mensaje de valor para el cliente</w:t>
      </w:r>
    </w:p>
    <w:p>
      <w:pPr/>
      <w:r>
        <w:rPr>
          <w:i/>
        </w:rPr>
        <w:t>"Esto no es un checklist de seguridad genérico — es un agente de IA especializado que ataca a su propio agente de producción con las mismas técnicas que usaría un adversario real (inyección de prompts, jailbreaks codificados, intentos de que el agente ejecute acciones fuera de su propósito), usando el contexto específico de sus herramientas y datos conectados. Y lo pueden dejar programado para que corra solo, sin que nadie tenga que acordarse de lanzarlo."</w:t>
      </w:r>
    </w:p>
    <w:p>
      <w:pPr/>
      <w:r>
        <w:rPr>
          <w:i/>
        </w:rPr>
        <w:t>Nota: ver [resultados del escaneo] una vez finalizado — placeholder a completar en la siguiente revisión del guion.</w:t>
      </w:r>
    </w:p>
    <w:p>
      <w:pPr>
        <w:spacing w:after="150"/>
      </w:pPr>
    </w:p>
    <w:p>
      <w:pPr>
        <w:pStyle w:val="Heading1"/>
        <w:spacing w:after="200" w:before="400"/>
      </w:pPr>
      <w:r>
        <w:rPr>
          <w:b/>
          <w:bCs/>
          <w:color w:val="1F3864"/>
          <w:sz w:val="32"/>
          <w:szCs w:val="32"/>
        </w:rPr>
        <w:t xml:space="preserve">Sección 5 — Tune: Evaluator y mejora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2"/>
        <w:spacing w:after="150" w:before="300"/>
      </w:pPr>
      <w:r>
        <w:rPr>
          <w:b/>
          <w:bCs/>
          <w:color w:val="2F5597"/>
          <w:sz w:val="26"/>
          <w:szCs w:val="26"/>
        </w:rPr>
        <w:t xml:space="preserve">Navegación — Catálogo de evaluadores</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https://ai.azure.com/nextgen/r/3eUZlgMRTK6RlV-UO9QbxQ,rg-invoice-audit-demo,,invoice-audit-foundry2,invoice-audit-demo/build/evaluations/catalog/contract-policy-evidence-compliance/1?tid=e00660b6-957d-4851-a2b1-26d94d7527cd</w:t>
      </w:r>
    </w:p>
    <w:p>
      <w:pPr>
        <w:spacing w:after="100" w:before="200"/>
      </w:pPr>
      <w:r>
        <w:rPr>
          <w:b/>
          <w:bCs/>
          <w:color w:val="1F3864"/>
          <w:sz w:val="22"/>
          <w:szCs w:val="22"/>
        </w:rPr>
        <w:t xml:space="preserve">Qué mostrar en pantalla (evaluador)</w:t>
      </w:r>
    </w:p>
    <w:p>
      <w:pPr>
        <w:pStyle w:val="ListParagraph"/>
        <w:numPr>
          <w:ilvl w:val="0"/>
          <w:numId w:val="1"/>
        </w:numPr>
        <w:spacing w:after="80"/>
      </w:pPr>
      <w:r>
        <w:rPr>
          <w:sz w:val="21"/>
          <w:szCs w:val="21"/>
        </w:rPr>
        <w:t xml:space="preserve">Evaluador custom: "Contract-Policy-Evidence Compliance" (tipo Rubric, auto-generado por IA a partir de una instrucción en lenguaje natural).</w:t>
      </w:r>
    </w:p>
    <w:p>
      <w:pPr>
        <w:pStyle w:val="ListParagraph"/>
        <w:numPr>
          <w:ilvl w:val="0"/>
          <w:numId w:val="1"/>
        </w:numPr>
        <w:spacing w:after="80"/>
      </w:pPr>
      <w:r>
        <w:rPr>
          <w:sz w:val="21"/>
          <w:szCs w:val="21"/>
        </w:rPr>
        <w:t xml:space="preserve">Dimensiones con peso: line_item_audit_correctness (peso 9) — ¿el agente asignó correctamente la disposición de facturación según la evidencia? y evidence_grounding_and_citation (peso 6) — ¿cada hallazgo cita una cláusula y una fila del registro real?</w:t>
      </w:r>
    </w:p>
    <w:p/>
    <w:p>
      <w:r>
        <w:rPr>
          <w:i/>
          <w:color w:val="595959"/>
          <w:sz w:val="18"/>
        </w:rPr>
        <w:t>Nota importante: como este ambiente fue recreado limpio (nueva cuenta Foundry), el evaluador custom "Contract-Policy-Evidence Compliance" TODAVÍA NO EXISTE aquí — debe crearse manualmente siguiendo el paso documentado en el repo (~5 min) antes de poder mostrar esta sección. La siguiente captura muestra el estado de partida real (pestaña Evaluation vacía) desde el que debes arrancar ese paso manual.</w:t>
      </w:r>
    </w:p>
    <w:p/>
    <w:p>
      <w:pPr>
        <w:jc w:val="left"/>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evaluation-tab-empty.png"/>
                    <pic:cNvPicPr/>
                  </pic:nvPicPr>
                  <pic:blipFill>
                    <a:blip r:embed="rId13"/>
                    <a:stretch>
                      <a:fillRect/>
                    </a:stretch>
                  </pic:blipFill>
                  <pic:spPr>
                    <a:xfrm>
                      <a:off x="0" y="0"/>
                      <a:ext cx="5669280" cy="3188970"/>
                    </a:xfrm>
                    <a:prstGeom prst="rect"/>
                  </pic:spPr>
                </pic:pic>
              </a:graphicData>
            </a:graphic>
          </wp:inline>
        </w:drawing>
      </w:r>
    </w:p>
    <w:p>
      <w:r>
        <w:rPr>
          <w:i/>
          <w:color w:val="595959"/>
          <w:sz w:val="18"/>
        </w:rPr>
        <w:t>Captura 6 — Estado de partida: pestaña Evaluation del agente antes de crear el evaluador custom ("No evaluations found").</w:t>
      </w:r>
    </w:p>
    <w:p>
      <w:pPr>
        <w:pStyle w:val="Heading2"/>
        <w:spacing w:after="150" w:before="300"/>
      </w:pPr>
      <w:r>
        <w:rPr>
          <w:b/>
          <w:bCs/>
          <w:color w:val="2F5597"/>
          <w:sz w:val="26"/>
          <w:szCs w:val="26"/>
        </w:rPr>
        <w:t xml:space="preserve">Navegación — Resultados de la evaluación</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https://ai.azure.com/nextgen/r/3eUZlgMRTK6RlV-UO9QbxQ,rg-invoice-audit-demo,,invoice-audit-foundry2,invoice-audit-demo/build/evaluations/eval_b47d2fd7fb654844b4e252f5b60761e6?tid=e00660b6-957d-4851-a2b1-26d94d7527cd</w:t>
      </w:r>
    </w:p>
    <w:p>
      <w:r>
        <w:rPr>
          <w:i/>
          <w:color w:val="595959"/>
          <w:sz w:val="18"/>
        </w:rPr>
        <w:t>Nota: este ID de evaluación (eval_b47d2fd7...) corresponde al ambiente manual original y ya no existe aquí. Una vez que crees el evaluador y corras una nueva evaluación en este ambiente, copia la URL real desde la barra de direcciones y reemplaza esta referencia antes de la demo.</w:t>
      </w:r>
    </w:p>
    <w:p>
      <w:pPr>
        <w:spacing w:after="100" w:before="200"/>
      </w:pPr>
      <w:r>
        <w:rPr>
          <w:b/>
          <w:bCs/>
          <w:color w:val="1F3864"/>
          <w:sz w:val="22"/>
          <w:szCs w:val="22"/>
        </w:rPr>
        <w:t xml:space="preserve">Qué mostrar en pantalla (resultados)</w:t>
      </w:r>
    </w:p>
    <w:p>
      <w:pPr>
        <w:pStyle w:val="ListParagraph"/>
        <w:numPr>
          <w:ilvl w:val="0"/>
          <w:numId w:val="1"/>
        </w:numPr>
        <w:spacing w:after="80"/>
      </w:pPr>
      <w:r>
        <w:rPr>
          <w:sz w:val="21"/>
          <w:szCs w:val="21"/>
        </w:rPr>
        <w:t xml:space="preserve">Evaluación "invoice-audit-evaluation-run-1" ejecutada sobre 3 trazas reales (Application Insights traces) — no datos sintéticos.</w:t>
      </w:r>
    </w:p>
    <w:p>
      <w:pPr>
        <w:pStyle w:val="ListParagraph"/>
        <w:numPr>
          <w:ilvl w:val="0"/>
          <w:numId w:val="1"/>
        </w:numPr>
        <w:spacing w:after="80"/>
      </w:pPr>
      <w:r>
        <w:rPr>
          <w:sz w:val="21"/>
          <w:szCs w:val="21"/>
        </w:rPr>
        <w:t xml:space="preserve">Score global: 67% (28/42) combinando 7 evaluadores (seguridad + calidad + el evaluador custom).</w:t>
      </w:r>
    </w:p>
    <w:p>
      <w:pPr>
        <w:pStyle w:val="ListParagraph"/>
        <w:numPr>
          <w:ilvl w:val="0"/>
          <w:numId w:val="1"/>
        </w:numPr>
        <w:spacing w:after="80"/>
      </w:pPr>
      <w:r>
        <w:rPr>
          <w:sz w:val="21"/>
          <w:szCs w:val="21"/>
        </w:rPr>
        <w:t xml:space="preserve">Score del evaluador custom "contract-policy-evidence-compliance": 100% (3/3) — las 3 respuestas del agente citaron evidencia real y asignaron la disposición correcta.</w:t>
      </w:r>
    </w:p>
    <w:p>
      <w:pPr>
        <w:pStyle w:val="ListParagraph"/>
        <w:numPr>
          <w:ilvl w:val="0"/>
          <w:numId w:val="1"/>
        </w:numPr>
        <w:spacing w:after="80"/>
      </w:pPr>
      <w:r>
        <w:rPr>
          <w:sz w:val="21"/>
          <w:szCs w:val="21"/>
        </w:rPr>
        <w:t xml:space="preserve">Abre el detalle de una fila para mostrar el razonamiento del juez (modelo gpt-5.4) explicando por qué aprobó o rechazó cada dimensión.</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no es un checklist manual una vez al trimestre. Pueden programar esta evaluación para correr de forma recurrente, sobre tráfico real de producción, y recibir una alerta si la calidad cae por debajo de un umbral — antes de que el cliente o el auditor lo note."</w:t>
      </w:r>
    </w:p>
    <w:p>
      <w:pPr>
        <w:spacing w:after="150"/>
      </w:pPr>
    </w:p>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https://ai.azure.com/nextgen/r/3eUZlgMRTK6RlV-UO9QbxQ,rg-invoice-audit-demo,,invoice-audit-foundry2,invoice-audit-demo/build/evaluations/eval_b47d2fd7fb654844b4e252f5b60761e6?tid=e00660b6-957d-4851-a2b1-26d94d7527cd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