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Lineamientos Ed Digital 2026</w:t>
      </w:r>
    </w:p>
    <w:p>
      <w:r>
        <w:t>Este documento establece los criterios operativos para la oferta de cursos de capacitacion docente del area de Educacion Digital del Tecnologico de Monterrey durante el ano 2026.</w:t>
      </w:r>
    </w:p>
    <w:p>
      <w:pPr>
        <w:pStyle w:val="Heading1"/>
      </w:pPr>
      <w:r>
        <w:t>1. Criterios de apertura de grupo</w:t>
      </w:r>
    </w:p>
    <w:p>
      <w:r>
        <w:t>Un curso se considera VIABLE para apertura cuando alcanza al menos el 80 por ciento del cupo registrado en el padron oficial. Por debajo de ese umbral, el coordinador de sede debe justificar la apertura por escrito ante la jefatura de Ed Digital.</w:t>
      </w:r>
    </w:p>
    <w:p>
      <w:r>
        <w:t>Los cursos en modalidad EAD (Linea) tienen un umbral reducido del 60 por ciento debido a su menor costo operativo.</w:t>
      </w:r>
    </w:p>
    <w:p>
      <w:pPr>
        <w:pStyle w:val="Heading1"/>
      </w:pPr>
      <w:r>
        <w:t>2. Asignacion de instructores</w:t>
      </w:r>
    </w:p>
    <w:p>
      <w:r>
        <w:t>Ningun instructor puede tener mas de DOS cursos activos simultaneamente en el mismo periodo academico. Excepciones requieren visto bueno de la coordinacion de Formacion Docente.</w:t>
      </w:r>
    </w:p>
    <w:p>
      <w:r>
        <w:t>La antiguedad minima para impartir cursos del nivel Avanzado (codigo terminado en 200 o superior) es de 5 anos en el area.</w:t>
      </w:r>
    </w:p>
    <w:p>
      <w:pPr>
        <w:pStyle w:val="Heading1"/>
      </w:pPr>
      <w:r>
        <w:t>3. Evaluacion de calidad</w:t>
      </w:r>
    </w:p>
    <w:p>
      <w:r>
        <w:t>Toda imparticion debe registrar una evaluacion promedio de los participantes mayor o igual a 4.0 sobre 5.0. Cursos con evaluaciones por debajo de ese valor en dos ediciones consecutivas seran sometidos a revision pedagogica.</w:t>
      </w:r>
    </w:p>
    <w:p>
      <w:pPr>
        <w:pStyle w:val="Heading1"/>
      </w:pPr>
      <w:r>
        <w:t>4. Reportes</w:t>
      </w:r>
    </w:p>
    <w:p>
      <w:r>
        <w:t>El reporte ejecutivo de ocupacion y evaluaciones debe entregarse el primer lunes de cada mes a la direccion. Contiene: ocupacion por sede, instructores sobrecargados, cursos en riesgo (ocupacion menor a 80 por ciento o evaluacion menor a 4.0), y recomendaciones.</w:t>
      </w:r>
    </w:p>
    <w:p>
      <w:pPr>
        <w:pStyle w:val="Heading1"/>
      </w:pPr>
      <w:r>
        <w:t>5. Coordinacion entre departamentos</w:t>
      </w:r>
    </w:p>
    <w:p>
      <w:r>
        <w:t>Cuando un departamento externo (Innovacion Educativa, Diseno Curricular) requiera datos del padron, debe solicitarlos formalmente por correo. El tiempo de respuesta comprometido es de 5 dias habiles.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