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36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 w:ascii="Arial" w:hAnsi="Arial"/>
          <w:bCs/>
          <w:sz w:val="20"/>
          <w:szCs w:val="28"/>
        </w:rP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5212080</wp:posOffset>
            </wp:positionH>
            <wp:positionV relativeFrom="paragraph">
              <wp:posOffset>-1080135</wp:posOffset>
            </wp:positionV>
            <wp:extent cx="1480185" cy="1452880"/>
            <wp:effectExtent l="0" t="0" r="0" b="0"/>
            <wp:wrapNone/>
            <wp:docPr id="1" name="Imagen 1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9110" t="6618" r="27893" b="12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145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1" locked="0" layoutInCell="1" allowOverlap="1">
            <wp:simplePos x="0" y="0"/>
            <wp:positionH relativeFrom="column">
              <wp:posOffset>-1116965</wp:posOffset>
            </wp:positionH>
            <wp:positionV relativeFrom="page">
              <wp:posOffset>0</wp:posOffset>
            </wp:positionV>
            <wp:extent cx="2304415" cy="1418590"/>
            <wp:effectExtent l="0" t="0" r="0" b="0"/>
            <wp:wrapNone/>
            <wp:docPr id="2" name="Imagen 1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41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Toc452014848"/>
      <w:bookmarkStart w:id="1" w:name="_Toc452014994"/>
      <w:bookmarkStart w:id="2" w:name="_Toc436856824"/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 w:ascii="Arial" w:hAnsi="Arial"/>
          <w:bCs/>
          <w:sz w:val="20"/>
          <w:szCs w:val="28"/>
        </w:rPr>
        <mc:AlternateContent>
          <mc:Choice Requires="wps">
            <w:drawing>
              <wp:anchor distT="0" distB="11430" distL="0" distR="0" simplePos="0" relativeHeight="4" behindDoc="0" locked="0" layoutInCell="0" allowOverlap="1" wp14:anchorId="4A9421FE">
                <wp:simplePos x="0" y="0"/>
                <wp:positionH relativeFrom="margin">
                  <wp:posOffset>154305</wp:posOffset>
                </wp:positionH>
                <wp:positionV relativeFrom="paragraph">
                  <wp:posOffset>57785</wp:posOffset>
                </wp:positionV>
                <wp:extent cx="5257800" cy="312420"/>
                <wp:effectExtent l="0" t="0" r="0" b="11430"/>
                <wp:wrapNone/>
                <wp:docPr id="3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ind w:end="11"/>
                              <w:jc w:val="center"/>
                              <w:rPr>
                                <w:rFonts w:ascii="Verdana" w:hAnsi="Verdana" w:cs="Arial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z w:val="32"/>
                              </w:rPr>
                              <w:t>INSTITUTO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z w:val="32"/>
                              </w:rPr>
                              <w:t>TECNOLÓGICO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z w:val="32"/>
                              </w:rPr>
                              <w:t>DE LOS MOCHIS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.15pt;margin-top:4.55pt;width:413.95pt;height:24.55pt;mso-wrap-style:square;v-text-anchor:top;mso-position-horizontal-relative:margin" wp14:anchorId="4A9421F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ind w:end="11"/>
                        <w:jc w:val="center"/>
                        <w:rPr>
                          <w:rFonts w:ascii="Verdana" w:hAnsi="Verdana" w:cs="Arial"/>
                          <w:b/>
                          <w:bCs/>
                          <w:sz w:val="32"/>
                        </w:rPr>
                      </w:pP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z w:val="32"/>
                        </w:rPr>
                        <w:t>INSTITUTO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z w:val="32"/>
                        </w:rPr>
                        <w:t>TECNOLÓGICO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z w:val="32"/>
                        </w:rPr>
                        <w:t>DE LOS MOCHIS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 w:ascii="Arial" w:hAnsi="Arial"/>
          <w:bCs/>
          <w:sz w:val="20"/>
          <w:szCs w:val="28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 w:ascii="Arial" w:hAnsi="Arial"/>
          <w:bCs/>
          <w:sz w:val="20"/>
          <w:szCs w:val="28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 w:ascii="Arial" w:hAnsi="Arial"/>
          <w:bCs/>
          <w:sz w:val="20"/>
          <w:szCs w:val="28"/>
        </w:rPr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 w:ascii="Arial" w:hAnsi="Arial"/>
          <w:b/>
          <w:bCs/>
          <w:sz w:val="32"/>
          <w:szCs w:val="32"/>
        </w:rPr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Ingeniería Informática</w:t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 w:ascii="Arial" w:hAnsi="Arial"/>
          <w:b/>
          <w:bCs/>
          <w:sz w:val="32"/>
          <w:szCs w:val="32"/>
        </w:rPr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Residencia Profesional</w:t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</w:r>
    </w:p>
    <w:p>
      <w:pPr>
        <w:pStyle w:val="Normal"/>
        <w:spacing w:before="0" w:after="80"/>
        <w:jc w:val="center"/>
        <w:rPr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Sistema Administrativo de Tutorías:</w:t>
      </w:r>
    </w:p>
    <w:p>
      <w:pPr>
        <w:pStyle w:val="Normal"/>
        <w:spacing w:before="0" w:after="48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Casos de Uso del Sistema</w:t>
      </w:r>
      <w:r>
        <w:rPr>
          <w:rFonts w:eastAsia="Arial" w:cs="Arial"/>
          <w:b/>
          <w:bCs/>
          <w:sz w:val="32"/>
          <w:szCs w:val="32"/>
        </w:rPr>
        <w:t>.-</w:t>
      </w:r>
    </w:p>
    <w:p>
      <w:pPr>
        <w:pStyle w:val="Normal"/>
        <w:spacing w:lineRule="auto" w:line="360" w:before="0" w:after="80"/>
        <w:jc w:val="center"/>
        <w:rPr/>
      </w:pPr>
      <w:r>
        <w:rPr>
          <w:rFonts w:eastAsia="Arial" w:cs="Arial"/>
          <w:b/>
          <w:bCs/>
          <w:sz w:val="28"/>
          <w:szCs w:val="28"/>
        </w:rPr>
        <w:t>Autor:</w:t>
      </w:r>
    </w:p>
    <w:p>
      <w:pPr>
        <w:pStyle w:val="Normal"/>
        <w:spacing w:lineRule="auto" w:line="360" w:before="0" w:after="36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22440499   Chávez Lizárraga Jorge Emilio</w:t>
      </w:r>
    </w:p>
    <w:p>
      <w:pPr>
        <w:pStyle w:val="Normal"/>
        <w:spacing w:lineRule="auto" w:line="360" w:before="0" w:after="80"/>
        <w:jc w:val="center"/>
        <w:rPr/>
      </w:pPr>
      <w:r>
        <w:rPr>
          <w:rFonts w:eastAsia="Arial" w:cs="Arial"/>
          <w:b/>
          <w:bCs/>
          <w:sz w:val="28"/>
          <w:szCs w:val="28"/>
        </w:rPr>
        <w:t>Supervisora Externa:</w:t>
      </w:r>
    </w:p>
    <w:p>
      <w:pPr>
        <w:pStyle w:val="Normal"/>
        <w:spacing w:lineRule="auto" w:line="360" w:before="0" w:after="36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Martha Guadalupe Quiroz Ibarra</w:t>
      </w:r>
    </w:p>
    <w:p>
      <w:pPr>
        <w:pStyle w:val="Normal"/>
        <w:spacing w:lineRule="auto" w:line="360" w:before="0" w:after="80"/>
        <w:jc w:val="center"/>
        <w:rPr/>
      </w:pPr>
      <w:r>
        <w:rPr>
          <w:rFonts w:eastAsia="Arial" w:cs="Arial"/>
          <w:b/>
          <w:bCs/>
          <w:sz w:val="28"/>
          <w:szCs w:val="28"/>
        </w:rPr>
        <w:t>Supervisor Interno:</w:t>
      </w:r>
    </w:p>
    <w:p>
      <w:pPr>
        <w:pStyle w:val="Normal"/>
        <w:spacing w:lineRule="auto" w:line="360" w:before="0" w:after="36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Fausto Alberto Ávila Santana</w:t>
      </w:r>
    </w:p>
    <w:p>
      <w:pPr>
        <w:pStyle w:val="Normal"/>
        <w:spacing w:lineRule="auto" w:line="240" w:before="0" w:after="8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</w:r>
    </w:p>
    <w:p>
      <w:pPr>
        <w:pStyle w:val="Normal"/>
        <w:spacing w:before="240" w:after="0"/>
        <w:jc w:val="end"/>
        <w:rPr>
          <w:sz w:val="28"/>
          <w:szCs w:val="28"/>
        </w:rPr>
      </w:pPr>
      <w:bookmarkEnd w:id="0"/>
      <w:bookmarkEnd w:id="1"/>
      <w:bookmarkEnd w:id="2"/>
      <w:r>
        <w:rPr>
          <w:rFonts w:eastAsia="Arial" w:cs="Arial"/>
          <w:b/>
          <w:bCs/>
          <w:sz w:val="28"/>
          <w:szCs w:val="28"/>
        </w:rPr>
        <w:t>Los Mochis, Sinaloa. 2</w:t>
      </w:r>
      <w:r>
        <w:rPr>
          <w:rFonts w:eastAsia="Arial" w:cs="Arial"/>
          <w:b/>
          <w:bCs/>
          <w:sz w:val="28"/>
          <w:szCs w:val="28"/>
        </w:rPr>
        <w:t>1</w:t>
      </w:r>
      <w:r>
        <w:rPr>
          <w:rFonts w:eastAsia="Arial" w:cs="Arial"/>
          <w:b/>
          <w:bCs/>
          <w:sz w:val="28"/>
          <w:szCs w:val="28"/>
        </w:rPr>
        <w:t xml:space="preserve"> de septiembre de 2026</w:t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</w:rPr>
        <w:t>1. Propósito</w:t>
      </w:r>
    </w:p>
    <w:p>
      <w:pPr>
        <w:pStyle w:val="Normal"/>
        <w:keepNext w:val="false"/>
        <w:spacing w:lineRule="auto" w:line="360" w:before="0" w:after="160"/>
        <w:jc w:val="both"/>
        <w:rPr/>
      </w:pPr>
      <w:r>
        <w:rPr>
          <w:rFonts w:eastAsia="Arial" w:cs="Arial"/>
        </w:rPr>
        <w:t xml:space="preserve">Este documento presenta los casos de uso preliminares del Sistema Administrativo de Tutorías, elaborados a partir de la entrevista con la Coordinación de Tutorías, el análisis del estado actual del Programa Institucional de Tutorías y el prototipo visual. Para cada caso de uso se describe, de forma breve, lo que se tendría que implementar para llevarlo a cabo. </w:t>
      </w:r>
      <w:r>
        <w:rPr>
          <w:rFonts w:eastAsia="Arial" w:cs="Arial"/>
        </w:rPr>
        <w:t>Este documento se ira actualizando conforme se valla desarrollando el proyecto de acuerdo a sus funciones</w:t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</w:rPr>
        <w:t>2. Casos de uso e implementación</w:t>
      </w:r>
    </w:p>
    <w:tbl>
      <w:tblPr>
        <w:tblW w:w="88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3200"/>
        <w:gridCol w:w="5638"/>
      </w:tblGrid>
      <w:tr>
        <w:trPr>
          <w:tblHeader w:val="true"/>
          <w:cantSplit/>
        </w:trPr>
        <w:tc>
          <w:tcPr>
            <w:tcW w:w="3200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  <w:shd w:color="auto" w:fill="E3EDF8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Caso de uso</w:t>
            </w:r>
          </w:p>
        </w:tc>
        <w:tc>
          <w:tcPr>
            <w:tcW w:w="5638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  <w:shd w:color="auto" w:fill="E3EDF8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Qué se tendría que implementar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CU-01. Iniciar sesión (Tutor, Coordinación)</w:t>
            </w:r>
          </w:p>
        </w:tc>
        <w:tc>
          <w:tcPr>
            <w:tcW w:w="5638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Autenticación con cuenta institucional, verificación del rol , manejo de la sesión y cierre de sesión. La pantalla ya existe en el prototipo.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CU-02. Consultar los grupos tutorados y sus estudiantes (Tutor)</w:t>
            </w:r>
          </w:p>
        </w:tc>
        <w:tc>
          <w:tcPr>
            <w:tcW w:w="5638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Tablas de grupos, estudiantes y asignación de tutor por semestre. Una consulta que devuelva solo los grupos del tutor en sesión y la conexión de las pantallas Inicio, Mis Grupos, Detalle del grupo y Estudiantes con datos reales.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CU-03. Consultar el expediente de un estudiante (Tutor)</w:t>
            </w:r>
          </w:p>
        </w:tc>
        <w:tc>
          <w:tcPr>
            <w:tcW w:w="5638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 xml:space="preserve">Tablas de ficha de identificación, historial académico, diagnóstico y apoyos, vinculadas al estudiante. Consulta del expediente completo, permisos para que cada tutor vea solo a sus estudiantes y protección adicional para los datos de salud </w:t>
            </w: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que se definirán en el futuro</w:t>
            </w: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CU-04. Registrar una observación en el expediente del semestre actual (Tutor)</w:t>
            </w:r>
          </w:p>
        </w:tc>
        <w:tc>
          <w:tcPr>
            <w:tcW w:w="5638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Tabla de observaciones con estudiante, semestre, autor, etiqueta, texto, fecha y marca de privada. Formulario con validación y una regla que solo permita guardar mientras el semestre esté abierto.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CU-05. Consultar expedientes y observaciones de semestres anteriores, solo lectura (Tutor)</w:t>
            </w:r>
          </w:p>
        </w:tc>
        <w:tc>
          <w:tcPr>
            <w:tcW w:w="5638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Conservar el historial por semestre y consultarlo por periodo. Aplicar el solo lectura en la base de datos y no solo en pantalla, y dar al tutor actual acceso a lo que registró el tutor anterior.</w:t>
            </w:r>
          </w:p>
        </w:tc>
      </w:tr>
      <w:tr>
        <w:trPr>
          <w:trHeight w:val="1263" w:hRule="atLeast"/>
          <w:cantSplit/>
        </w:trPr>
        <w:tc>
          <w:tcPr>
            <w:tcW w:w="3200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CU-06. Consultar el perfil del grupo a partir del diagnóstico (Tutor)</w:t>
            </w:r>
          </w:p>
        </w:tc>
        <w:tc>
          <w:tcPr>
            <w:tcW w:w="5638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Guardar los resultados por estudiante y semestre, calcular por grupo la distribución de niveles y de estilos de aprendizaje, y crear la pantalla del perfil del grupo, que hoy solo está diseñada de forma parcial.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CU-07. Identificar a los estudiantes que requieren atención (Tutor)</w:t>
            </w:r>
          </w:p>
        </w:tc>
        <w:tc>
          <w:tcPr>
            <w:tcW w:w="5638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Definir con la Coordinación los criterios (materias reprobadas, niveles bajos del diagnóstico, diagnóstico pendiente, canalización) e implementarlos como reglas que calculen la situación de cada estudiante y alimenten las etiquetas de las listas.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CU-08. Consultar y descargar formatos (Tutor)</w:t>
            </w:r>
          </w:p>
        </w:tc>
        <w:tc>
          <w:tcPr>
            <w:tcW w:w="5638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Tabla de archivos con nombre, categoría, tipo, fecha y enlace; almacenamiento de los archivos con enlace público; y la conexión de la lista, la búsqueda y los filtros, junto con el visor y la descarga.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CU-09. Registrar una canalización y darle seguimiento (Tutor, Coordinación)</w:t>
            </w:r>
          </w:p>
        </w:tc>
        <w:tc>
          <w:tcPr>
            <w:tcW w:w="5638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Tabla de canalizaciones con estudiante, quién refiere, motivo, fecha, estado y cita. Formulario que sustituya o complemente el formato actual, y una vista para que la Coordinación las reciba y actualice su estado. Falta definir si solo se registrará o también se automatizará el proceso.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CU-1</w:t>
            </w: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0</w:t>
            </w: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. Asignar tutores a los grupos y transferir los expedientes (Coordinación)</w:t>
            </w:r>
          </w:p>
        </w:tc>
        <w:tc>
          <w:tcPr>
            <w:tcW w:w="5638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Tabla de asignación de tutor por grupo y semestre, y una pantalla para asignarlos. Una regla que dé al nuevo tutor acceso al historial de sus estudiantes sin copiar datos.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CU-1</w:t>
            </w: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1</w:t>
            </w: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. Cerrar el semestre (Coordinación, sistema)</w:t>
            </w:r>
          </w:p>
        </w:tc>
        <w:tc>
          <w:tcPr>
            <w:tcW w:w="5638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Estado de cada semestre (abierto o cerrado) y un proceso que bloquee los registros del semestre y abra los expedientes del siguiente, con confirmación previa y registro de quién lo ejecutó y cuándo.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CU-1</w:t>
            </w: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2</w:t>
            </w: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 xml:space="preserve">. Registrar los resultados del diagnóstico semestral (Coordinación, </w:t>
            </w: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sistema)</w:t>
            </w:r>
          </w:p>
        </w:tc>
        <w:tc>
          <w:tcPr>
            <w:tcW w:w="5638" w:type="dxa"/>
            <w:tcBorders>
              <w:top w:val="single" w:sz="4" w:space="0" w:color="C9D3E3"/>
              <w:start w:val="single" w:sz="4" w:space="0" w:color="C9D3E3"/>
              <w:bottom w:val="single" w:sz="4" w:space="0" w:color="C9D3E3"/>
              <w:end w:val="single" w:sz="4" w:space="0" w:color="C9D3E3"/>
            </w:tcBorders>
          </w:tcPr>
          <w:p>
            <w:pPr>
              <w:pStyle w:val="Normal"/>
              <w:spacing w:lineRule="auto" w:line="262" w:before="0" w:after="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I</w:t>
            </w: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 xml:space="preserve">mportar los resultados desde Microsoft Forms, tablas de respuestas por estudiante y semestre </w:t>
            </w: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para poder centralizar y guardar la información que no se guarda de los formularios</w:t>
            </w:r>
            <w:r>
              <w:rPr>
                <w:rFonts w:eastAsia="Arial" w:cs="Arial"/>
                <w:b w:val="false"/>
                <w:bCs w:val="false"/>
                <w:sz w:val="21"/>
                <w:szCs w:val="21"/>
              </w:rPr>
              <w:t>.</w:t>
            </w:r>
          </w:p>
        </w:tc>
      </w:tr>
    </w:tbl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701" w:right="1701" w:gutter="0" w:header="708" w:top="1701" w:footer="709" w:bottom="170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07D8B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Arial" w:cs="Arial"/>
        <w:color w:val="607D8B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color w:val="607D8B"/>
        <w:sz w:val="16"/>
        <w:szCs w:val="16"/>
      </w:rPr>
      <w:t>Casos de uso preliminares · Sistema Administrativo de Tutorías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MX" w:eastAsia="zh-CN" w:bidi="hi-IN"/>
    </w:rPr>
  </w:style>
  <w:style w:type="paragraph" w:styleId="Heading1">
    <w:name w:val="heading 1"/>
    <w:basedOn w:val="Heading"/>
    <w:qFormat/>
    <w:pPr>
      <w:keepNext w:val="true"/>
      <w:pBdr>
        <w:bottom w:val="single" w:sz="6" w:space="4" w:color="C9D3E3"/>
      </w:pBdr>
      <w:spacing w:lineRule="auto" w:line="360" w:before="360" w:after="160"/>
      <w:jc w:val="both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keepNext w:val="true"/>
      <w:spacing w:lineRule="auto" w:line="360" w:before="240" w:after="120"/>
      <w:jc w:val="both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s-MX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MX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LibreOffice/26.2.5.2$Windows_X86_64 LibreOffice_project/cd7284b4cbbfeb507e630c1aac019f4157393acb</Application>
  <AppVersion>15.0000</AppVersion>
  <Pages>3</Pages>
  <Words>657</Words>
  <Characters>3656</Characters>
  <CharactersWithSpaces>4272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2026-09-21T19:09:37Z</dcterms:created>
  <dc:creator>Jorge Emilio Chávez Lizárraga</dc:creator>
  <dc:description/>
  <dc:language>es-MX</dc:language>
  <cp:lastModifiedBy/>
  <dcterms:modified xsi:type="dcterms:W3CDTF">2026-09-21T12:18:10Z</dcterms:modified>
  <cp:revision>2</cp:revision>
  <dc:subject/>
  <dc:title>Casos de uso preliminares - Sistema Administrativo de Tutorías</dc:title>
</cp:coreProperties>
</file>