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360"/>
        <w:jc w:val="center"/>
        <w:rPr>
          <w:rFonts w:ascii="Arial" w:hAnsi="Arial" w:eastAsia="Arial" w:cs="Arial"/>
          <w:bCs/>
          <w:sz w:val="20"/>
          <w:szCs w:val="28"/>
        </w:rPr>
      </w:pPr>
      <w:bookmarkStart w:id="0" w:name="_Toc452014848"/>
      <w:bookmarkStart w:id="1" w:name="_Toc436856824"/>
      <w:bookmarkStart w:id="2" w:name="_Toc452014994"/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5212080</wp:posOffset>
            </wp:positionH>
            <wp:positionV relativeFrom="paragraph">
              <wp:posOffset>-1080135</wp:posOffset>
            </wp:positionV>
            <wp:extent cx="1480185" cy="1452880"/>
            <wp:effectExtent l="0" t="0" r="0" b="0"/>
            <wp:wrapNone/>
            <wp:docPr id="1" name="Imagen 1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9110" t="6618" r="27893" b="1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145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1" locked="0" layoutInCell="1" allowOverlap="1">
            <wp:simplePos x="0" y="0"/>
            <wp:positionH relativeFrom="column">
              <wp:posOffset>-1116965</wp:posOffset>
            </wp:positionH>
            <wp:positionV relativeFrom="page">
              <wp:posOffset>0</wp:posOffset>
            </wp:positionV>
            <wp:extent cx="2304415" cy="1418590"/>
            <wp:effectExtent l="0" t="0" r="0" b="0"/>
            <wp:wrapNone/>
            <wp:docPr id="2" name="Imagen 1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41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/>
          <w:bCs/>
          <w:sz w:val="20"/>
          <w:szCs w:val="28"/>
        </w:rPr>
        <w:t>*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margin">
                  <wp:posOffset>154305</wp:posOffset>
                </wp:positionH>
                <wp:positionV relativeFrom="paragraph">
                  <wp:posOffset>57785</wp:posOffset>
                </wp:positionV>
                <wp:extent cx="5257800" cy="312420"/>
                <wp:effectExtent l="0" t="0" r="0" b="0"/>
                <wp:wrapNone/>
                <wp:docPr id="3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312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ind w:end="11"/>
                              <w:jc w:val="center"/>
                              <w:rPr>
                                <w:rFonts w:ascii="Verdana" w:hAnsi="Verdana" w:cs="Arial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INSTITUTO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TECNOLÓGICO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cs="Arial" w:ascii="Verdana" w:hAnsi="Verdana"/>
                                <w:b/>
                                <w:bCs/>
                                <w:color w:val="000000"/>
                                <w:sz w:val="32"/>
                              </w:rPr>
                              <w:t>DE LOS MOCHIS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2.15pt;margin-top:4.55pt;width:413.95pt;height:24.55pt;mso-wrap-style:square;v-text-anchor:top;mso-position-horizontal-relative:margin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ind w:end="11"/>
                        <w:jc w:val="center"/>
                        <w:rPr>
                          <w:rFonts w:ascii="Verdana" w:hAnsi="Verdana" w:cs="Arial"/>
                          <w:b/>
                          <w:bCs/>
                          <w:sz w:val="32"/>
                        </w:rPr>
                      </w:pP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INSTITUTO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TECNOLÓGICO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cs="Arial" w:ascii="Verdana" w:hAnsi="Verdana"/>
                          <w:b/>
                          <w:bCs/>
                          <w:color w:val="000000"/>
                          <w:sz w:val="32"/>
                        </w:rPr>
                        <w:t>DE LOS MOCHIS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" w:hAnsi="Arial" w:eastAsia="Arial" w:cs="Arial"/>
          <w:bCs/>
          <w:sz w:val="20"/>
          <w:szCs w:val="28"/>
        </w:rPr>
      </w:pPr>
      <w:r>
        <w:rPr>
          <w:rFonts w:eastAsia="Arial" w:cs="Arial"/>
          <w:bCs/>
          <w:sz w:val="20"/>
          <w:szCs w:val="28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Ingeniería Informática</w:t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Residencia Profesional</w:t>
      </w:r>
    </w:p>
    <w:p>
      <w:pPr>
        <w:pStyle w:val="Normal"/>
        <w:spacing w:before="0" w:after="30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</w:r>
    </w:p>
    <w:p>
      <w:pPr>
        <w:pStyle w:val="Normal"/>
        <w:spacing w:before="0" w:after="80"/>
        <w:jc w:val="center"/>
        <w:rPr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Sistema Administrativo de Tutorías:</w:t>
      </w:r>
    </w:p>
    <w:p>
      <w:pPr>
        <w:pStyle w:val="Normal"/>
        <w:spacing w:before="0" w:after="480"/>
        <w:jc w:val="center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t>Diagrama de Casos de Uso del Sistema.-</w:t>
      </w:r>
    </w:p>
    <w:p>
      <w:pPr>
        <w:pStyle w:val="Normal"/>
        <w:spacing w:lineRule="auto" w:line="360" w:before="0" w:after="80"/>
        <w:jc w:val="center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Autor: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22440499   Chávez Lizárraga Jorge Emilio</w:t>
      </w:r>
    </w:p>
    <w:p>
      <w:pPr>
        <w:pStyle w:val="Normal"/>
        <w:spacing w:lineRule="auto" w:line="360" w:before="0" w:after="80"/>
        <w:jc w:val="center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Supervisora Externa: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Martha Guadalupe Quiroz Ibarra</w:t>
      </w:r>
    </w:p>
    <w:p>
      <w:pPr>
        <w:pStyle w:val="Normal"/>
        <w:spacing w:lineRule="auto" w:line="360" w:before="0" w:after="80"/>
        <w:jc w:val="center"/>
        <w:rPr>
          <w:rFonts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Supervisor Interno:</w:t>
      </w:r>
    </w:p>
    <w:p>
      <w:pPr>
        <w:pStyle w:val="Normal"/>
        <w:spacing w:lineRule="auto" w:line="360" w:before="0" w:after="36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  <w:t>Fausto Alberto Ávila Santana</w:t>
      </w:r>
    </w:p>
    <w:p>
      <w:pPr>
        <w:pStyle w:val="Normal"/>
        <w:spacing w:lineRule="auto" w:line="240" w:before="0" w:after="8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/>
          <w:b/>
          <w:bCs/>
          <w:sz w:val="28"/>
          <w:szCs w:val="28"/>
        </w:rPr>
      </w:r>
    </w:p>
    <w:p>
      <w:pPr>
        <w:pStyle w:val="Normal"/>
        <w:spacing w:before="240" w:after="0"/>
        <w:jc w:val="end"/>
        <w:rPr>
          <w:sz w:val="28"/>
          <w:szCs w:val="28"/>
        </w:rPr>
      </w:pPr>
      <w:bookmarkEnd w:id="0"/>
      <w:bookmarkEnd w:id="1"/>
      <w:bookmarkEnd w:id="2"/>
      <w:r>
        <w:rPr>
          <w:rFonts w:eastAsia="Arial" w:cs="Arial"/>
          <w:b/>
          <w:bCs/>
          <w:sz w:val="28"/>
          <w:szCs w:val="28"/>
        </w:rPr>
        <w:t>Los Mochis, Sinaloa. 01 de octubre de 2026</w:t>
      </w:r>
      <w:r>
        <w:br w:type="page"/>
      </w:r>
    </w:p>
    <w:p>
      <w:pPr>
        <w:pStyle w:val="Heading1"/>
        <w:spacing w:before="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>1. Propósito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Este documento reúne los requisitos funcionales y no funcionales identificados para el Sistema Administrativo de Tutorías. Su propósito es servir como base para el diseño de la arquitectura de la información, el modelado de la base de datos y el desarrollo de los módulos funcionales del sistema.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El sistema está dirigido exclusivamente al personal tutor y a la Coordinación Institucional de Tutoría. La interacción de los estudiantes se limita al llenado de formularios de diagnóstico; la comunicación directa entre tutores y estudiantes se mantiene en Microsoft Teams, fuera del alcance de este sistema.</w:t>
      </w:r>
    </w:p>
    <w:p>
      <w:pPr>
        <w:pStyle w:val="Heading1"/>
        <w:spacing w:before="36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 xml:space="preserve">2. </w:t>
      </w:r>
      <w:r>
        <w:rPr>
          <w:rFonts w:eastAsia="Arial" w:cs="Arial"/>
        </w:rPr>
        <w:t>Alcance del Sistema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El sistema centraliza el expediente del estudiante, el historial académico, los resultados de diagnóstico, las observaciones del tutor, las canalizaciones y los formatos institucionales, permitiendo que esta información se conserve de forma continua a través de los cambios de tutor entre semestres.</w:t>
      </w:r>
    </w:p>
    <w:p>
      <w:pPr>
        <w:pStyle w:val="Normal"/>
        <w:spacing w:lineRule="auto" w:line="360" w:before="0" w:after="200"/>
        <w:jc w:val="both"/>
        <w:rPr/>
      </w:pPr>
      <w:r>
        <w:rPr>
          <w:rFonts w:eastAsia="Arial" w:cs="Arial" w:ascii="Arial" w:hAnsi="Arial"/>
          <w:b w:val="false"/>
          <w:bCs w:val="false"/>
          <w:sz w:val="24"/>
          <w:szCs w:val="24"/>
        </w:rPr>
        <w:t>Además de los módulos definidos a partir de los casos de uso iniciales, se incorporan al alcance los siguientes puntos, identificados en una revisión posterior con el usuario:</w:t>
      </w:r>
    </w:p>
    <w:p>
      <w:pPr>
        <w:pStyle w:val="ListParagraph"/>
        <w:numPr>
          <w:ilvl w:val="0"/>
          <w:numId w:val="3"/>
        </w:numPr>
        <w:spacing w:lineRule="auto" w:line="360" w:before="0" w:after="100"/>
        <w:ind w:hanging="360" w:start="400"/>
        <w:jc w:val="both"/>
        <w:rPr/>
      </w:pPr>
      <w:r>
        <w:rPr>
          <w:rFonts w:eastAsia="Arial" w:cs="Arial" w:ascii="Arial" w:hAnsi="Arial"/>
          <w:sz w:val="24"/>
          <w:szCs w:val="24"/>
        </w:rPr>
        <w:t>Consulta de las actividades extraescolares realizadas por el estudiante, como parte de su expediente integral.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ind w:hanging="360" w:start="400"/>
        <w:jc w:val="both"/>
        <w:rPr/>
      </w:pPr>
      <w:r>
        <w:rPr>
          <w:rFonts w:eastAsia="Arial" w:cs="Arial" w:ascii="Arial" w:hAnsi="Arial"/>
          <w:sz w:val="24"/>
          <w:szCs w:val="24"/>
        </w:rPr>
        <w:t>Seguimiento al progreso de las actividades del Plan de Acción Tutorial (PAT) que cada tutor planea por semestre (de 3 a 4 actividades), para dar visibilidad de su cumplimiento a la Coordinación.</w:t>
      </w:r>
    </w:p>
    <w:p>
      <w:pPr>
        <w:pStyle w:val="ListParagraph"/>
        <w:numPr>
          <w:ilvl w:val="0"/>
          <w:numId w:val="1"/>
        </w:numPr>
        <w:spacing w:lineRule="auto" w:line="360" w:before="0" w:after="100"/>
        <w:ind w:hanging="360" w:start="400"/>
        <w:jc w:val="both"/>
        <w:rPr/>
      </w:pPr>
      <w:r>
        <w:rPr>
          <w:rFonts w:eastAsia="Arial" w:cs="Arial" w:ascii="Arial" w:hAnsi="Arial"/>
        </w:rPr>
        <w:t>Generación automática de reportes (listas de estudiantes, promedios grupales, estudiantes en atención, canalizaciones abiertas, entre otros).</w:t>
      </w:r>
    </w:p>
    <w:p>
      <w:pPr>
        <w:pStyle w:val="Heading1"/>
        <w:spacing w:before="36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 xml:space="preserve">3. </w:t>
      </w:r>
      <w:r>
        <w:rPr>
          <w:rFonts w:eastAsia="Arial" w:cs="Arial"/>
        </w:rPr>
        <w:t>Requisitos Funcionales (RF)</w:t>
      </w:r>
    </w:p>
    <w:tbl>
      <w:tblPr>
        <w:tblW w:w="9564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00"/>
        <w:gridCol w:w="2600"/>
        <w:gridCol w:w="6064"/>
      </w:tblGrid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  <w:shd w:fill="D9E2F3" w:val="clear"/>
          </w:tcPr>
          <w:p>
            <w:pPr>
              <w:pStyle w:val="Normal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  <w:shd w:fill="D9E2F3" w:val="clear"/>
          </w:tcPr>
          <w:p>
            <w:pPr>
              <w:pStyle w:val="Normal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  <w:shd w:fill="D9E2F3" w:val="clear"/>
          </w:tcPr>
          <w:p>
            <w:pPr>
              <w:pStyle w:val="Normal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RF-01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Iniciar sesión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tutor ingresa con sus credenciales institucionales para acceder al sistema.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RF-02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Consultar grupos y estudiantes tutorados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tutor visualiza los grupos que tiene asignados en el periodo actual y los estudiantes que los integran.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RF-03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Consultar expediente del estudiante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tutor consulta la ficha de identificación, el historial académico, el diagnóstico, los apoyos recibidos y las observaciones de un estudiante.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RF-04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Registrar una observación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tutor agrega una observación al expediente del estudiante, con la opción de marcarla como privada.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RF-05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Consultar expedientes de semestres anteriores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tutor consulta, en modo de solo lectura, los expedientes y grupos de periodos ya cerrados.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RF-06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 xml:space="preserve">Consultar el perfil del grupo 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sistema muestra un resumen agregado de los resultados de diagnóstico del grupo, para orientar la planeación tutorial.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RF-07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Identificar estudiantes que requieren atención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sistema resalta a los estudiantes con bajo promedio, rezago académico o indicadores de diagnóstico desfavorables.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RF-08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Consultar y descargar formatos institucionales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tutor visualiza y descarga los formatos (canalización, PAT, reportes, etc.) subidos por la Coordinación.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RF-09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Registrar una canalización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tutor registra la derivación de un estudiante a Desarrollo Académico o atención psicológica, indicando el motivo.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RF-10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Asignar tutores y transferir expedientes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La Coordinación asigna un tutor a cada grupo por periodo y autoriza la transferencia de expedientes al nuevo tutor.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RF-11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Cerrar el semestre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La Coordinación cierra el periodo activo, bloqueando como solo lectura la información capturada durante ese semestre.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RF-12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Registrar/importar resultados del diagnóstico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sistema incorpora los resultados de los formularios de diagnóstico aplicados a través de Microsoft Forms.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RF-13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Consultar actividades extraescolares del estudiante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tutor consulta las actividades extraescolares (deportivas, culturales, de voluntariado, etc.) registradas en el expediente del estudiante, como parte de su perfil integral.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RF-14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Dar seguimiento al progreso de actividades del tutor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sistema permite registrar y visualizar el avance de las actividades que cada tutor planea realizar durante el semestre (entre 3 y 4, conforme al Plan de Acción Tutorial), incluyendo su estado de cumplimiento.</w:t>
            </w:r>
          </w:p>
        </w:tc>
      </w:tr>
      <w:tr>
        <w:trPr/>
        <w:tc>
          <w:tcPr>
            <w:tcW w:w="9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RF-15</w:t>
            </w:r>
          </w:p>
        </w:tc>
        <w:tc>
          <w:tcPr>
            <w:tcW w:w="2600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start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Generar reportes automáticos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sistema genera reportes a partir de la información capturada, como listas de estudiantes por grupo, promedios grupales, estudiantes en situación de atención y canalizaciones registradas, sin que el tutor o la Coordinación tengan que elaborarlos manualmente.</w:t>
            </w:r>
          </w:p>
        </w:tc>
      </w:tr>
    </w:tbl>
    <w:p>
      <w:pPr>
        <w:pStyle w:val="Heading1"/>
        <w:spacing w:before="360" w:after="160"/>
        <w:ind w:hanging="0" w:start="0"/>
        <w:rPr>
          <w:rFonts w:ascii="Arial" w:hAnsi="Arial" w:eastAsia="Arial" w:cs="Arial"/>
        </w:rPr>
      </w:pPr>
      <w:r>
        <w:rPr>
          <w:rFonts w:eastAsia="Arial" w:cs="Arial"/>
        </w:rPr>
        <w:t xml:space="preserve">3. </w:t>
      </w:r>
      <w:r>
        <w:rPr>
          <w:rFonts w:eastAsia="Arial" w:cs="Arial"/>
        </w:rPr>
        <w:t>Requisitos Funcionales (RNF)</w:t>
      </w:r>
    </w:p>
    <w:tbl>
      <w:tblPr>
        <w:tblW w:w="9564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056"/>
        <w:gridCol w:w="2444"/>
        <w:gridCol w:w="6064"/>
      </w:tblGrid>
      <w:tr>
        <w:trPr/>
        <w:tc>
          <w:tcPr>
            <w:tcW w:w="1056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  <w:shd w:fill="D9E2F3" w:val="clear"/>
          </w:tcPr>
          <w:p>
            <w:pPr>
              <w:pStyle w:val="Normal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44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  <w:shd w:fill="D9E2F3" w:val="clear"/>
          </w:tcPr>
          <w:p>
            <w:pPr>
              <w:pStyle w:val="Normal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  <w:shd w:fill="D9E2F3" w:val="clear"/>
          </w:tcPr>
          <w:p>
            <w:pPr>
              <w:pStyle w:val="Normal"/>
              <w:spacing w:lineRule="auto" w:line="276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056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RNF-01</w:t>
            </w:r>
          </w:p>
        </w:tc>
        <w:tc>
          <w:tcPr>
            <w:tcW w:w="244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Usabilidad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La interfaz debe ser clara y consistente con el lenguaje visual institucional.</w:t>
            </w:r>
          </w:p>
        </w:tc>
      </w:tr>
      <w:tr>
        <w:trPr/>
        <w:tc>
          <w:tcPr>
            <w:tcW w:w="1056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RNF-02</w:t>
            </w:r>
          </w:p>
        </w:tc>
        <w:tc>
          <w:tcPr>
            <w:tcW w:w="244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Confidencialidad de la información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Los datos sensibles (salud, situación socioeconómica, observaciones privadas) deben estar protegidos y accesibles únicamente a los roles autorizados.</w:t>
            </w:r>
          </w:p>
        </w:tc>
      </w:tr>
      <w:tr>
        <w:trPr/>
        <w:tc>
          <w:tcPr>
            <w:tcW w:w="1056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RNF-03</w:t>
            </w:r>
          </w:p>
        </w:tc>
        <w:tc>
          <w:tcPr>
            <w:tcW w:w="244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Disponibilidad y accesibilidad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sistema debe ser accesible desde navegador web, en equipo de escritorio y dispositivos móviles, sin requerir instalación.</w:t>
            </w:r>
          </w:p>
        </w:tc>
      </w:tr>
      <w:tr>
        <w:trPr/>
        <w:tc>
          <w:tcPr>
            <w:tcW w:w="1056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RNF-04</w:t>
            </w:r>
          </w:p>
        </w:tc>
        <w:tc>
          <w:tcPr>
            <w:tcW w:w="244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Integridad histórica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La información de un periodo cerrado no debe poder modificarse ni eliminarse; solo debe quedar disponible en modo de consulta.</w:t>
            </w:r>
          </w:p>
        </w:tc>
      </w:tr>
      <w:tr>
        <w:trPr/>
        <w:tc>
          <w:tcPr>
            <w:tcW w:w="1056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RNF-05</w:t>
            </w:r>
          </w:p>
        </w:tc>
        <w:tc>
          <w:tcPr>
            <w:tcW w:w="244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Compatibilidad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sistema debe funcionar correctamente en los navegadores de uso común.</w:t>
            </w:r>
          </w:p>
        </w:tc>
      </w:tr>
      <w:tr>
        <w:trPr/>
        <w:tc>
          <w:tcPr>
            <w:tcW w:w="1056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RNF-06</w:t>
            </w:r>
          </w:p>
        </w:tc>
        <w:tc>
          <w:tcPr>
            <w:tcW w:w="244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Escalabilidad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 xml:space="preserve">La estructura de datos debe permitir incorporar, a futuro, otras carreras 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 xml:space="preserve">o </w:t>
            </w: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departamentos sin rediseñar el modelo.</w:t>
            </w:r>
          </w:p>
        </w:tc>
      </w:tr>
      <w:tr>
        <w:trPr/>
        <w:tc>
          <w:tcPr>
            <w:tcW w:w="1056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RNF-07</w:t>
            </w:r>
          </w:p>
        </w:tc>
        <w:tc>
          <w:tcPr>
            <w:tcW w:w="244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Rendimiento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Las consultas de expedientes, grupos y reportes deben responder en un tiempo adecuado aun cuando el volumen de estudiantes crezca.</w:t>
            </w:r>
          </w:p>
        </w:tc>
      </w:tr>
      <w:tr>
        <w:trPr/>
        <w:tc>
          <w:tcPr>
            <w:tcW w:w="1056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RNF-08</w:t>
            </w:r>
          </w:p>
        </w:tc>
        <w:tc>
          <w:tcPr>
            <w:tcW w:w="244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Mantenibilidad</w:t>
            </w:r>
          </w:p>
        </w:tc>
        <w:tc>
          <w:tcPr>
            <w:tcW w:w="6064" w:type="dxa"/>
            <w:tcBorders>
              <w:top w:val="single" w:sz="4" w:space="0" w:color="B7B3CA"/>
              <w:start w:val="single" w:sz="4" w:space="0" w:color="B7B3CA"/>
              <w:bottom w:val="single" w:sz="4" w:space="0" w:color="B7B3CA"/>
              <w:end w:val="single" w:sz="4" w:space="0" w:color="B7B3CA"/>
            </w:tcBorders>
          </w:tcPr>
          <w:p>
            <w:pPr>
              <w:pStyle w:val="Normal"/>
              <w:spacing w:lineRule="auto" w:line="276" w:before="0" w:after="0"/>
              <w:jc w:val="both"/>
              <w:rPr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2"/>
                <w:szCs w:val="22"/>
              </w:rPr>
              <w:t>El código y la base de datos deben organizarse de forma modular, para facilitar su mantenimiento y extensión por otros desarrolladores.</w:t>
            </w:r>
          </w:p>
        </w:tc>
      </w:tr>
    </w:tbl>
    <w:p>
      <w:pPr>
        <w:pStyle w:val="Normal"/>
        <w:bidi w:val="0"/>
        <w:spacing w:lineRule="auto" w:line="360" w:before="0" w:after="140"/>
        <w:ind w:hanging="0" w:start="0" w:end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701" w:right="1701" w:gutter="0" w:header="708" w:top="1701" w:footer="709" w:bottom="170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07D8B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/>
        <w:color w:val="607D8B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>
        <w:rFonts w:eastAsia="Arial" w:cs="Arial"/>
        <w:color w:val="607D8B"/>
        <w:sz w:val="16"/>
        <w:szCs w:val="16"/>
      </w:rPr>
    </w:pPr>
    <w:r>
      <w:rPr>
        <w:rFonts w:eastAsia="Arial" w:cs="Arial"/>
        <w:color w:val="607D8B"/>
        <w:sz w:val="16"/>
        <w:szCs w:val="16"/>
      </w:rPr>
      <w:t>Casos de uso preliminares · Sistema Administrativo de Tutorías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MX" w:eastAsia="zh-CN" w:bidi="hi-IN"/>
    </w:rPr>
  </w:style>
  <w:style w:type="paragraph" w:styleId="Heading1">
    <w:name w:val="heading 1"/>
    <w:basedOn w:val="Heading"/>
    <w:qFormat/>
    <w:pPr>
      <w:keepNext w:val="true"/>
      <w:numPr>
        <w:ilvl w:val="0"/>
        <w:numId w:val="0"/>
      </w:numPr>
      <w:pBdr>
        <w:bottom w:val="single" w:sz="6" w:space="4" w:color="C9D3E3"/>
      </w:pBdr>
      <w:spacing w:lineRule="auto" w:line="360" w:before="360" w:after="160"/>
      <w:jc w:val="both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keepNext w:val="true"/>
      <w:numPr>
        <w:ilvl w:val="0"/>
        <w:numId w:val="0"/>
      </w:numPr>
      <w:spacing w:lineRule="auto" w:line="360" w:before="240" w:after="120"/>
      <w:jc w:val="both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s-MX" w:eastAsia="zh-CN" w:bidi="hi-IN"/>
    </w:rPr>
  </w:style>
  <w:style w:type="paragraph" w:styleId="ListParagraph">
    <w:name w:val="List Paragraph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MX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LibreOffice/26.2.6.3$Windows_X86_64 LibreOffice_project/8221e31b3ac356a1623c672912a3d2b492f7e3d1</Application>
  <AppVersion>15.0000</AppVersion>
  <Pages>4</Pages>
  <Words>841</Words>
  <Characters>5046</Characters>
  <CharactersWithSpaces>5786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2026-09-21T19:09:37Z</dcterms:created>
  <dc:creator>Jorge Emilio Chávez Lizárraga</dc:creator>
  <dc:description/>
  <dc:language>es-MX</dc:language>
  <cp:lastModifiedBy/>
  <dcterms:modified xsi:type="dcterms:W3CDTF">2026-10-11T10:04:07Z</dcterms:modified>
  <cp:revision>13</cp:revision>
  <dc:subject/>
  <dc:title>Casos de uso preliminares - Sistema Administrativo de Tutorías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