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360"/>
        <w:jc w:val="center"/>
        <w:rPr>
          <w:rFonts w:ascii="Arial" w:hAnsi="Arial" w:eastAsia="Arial" w:cs="Arial"/>
          <w:bCs/>
          <w:sz w:val="20"/>
          <w:szCs w:val="28"/>
        </w:rPr>
      </w:pPr>
      <w:bookmarkStart w:id="0" w:name="_Toc452014848"/>
      <w:bookmarkStart w:id="1" w:name="_Toc436856824"/>
      <w:bookmarkStart w:id="2" w:name="_Toc452014994"/>
      <w: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5212080</wp:posOffset>
            </wp:positionH>
            <wp:positionV relativeFrom="paragraph">
              <wp:posOffset>-1080135</wp:posOffset>
            </wp:positionV>
            <wp:extent cx="1480185" cy="1452880"/>
            <wp:effectExtent l="0" t="0" r="0" b="0"/>
            <wp:wrapNone/>
            <wp:docPr id="1" name="Imagen 1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9110" t="6618" r="27893" b="12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185" cy="145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1" locked="0" layoutInCell="1" allowOverlap="1">
            <wp:simplePos x="0" y="0"/>
            <wp:positionH relativeFrom="column">
              <wp:posOffset>-1116965</wp:posOffset>
            </wp:positionH>
            <wp:positionV relativeFrom="page">
              <wp:posOffset>0</wp:posOffset>
            </wp:positionV>
            <wp:extent cx="2304415" cy="1418590"/>
            <wp:effectExtent l="0" t="0" r="0" b="0"/>
            <wp:wrapNone/>
            <wp:docPr id="2" name="Imagen 1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41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/>
          <w:bCs/>
          <w:sz w:val="20"/>
          <w:szCs w:val="28"/>
        </w:rPr>
        <w:t>*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" w:hAnsi="Arial" w:eastAsia="Arial" w:cs="Arial"/>
          <w:bCs/>
          <w:sz w:val="20"/>
          <w:szCs w:val="28"/>
        </w:rPr>
      </w:pPr>
      <w:r>
        <w:rPr>
          <w:rFonts w:eastAsia="Arial" w:cs="Arial"/>
          <w:bCs/>
          <w:sz w:val="20"/>
          <w:szCs w:val="28"/>
        </w:rPr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margin">
                  <wp:posOffset>154305</wp:posOffset>
                </wp:positionH>
                <wp:positionV relativeFrom="paragraph">
                  <wp:posOffset>57785</wp:posOffset>
                </wp:positionV>
                <wp:extent cx="5257800" cy="312420"/>
                <wp:effectExtent l="0" t="0" r="0" b="0"/>
                <wp:wrapNone/>
                <wp:docPr id="3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ind w:end="11"/>
                              <w:jc w:val="center"/>
                              <w:rPr>
                                <w:rFonts w:ascii="Verdana" w:hAnsi="Verdana" w:cs="Arial"/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z w:val="32"/>
                              </w:rPr>
                              <w:t>INSTITUTO</w:t>
                            </w: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z w:val="32"/>
                              </w:rPr>
                              <w:t>TECNOLÓGICO</w:t>
                            </w: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z w:val="32"/>
                              </w:rPr>
                              <w:t>DE LOS MOCHIS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2.15pt;margin-top:4.55pt;width:413.95pt;height:24.55pt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ind w:end="11"/>
                        <w:jc w:val="center"/>
                        <w:rPr>
                          <w:rFonts w:ascii="Verdana" w:hAnsi="Verdana" w:cs="Arial"/>
                          <w:b/>
                          <w:bCs/>
                          <w:sz w:val="32"/>
                        </w:rPr>
                      </w:pP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z w:val="32"/>
                        </w:rPr>
                        <w:t>INSTITUTO</w:t>
                      </w: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z w:val="32"/>
                        </w:rPr>
                        <w:t>TECNOLÓGICO</w:t>
                      </w: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z w:val="32"/>
                        </w:rPr>
                        <w:t>DE LOS MOCHIS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" w:hAnsi="Arial" w:eastAsia="Arial" w:cs="Arial"/>
          <w:bCs/>
          <w:sz w:val="20"/>
          <w:szCs w:val="28"/>
        </w:rPr>
      </w:pPr>
      <w:r>
        <w:rPr>
          <w:rFonts w:eastAsia="Arial" w:cs="Arial"/>
          <w:bCs/>
          <w:sz w:val="20"/>
          <w:szCs w:val="28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" w:hAnsi="Arial" w:eastAsia="Arial" w:cs="Arial"/>
          <w:bCs/>
          <w:sz w:val="20"/>
          <w:szCs w:val="28"/>
        </w:rPr>
      </w:pPr>
      <w:r>
        <w:rPr>
          <w:rFonts w:eastAsia="Arial" w:cs="Arial"/>
          <w:bCs/>
          <w:sz w:val="20"/>
          <w:szCs w:val="28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" w:hAnsi="Arial" w:eastAsia="Arial" w:cs="Arial"/>
          <w:bCs/>
          <w:sz w:val="20"/>
          <w:szCs w:val="28"/>
        </w:rPr>
      </w:pPr>
      <w:r>
        <w:rPr>
          <w:rFonts w:eastAsia="Arial" w:cs="Arial"/>
          <w:bCs/>
          <w:sz w:val="20"/>
          <w:szCs w:val="28"/>
        </w:rPr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Ingeniería Informática</w:t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Residencia Profesional</w:t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</w:r>
    </w:p>
    <w:p>
      <w:pPr>
        <w:pStyle w:val="Normal"/>
        <w:spacing w:before="0" w:after="80"/>
        <w:jc w:val="center"/>
        <w:rPr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Sistema Administrativo de Tutorías:</w:t>
      </w:r>
    </w:p>
    <w:p>
      <w:pPr>
        <w:pStyle w:val="Normal"/>
        <w:spacing w:before="0" w:after="48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Diagrama de Casos de Uso del Sistema.-</w:t>
      </w:r>
    </w:p>
    <w:p>
      <w:pPr>
        <w:pStyle w:val="Normal"/>
        <w:spacing w:lineRule="auto" w:line="360" w:before="0" w:after="80"/>
        <w:jc w:val="center"/>
        <w:rPr>
          <w:rFonts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Autor:</w:t>
      </w:r>
    </w:p>
    <w:p>
      <w:pPr>
        <w:pStyle w:val="Normal"/>
        <w:spacing w:lineRule="auto" w:line="360" w:before="0" w:after="36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22440499   Chávez Lizárraga Jorge Emilio</w:t>
      </w:r>
    </w:p>
    <w:p>
      <w:pPr>
        <w:pStyle w:val="Normal"/>
        <w:spacing w:lineRule="auto" w:line="360" w:before="0" w:after="80"/>
        <w:jc w:val="center"/>
        <w:rPr>
          <w:rFonts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Supervisora Externa:</w:t>
      </w:r>
    </w:p>
    <w:p>
      <w:pPr>
        <w:pStyle w:val="Normal"/>
        <w:spacing w:lineRule="auto" w:line="360" w:before="0" w:after="36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Martha Guadalupe Quiroz Ibarra</w:t>
      </w:r>
    </w:p>
    <w:p>
      <w:pPr>
        <w:pStyle w:val="Normal"/>
        <w:spacing w:lineRule="auto" w:line="360" w:before="0" w:after="80"/>
        <w:jc w:val="center"/>
        <w:rPr>
          <w:rFonts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Supervisor Interno:</w:t>
      </w:r>
    </w:p>
    <w:p>
      <w:pPr>
        <w:pStyle w:val="Normal"/>
        <w:spacing w:lineRule="auto" w:line="360" w:before="0" w:after="36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Fausto Alberto Ávila Santana</w:t>
      </w:r>
    </w:p>
    <w:p>
      <w:pPr>
        <w:pStyle w:val="Normal"/>
        <w:spacing w:lineRule="auto" w:line="240" w:before="0" w:after="8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</w:r>
    </w:p>
    <w:p>
      <w:pPr>
        <w:pStyle w:val="Normal"/>
        <w:spacing w:before="240" w:after="0"/>
        <w:jc w:val="end"/>
        <w:rPr>
          <w:sz w:val="28"/>
          <w:szCs w:val="28"/>
        </w:rPr>
      </w:pPr>
      <w:bookmarkEnd w:id="0"/>
      <w:bookmarkEnd w:id="1"/>
      <w:bookmarkEnd w:id="2"/>
      <w:r>
        <w:rPr>
          <w:rFonts w:eastAsia="Arial" w:cs="Arial"/>
          <w:b/>
          <w:bCs/>
          <w:sz w:val="28"/>
          <w:szCs w:val="28"/>
        </w:rPr>
        <w:t>Los Mochis, Sinaloa. 01 de octubre de 2026</w:t>
      </w:r>
      <w:r>
        <w:br w:type="page"/>
      </w:r>
    </w:p>
    <w:p>
      <w:pPr>
        <w:pStyle w:val="Heading1"/>
        <w:spacing w:before="0" w:after="160"/>
        <w:ind w:hanging="0" w:start="0"/>
        <w:rPr>
          <w:rFonts w:ascii="Arial" w:hAnsi="Arial" w:eastAsia="Arial" w:cs="Arial"/>
        </w:rPr>
      </w:pPr>
      <w:r>
        <w:rPr>
          <w:rFonts w:eastAsia="Arial" w:cs="Arial"/>
        </w:rPr>
        <w:t>1. Propósito</w:t>
      </w:r>
    </w:p>
    <w:p>
      <w:pPr>
        <w:pStyle w:val="Normal"/>
        <w:keepNext w:val="false"/>
        <w:spacing w:lineRule="auto" w:line="360" w:before="0" w:after="160"/>
        <w:jc w:val="both"/>
        <w:rPr/>
      </w:pPr>
      <w:r>
        <w:rPr>
          <w:rFonts w:eastAsia="Arial" w:cs="Arial"/>
        </w:rPr>
        <w:t>Este documento presenta los flujos de cada uno de los casos de uso, ademas de un diagrama elaborado a partir de los casos de uso preliminares del Sistema Administrativo de Tutorías, conseguidos a partir de la entrevista con la Coordinación de Tutorías, el análisis del estado actual del Programa Institucional de Tutorías y el prototipo visual. Este documento se ira actualizando conforme se valla desarrollando el proyecto de acuerdo a sus funciones.</w:t>
      </w:r>
    </w:p>
    <w:p>
      <w:pPr>
        <w:pStyle w:val="Normal"/>
        <w:spacing w:lineRule="auto" w:line="360" w:before="0" w:after="160"/>
        <w:jc w:val="both"/>
        <w:rPr>
          <w:rFonts w:eastAsia="Arial" w:cs="Arial"/>
        </w:rPr>
      </w:pPr>
      <w:r>
        <w:rPr>
          <w:rFonts w:eastAsia="Arial" w:cs="Arial"/>
        </w:rPr>
      </w:r>
    </w:p>
    <w:p>
      <w:pPr>
        <w:pStyle w:val="Heading1"/>
        <w:spacing w:before="360" w:after="160"/>
        <w:ind w:hanging="0" w:start="0"/>
        <w:rPr>
          <w:rFonts w:ascii="Arial" w:hAnsi="Arial" w:eastAsia="Arial" w:cs="Arial"/>
        </w:rPr>
      </w:pPr>
      <w:r>
        <w:rPr>
          <w:rFonts w:eastAsia="Arial" w:cs="Arial"/>
        </w:rPr>
        <w:t>2. Casos de uso y su flujo</w:t>
      </w:r>
    </w:p>
    <w:p>
      <w:pPr>
        <w:pStyle w:val="Heading3"/>
        <w:spacing w:before="360" w:after="160"/>
        <w:rPr>
          <w:rFonts w:ascii="Arial" w:hAnsi="Arial" w:eastAsia="Arial" w:cs="Arial"/>
          <w:b w:val="false"/>
          <w:bCs w:val="false"/>
          <w:color w:val="000000"/>
          <w:sz w:val="24"/>
          <w:szCs w:val="24"/>
          <w:u w:val="single"/>
        </w:rPr>
      </w:pPr>
      <w:r>
        <w:rPr>
          <w:rFonts w:eastAsia="Arial" w:cs="Arial" w:ascii="Arial" w:hAnsi="Arial"/>
          <w:b w:val="false"/>
          <w:bCs w:val="false"/>
          <w:color w:val="000000"/>
          <w:sz w:val="24"/>
          <w:szCs w:val="24"/>
          <w:u w:val="single"/>
        </w:rPr>
        <w:t>Bloque 1 - Consultas simples</w:t>
      </w:r>
    </w:p>
    <w:p>
      <w:pPr>
        <w:pStyle w:val="Heading4"/>
        <w:spacing w:lineRule="auto" w:line="274" w:before="0" w:after="120"/>
        <w:ind w:hanging="0" w:start="0" w:end="0"/>
        <w:jc w:val="both"/>
        <w:rPr>
          <w:rFonts w:ascii="Arial" w:hAnsi="Arial" w:eastAsia="Arial" w:cs="Arial"/>
          <w:b w:val="false"/>
          <w:bCs w:val="false"/>
          <w:color w:val="000000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color w:val="000000"/>
          <w:sz w:val="24"/>
          <w:szCs w:val="24"/>
        </w:rPr>
        <w:t>CU-01. Iniciar sesión</w:t>
      </w:r>
    </w:p>
    <w:p>
      <w:pPr>
        <w:pStyle w:val="BodyText"/>
        <w:spacing w:lineRule="auto" w:line="360" w:before="0" w:after="140"/>
        <w:jc w:val="both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Participantes: Tutor/Coordinación, Interfaz de login, Autenticación, Base de datos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El usuario escribe correo y contraseña.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La interfaz envía las credenciales a Autenticación.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Autenticación consulta el usuario en Base de datos.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Base de datos devuelve el usuario y su rol.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Autenticación valida la contraseña y crea la sesión.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360"/>
        <w:ind w:hanging="283" w:start="709"/>
        <w:jc w:val="both"/>
        <w:rPr>
          <w:color w:val="000000"/>
        </w:rPr>
      </w:pPr>
      <w:r>
        <w:rPr>
          <w:color w:val="000000"/>
        </w:rPr>
        <w:t>La interfaz redirige a Inicio según el rol.</w:t>
        <w:br/>
        <w:t>Alterno: credenciales inválidas → Autenticación devuelve error → la interfaz muestra el mensaje.</w:t>
      </w:r>
    </w:p>
    <w:p>
      <w:pPr>
        <w:pStyle w:val="BodyText"/>
        <w:bidi w:val="0"/>
        <w:spacing w:lineRule="auto" w:line="36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spacing w:lineRule="auto" w:line="360" w:before="0" w:after="140"/>
        <w:jc w:val="start"/>
        <w:rPr>
          <w:b w:val="false"/>
          <w:bCs w:val="false"/>
          <w:color w:val="000000"/>
          <w:sz w:val="24"/>
          <w:szCs w:val="24"/>
        </w:rPr>
      </w:pPr>
      <w:r>
        <w:rPr>
          <w:rStyle w:val="Strong"/>
          <w:b w:val="false"/>
          <w:bCs w:val="false"/>
          <w:i/>
          <w:iCs/>
          <w:color w:val="000000"/>
          <w:sz w:val="24"/>
          <w:szCs w:val="24"/>
        </w:rPr>
        <w:t>CU-02. Consultar grupos y estudiantes</w:t>
      </w:r>
      <w:r>
        <w:rPr>
          <w:b w:val="false"/>
          <w:bCs w:val="false"/>
          <w:color w:val="000000"/>
          <w:sz w:val="24"/>
          <w:szCs w:val="24"/>
        </w:rPr>
        <w:br/>
        <w:t>Participantes: Tutor, Interfaz, Lógica de grupos, Base de datos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El tutor abre Mis Grupos.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La interfaz pide los grupos del tutor en sesión.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Lógica de grupos consulta la asignación tutor-grupo-semestre en Base de datos.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Base de datos devuelve los grupos y el conteo de estudiantes.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La interfaz muestra la lista.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El tutor selecciona un grupo.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uto" w:line="36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La interfaz pide los estudiantes de ese grupo y los muestra. </w:t>
      </w:r>
    </w:p>
    <w:p>
      <w:pPr>
        <w:pStyle w:val="BodyText"/>
        <w:bidi w:val="0"/>
        <w:spacing w:lineRule="auto" w:line="36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spacing w:lineRule="auto" w:line="360"/>
        <w:ind w:hanging="0" w:start="0" w:end="0"/>
        <w:jc w:val="start"/>
        <w:rPr>
          <w:color w:val="000000"/>
        </w:rPr>
      </w:pPr>
      <w:r>
        <w:rPr>
          <w:rStyle w:val="Strong"/>
          <w:b w:val="false"/>
          <w:bCs w:val="false"/>
          <w:i/>
          <w:iCs/>
          <w:color w:val="000000"/>
        </w:rPr>
        <w:t>CU-03. Consultar el expediente de un estudiante</w:t>
      </w:r>
      <w:r>
        <w:rPr>
          <w:color w:val="000000"/>
        </w:rPr>
        <w:br/>
        <w:t>Participantes: Tutor, Interfaz, Lógica de expediente, Base de datos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El tutor elige "Ver expediente" de un estudiante.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La interfaz valida que el estudiante pertenezca a un grupo del tutor.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Lógica de expediente consulta ficha, historial académico, diagnóstico y apoyos.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Base de datos devuelve los datos de cada sección.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lineRule="auto" w:line="360"/>
        <w:ind w:hanging="283" w:start="709"/>
        <w:jc w:val="both"/>
        <w:rPr>
          <w:color w:val="000000"/>
        </w:rPr>
      </w:pPr>
      <w:r>
        <w:rPr>
          <w:color w:val="000000"/>
        </w:rPr>
        <w:t>La interfaz muestra el expediente por pestañas.</w:t>
        <w:br/>
        <w:t xml:space="preserve">Alterno: el tutor no tiene permiso sobre ese estudiante → se niega el acceso. </w:t>
      </w:r>
    </w:p>
    <w:p>
      <w:pPr>
        <w:pStyle w:val="BodyText"/>
        <w:bidi w:val="0"/>
        <w:spacing w:lineRule="auto" w:line="36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spacing w:lineRule="auto" w:line="360"/>
        <w:ind w:hanging="0" w:start="0" w:end="0"/>
        <w:jc w:val="start"/>
        <w:rPr>
          <w:color w:val="000000"/>
        </w:rPr>
      </w:pPr>
      <w:r>
        <w:rPr>
          <w:rStyle w:val="Strong"/>
          <w:b w:val="false"/>
          <w:bCs w:val="false"/>
          <w:i/>
          <w:iCs/>
          <w:color w:val="000000"/>
        </w:rPr>
        <w:t>CU-08. Consultar y descargar formatos</w:t>
      </w:r>
      <w:r>
        <w:rPr>
          <w:color w:val="000000"/>
        </w:rPr>
        <w:br/>
        <w:t>Participantes: Tutor, Interfaz, Lógica de archivos, Almacenamiento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El tutor abre Herramientas.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La interfaz pide la lista de archivos activos.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Lógica de archivos los consulta en la base de datos.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El tutor busca o filtra por categoría (ciclo local, sin ir al servidor).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El tutor elige Ver: la interfaz pide el enlace a Almacenamiento y lo muestra en el visor.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spacing w:lineRule="auto" w:line="36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El tutor elige Descargar: la interfaz entrega el archivo. </w:t>
      </w:r>
    </w:p>
    <w:p>
      <w:pPr>
        <w:pStyle w:val="BodyText"/>
        <w:bidi w:val="0"/>
        <w:spacing w:lineRule="auto" w:line="36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spacing w:lineRule="auto" w:line="360"/>
        <w:ind w:hanging="0" w:start="0" w:end="0"/>
        <w:jc w:val="start"/>
        <w:rPr>
          <w:color w:val="000000"/>
        </w:rPr>
      </w:pPr>
      <w:r>
        <w:rPr>
          <w:rStyle w:val="Strong"/>
          <w:b w:val="false"/>
          <w:bCs w:val="false"/>
          <w:i/>
          <w:iCs/>
          <w:color w:val="000000"/>
        </w:rPr>
        <w:t>CU-13. Consultar disponibilidad de formularios (Estudiante)</w:t>
      </w:r>
      <w:r>
        <w:rPr>
          <w:color w:val="000000"/>
        </w:rPr>
        <w:br/>
        <w:t>Participantes: Estudiante, Portal estudiantil, Lógica de periodo, Base de datos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>El estudiante entra al portal estudiantil.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>La interfaz consulta el periodo de captura vigente.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>Lógica de periodo compara la fecha actual contra las fechas que configuró Coordinación en Base de datos.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>Si el periodo está abierto, Lógica de periodo consulta los formularios activos de ese periodo.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bidi w:val="0"/>
        <w:spacing w:lineRule="auto" w:line="360"/>
        <w:ind w:hanging="283" w:start="709"/>
        <w:jc w:val="both"/>
        <w:rPr>
          <w:color w:val="000000"/>
        </w:rPr>
      </w:pPr>
      <w:r>
        <w:rPr/>
        <w:t>La interfaz muestra el estado del periodo y la lista de formularios con su enlace.</w:t>
        <w:br/>
        <w:t xml:space="preserve">Alterno: periodo cerrado → la interfaz muestra que no hay formularios disponibles, sin mostrar la lista. 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bidi w:val="0"/>
        <w:spacing w:lineRule="auto" w:line="360"/>
        <w:ind w:hanging="0" w:start="0"/>
        <w:jc w:val="both"/>
        <w:rPr/>
      </w:pPr>
      <w:r>
        <w:rPr/>
      </w:r>
    </w:p>
    <w:p>
      <w:pPr>
        <w:pStyle w:val="BodyText"/>
        <w:bidi w:val="0"/>
        <w:spacing w:lineRule="auto" w:line="360"/>
        <w:jc w:val="both"/>
        <w:rPr>
          <w:color w:val="000000"/>
          <w:u w:val="single"/>
        </w:rPr>
      </w:pPr>
      <w:r>
        <w:rPr>
          <w:color w:val="000000"/>
          <w:u w:val="single"/>
        </w:rPr>
        <w:t xml:space="preserve">Bloque 2 - Datos derivados o calculados </w:t>
      </w:r>
    </w:p>
    <w:p>
      <w:pPr>
        <w:pStyle w:val="BodyText"/>
        <w:bidi w:val="0"/>
        <w:spacing w:lineRule="auto" w:line="360"/>
        <w:ind w:hanging="0" w:start="0" w:end="0"/>
        <w:jc w:val="start"/>
        <w:rPr>
          <w:color w:val="000000"/>
        </w:rPr>
      </w:pPr>
      <w:r>
        <w:rPr>
          <w:rStyle w:val="Strong"/>
          <w:b w:val="false"/>
          <w:bCs w:val="false"/>
          <w:i/>
          <w:iCs/>
          <w:color w:val="000000"/>
        </w:rPr>
        <w:t>CU-07. Identificar estudiantes que requieren atención</w:t>
      </w:r>
      <w:r>
        <w:rPr>
          <w:color w:val="000000"/>
        </w:rPr>
        <w:br/>
        <w:t>Participantes: Tutor, Interfaz, Motor de reglas, Base de datos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La interfaz pide los estudiantes del tutor.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Motor de reglas consulta materias reprobadas, diagnóstico y canalizaciones de cada uno.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Motor de reglas evalúa los criterios acordados con Coordinación.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Devuelve la situación de cada estudiante (al corriente, requiere atención, canalizado, sin diagnóstico).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spacing w:lineRule="auto" w:line="36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La interfaz muestra la lista con sus etiquetas. </w:t>
      </w:r>
    </w:p>
    <w:p>
      <w:pPr>
        <w:pStyle w:val="BodyText"/>
        <w:bidi w:val="0"/>
        <w:spacing w:lineRule="auto" w:line="36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spacing w:lineRule="auto" w:line="360"/>
        <w:ind w:hanging="0" w:start="0" w:end="0"/>
        <w:jc w:val="start"/>
        <w:rPr>
          <w:color w:val="000000"/>
        </w:rPr>
      </w:pPr>
      <w:r>
        <w:rPr>
          <w:rStyle w:val="Strong"/>
          <w:b w:val="false"/>
          <w:bCs w:val="false"/>
          <w:i/>
          <w:iCs/>
          <w:color w:val="000000"/>
        </w:rPr>
        <w:t>CU-06. Consultar el perfil del grupo (diagnóstico)</w:t>
      </w:r>
      <w:r>
        <w:rPr>
          <w:color w:val="000000"/>
        </w:rPr>
        <w:br/>
        <w:t>Participantes: Tutor, Interfaz, Lógica de diagnóstico, Base de datos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El tutor abre el perfil del grupo.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Lógica de diagnóstico consulta las respuestas del grupo en el semestre actual.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Calcula la distribución por nivel (técnicas de estudio, motivación) y por estilo de aprendizaje.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bidi w:val="0"/>
        <w:spacing w:lineRule="auto" w:line="360"/>
        <w:ind w:hanging="283" w:start="709"/>
        <w:jc w:val="both"/>
        <w:rPr>
          <w:color w:val="000000"/>
        </w:rPr>
      </w:pPr>
      <w:r>
        <w:rPr>
          <w:color w:val="000000"/>
        </w:rPr>
        <w:t>La interfaz muestra las barras y porcentajes.</w:t>
        <w:br/>
        <w:t xml:space="preserve">Alterno: sin resultados de diagnóstico aún → la interfaz indica que no hay datos. </w:t>
      </w:r>
    </w:p>
    <w:p>
      <w:pPr>
        <w:pStyle w:val="BodyText"/>
        <w:bidi w:val="0"/>
        <w:spacing w:lineRule="auto" w:line="360"/>
        <w:jc w:val="both"/>
        <w:rPr>
          <w:color w:val="000000"/>
          <w:u w:val="single"/>
        </w:rPr>
      </w:pPr>
      <w:r>
        <w:rPr>
          <w:color w:val="000000"/>
          <w:u w:val="single"/>
        </w:rPr>
        <w:t>Bloque 3 - Captura con reglas</w:t>
      </w:r>
    </w:p>
    <w:p>
      <w:pPr>
        <w:pStyle w:val="BodyText"/>
        <w:bidi w:val="0"/>
        <w:spacing w:lineRule="auto" w:line="360"/>
        <w:ind w:hanging="0" w:start="0" w:end="0"/>
        <w:jc w:val="start"/>
        <w:rPr>
          <w:color w:val="000000"/>
        </w:rPr>
      </w:pPr>
      <w:r>
        <w:rPr>
          <w:rStyle w:val="Strong"/>
          <w:b w:val="false"/>
          <w:bCs w:val="false"/>
          <w:i/>
          <w:iCs/>
          <w:color w:val="000000"/>
        </w:rPr>
        <w:t>CU-04. Registrar una observación</w:t>
      </w:r>
      <w:r>
        <w:rPr>
          <w:color w:val="000000"/>
        </w:rPr>
        <w:br/>
        <w:t>Participantes: Tutor, Interfaz, Lógica de observaciones, Base de datos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El tutor llena etiqueta, texto y marca de privada.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Al enviar, la interfaz valida que el texto no esté vacío.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Lógica de observaciones verifica que el semestre esté abierto.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Si está abierto, guarda la observación con fecha y autor.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bidi w:val="0"/>
        <w:spacing w:lineRule="auto" w:line="360"/>
        <w:ind w:hanging="283" w:start="709"/>
        <w:jc w:val="both"/>
        <w:rPr>
          <w:color w:val="000000"/>
        </w:rPr>
      </w:pPr>
      <w:r>
        <w:rPr>
          <w:color w:val="000000"/>
        </w:rPr>
        <w:t>La interfaz la agrega a la lista del semestre actual.</w:t>
        <w:br/>
        <w:t xml:space="preserve">Alterno: semestre cerrado → se rechaza el guardado. </w:t>
      </w:r>
    </w:p>
    <w:p>
      <w:pPr>
        <w:pStyle w:val="BodyText"/>
        <w:bidi w:val="0"/>
        <w:spacing w:lineRule="auto" w:line="36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spacing w:lineRule="auto" w:line="360"/>
        <w:ind w:hanging="0" w:start="0" w:end="0"/>
        <w:jc w:val="start"/>
        <w:rPr>
          <w:color w:val="000000"/>
        </w:rPr>
      </w:pPr>
      <w:r>
        <w:rPr>
          <w:rStyle w:val="Strong"/>
          <w:b w:val="false"/>
          <w:bCs w:val="false"/>
          <w:i/>
          <w:iCs/>
          <w:color w:val="000000"/>
        </w:rPr>
        <w:t>CU-05. Consultar expedientes de semestres anteriores</w:t>
      </w:r>
      <w:r>
        <w:rPr>
          <w:color w:val="000000"/>
        </w:rPr>
        <w:br/>
        <w:t>Participantes: Tutor, Interfaz, Lógica de historial, Base de datos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El tutor abre un semestre anterior.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Lógica de historial consulta los registros de ese periodo, marcados como cerrados.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Base de datos los devuelve.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bidi w:val="0"/>
        <w:spacing w:lineRule="auto" w:line="36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La interfaz los muestra en modo solo lectura, sin formulario de captura. </w:t>
      </w:r>
    </w:p>
    <w:p>
      <w:pPr>
        <w:pStyle w:val="BodyText"/>
        <w:bidi w:val="0"/>
        <w:spacing w:lineRule="auto" w:line="36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spacing w:lineRule="auto" w:line="360"/>
        <w:ind w:hanging="0" w:start="0" w:end="0"/>
        <w:jc w:val="start"/>
        <w:rPr>
          <w:color w:val="000000"/>
        </w:rPr>
      </w:pPr>
      <w:r>
        <w:rPr>
          <w:rStyle w:val="Strong"/>
          <w:b w:val="false"/>
          <w:bCs w:val="false"/>
          <w:i/>
          <w:iCs/>
          <w:color w:val="000000"/>
          <w:u w:val="none"/>
        </w:rPr>
        <w:t>CU-09. Registrar una canalización</w:t>
      </w:r>
      <w:r>
        <w:rPr>
          <w:color w:val="000000"/>
        </w:rPr>
        <w:br/>
        <w:t>Participantes: Tutor, Interfaz, Lógica de canalización, Base de datos, Coordinación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El tutor llena el formulario: estudiante, motivo, a quién refiere.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La interfaz valida los campos obligatorios.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Lógica de canalización guarda el registro con estado "pendiente".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Notifica (o queda visible) para Coordinación.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bidi w:val="0"/>
        <w:spacing w:lineRule="auto" w:line="360"/>
        <w:ind w:hanging="283" w:start="709"/>
        <w:jc w:val="both"/>
        <w:rPr>
          <w:color w:val="000000"/>
        </w:rPr>
      </w:pPr>
      <w:r>
        <w:rPr>
          <w:color w:val="000000"/>
        </w:rPr>
        <w:t>Coordinación consulta la canalización y actualiza su estado (agendada, atendida).</w:t>
        <w:br/>
        <w:t xml:space="preserve">Alterno: faltan datos obligatorios → se marcan los campos y no se guarda. </w:t>
      </w:r>
    </w:p>
    <w:p>
      <w:pPr>
        <w:pStyle w:val="BodyText"/>
        <w:bidi w:val="0"/>
        <w:spacing w:lineRule="auto" w:line="36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spacing w:lineRule="auto" w:line="360"/>
        <w:jc w:val="both"/>
        <w:rPr>
          <w:color w:val="000000"/>
          <w:u w:val="single"/>
        </w:rPr>
      </w:pPr>
      <w:r>
        <w:rPr>
          <w:color w:val="000000"/>
          <w:u w:val="single"/>
        </w:rPr>
        <w:t>Bloque 4 – Procesos de Coordinación</w:t>
      </w:r>
    </w:p>
    <w:p>
      <w:pPr>
        <w:pStyle w:val="BodyText"/>
        <w:bidi w:val="0"/>
        <w:spacing w:lineRule="auto" w:line="360"/>
        <w:ind w:hanging="0" w:start="0" w:end="0"/>
        <w:jc w:val="start"/>
        <w:rPr>
          <w:color w:val="000000"/>
        </w:rPr>
      </w:pPr>
      <w:r>
        <w:rPr>
          <w:rStyle w:val="Strong"/>
          <w:b w:val="false"/>
          <w:bCs w:val="false"/>
          <w:i/>
          <w:iCs/>
          <w:color w:val="000000"/>
        </w:rPr>
        <w:t>CU-10. Asignar tutores y transferir expedientes</w:t>
      </w:r>
      <w:r>
        <w:rPr>
          <w:color w:val="000000"/>
        </w:rPr>
        <w:br/>
        <w:t>Participantes: Coordinación, Interfaz, Lógica de asignación, Base de datos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Coordinación abre la asignación de grupos del nuevo semestre.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Elige un grupo y un tutor.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Lógica de asignación verifica que el grupo no tenga ya tutor asignado ese semestre.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Guarda la asignación tutor-grupo-semestre.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bidi w:val="0"/>
        <w:spacing w:lineRule="auto" w:line="36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A partir de ahí, el nuevo tutor consulta el historial sin que los datos se dupliquen (referencia, no copia). </w:t>
      </w:r>
    </w:p>
    <w:p>
      <w:pPr>
        <w:pStyle w:val="BodyText"/>
        <w:bidi w:val="0"/>
        <w:spacing w:lineRule="auto" w:line="36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spacing w:lineRule="auto" w:line="360"/>
        <w:ind w:hanging="0" w:start="0" w:end="0"/>
        <w:jc w:val="start"/>
        <w:rPr>
          <w:color w:val="000000"/>
        </w:rPr>
      </w:pPr>
      <w:r>
        <w:rPr>
          <w:rStyle w:val="Strong"/>
          <w:b w:val="false"/>
          <w:bCs w:val="false"/>
          <w:i/>
          <w:iCs/>
          <w:color w:val="000000"/>
        </w:rPr>
        <w:t>CU-11. Cerrar el semestre</w:t>
      </w:r>
      <w:r>
        <w:rPr>
          <w:color w:val="000000"/>
        </w:rPr>
        <w:br/>
        <w:t>Participantes: Coordinación, Interfaz, Lógica de cierre, Base de datos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Coordinación elige cerrar el semestre actual.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La interfaz pide confirmación.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Lógica de cierre marca como "cerrado" todos los registros de ese semestre (observaciones, diagnóstico, etc.).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Crea el expediente del siguiente semestre para cada estudiante activo.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bidi w:val="0"/>
        <w:spacing w:lineRule="auto" w:line="360"/>
        <w:ind w:hanging="283" w:start="709"/>
        <w:jc w:val="both"/>
        <w:rPr>
          <w:color w:val="000000"/>
        </w:rPr>
      </w:pPr>
      <w:r>
        <w:rPr>
          <w:color w:val="000000"/>
        </w:rPr>
        <w:t>Registra quién hizo el cierre y cuándo.</w:t>
        <w:br/>
        <w:t xml:space="preserve">Alterno: Coordinación cancela en la confirmación → no pasa nada. </w:t>
      </w:r>
    </w:p>
    <w:p>
      <w:pPr>
        <w:pStyle w:val="BodyText"/>
        <w:bidi w:val="0"/>
        <w:spacing w:lineRule="auto" w:line="36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bidi w:val="0"/>
        <w:spacing w:lineRule="auto" w:line="360"/>
        <w:ind w:hanging="0" w:start="0" w:end="0"/>
        <w:jc w:val="start"/>
        <w:rPr>
          <w:color w:val="000000"/>
        </w:rPr>
      </w:pPr>
      <w:r>
        <w:rPr>
          <w:rStyle w:val="Strong"/>
          <w:b w:val="false"/>
          <w:bCs w:val="false"/>
          <w:i/>
          <w:iCs/>
          <w:color w:val="000000"/>
        </w:rPr>
        <w:t>CU-12. Registrar resultados del diagnóstico (importación)</w:t>
      </w:r>
      <w:r>
        <w:rPr>
          <w:color w:val="000000"/>
        </w:rPr>
        <w:br/>
        <w:t>Participantes: Coordinación, Interfaz, Lógica de importación, Microsoft Forms, Base de datos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 w:end="0"/>
        <w:jc w:val="both"/>
        <w:rPr>
          <w:color w:val="000000"/>
        </w:rPr>
      </w:pPr>
      <w:r>
        <w:rPr>
          <w:color w:val="000000"/>
        </w:rPr>
        <w:t xml:space="preserve">Coordinación sube o conecta el archivo de resultados de Microsoft Forms.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Lógica de importación lee las respuestas.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Por cada respuesta, identifica al estudiante y el semestre.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bidi w:val="0"/>
        <w:spacing w:lineRule="auto" w:line="360" w:before="0" w:after="0"/>
        <w:ind w:hanging="283" w:start="709"/>
        <w:jc w:val="both"/>
        <w:rPr>
          <w:color w:val="000000"/>
        </w:rPr>
      </w:pPr>
      <w:r>
        <w:rPr>
          <w:color w:val="000000"/>
        </w:rPr>
        <w:t xml:space="preserve">Guarda los resultados en la base de datos.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bidi w:val="0"/>
        <w:spacing w:lineRule="auto" w:line="360" w:before="0" w:after="140"/>
        <w:ind w:hanging="283" w:start="709"/>
        <w:jc w:val="both"/>
        <w:rPr>
          <w:color w:val="000000"/>
        </w:rPr>
      </w:pPr>
      <w:r>
        <w:rPr>
          <w:color w:val="000000"/>
        </w:rPr>
        <w:t>La interfaz muestra un resumen de cuántos se importaron y cuántos no coincidieron.</w:t>
        <w:br/>
        <w:t>Alterno: una respuesta no coincide con ningún estudiante → se reporta en la lista de errores, sin detener la importación.</w:t>
      </w:r>
    </w:p>
    <w:p>
      <w:pPr>
        <w:pStyle w:val="Heading1"/>
        <w:spacing w:before="360" w:after="160"/>
        <w:ind w:hanging="0" w:start="0"/>
        <w:rPr>
          <w:rFonts w:ascii="Arial" w:hAnsi="Arial" w:eastAsia="Arial" w:cs="Arial"/>
        </w:rPr>
      </w:pPr>
      <w:r>
        <w:rPr>
          <w:rFonts w:eastAsia="Arial" w:cs="Arial"/>
        </w:rPr>
        <w:t xml:space="preserve">3. </w:t>
      </w: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123825</wp:posOffset>
            </wp:positionH>
            <wp:positionV relativeFrom="paragraph">
              <wp:posOffset>1530985</wp:posOffset>
            </wp:positionV>
            <wp:extent cx="5404485" cy="4550410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6596" t="4172" r="2924" b="2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485" cy="455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/>
        </w:rPr>
        <w:t>Diagramas de casos de uso</w:t>
      </w:r>
    </w:p>
    <w:p>
      <w:pPr>
        <w:pStyle w:val="BodyText"/>
        <w:bidi w:val="0"/>
        <w:spacing w:lineRule="auto" w:line="360" w:before="0" w:after="140"/>
        <w:ind w:hanging="0" w:start="0" w:end="0"/>
        <w:jc w:val="both"/>
        <w:rPr/>
      </w:pPr>
      <w:r>
        <w:rPr/>
        <w:t>El diagrama siguiente muestra los doce casos de uso dentro del Sistema Administrativo de Tutorías, con el Tutor (azul) y la Coordinación (rojo) como actores principales (verde actuando como ambos), y Microsoft Forms como actor externo.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1701" w:right="1701" w:gutter="0" w:header="708" w:top="1701" w:footer="709" w:bottom="170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607D8B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607D8B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>
        <w:rFonts w:eastAsia="Arial" w:cs="Arial"/>
        <w:color w:val="607D8B"/>
        <w:sz w:val="16"/>
        <w:szCs w:val="16"/>
      </w:rPr>
    </w:pPr>
    <w:r>
      <w:rPr>
        <w:rFonts w:eastAsia="Arial" w:cs="Arial"/>
        <w:color w:val="607D8B"/>
        <w:sz w:val="16"/>
        <w:szCs w:val="16"/>
      </w:rPr>
      <w:t>Casos de uso preliminares · Sistema Administrativo de Tutorías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s-MX" w:eastAsia="zh-CN" w:bidi="hi-IN"/>
    </w:rPr>
  </w:style>
  <w:style w:type="paragraph" w:styleId="Heading1">
    <w:name w:val="heading 1"/>
    <w:basedOn w:val="Heading"/>
    <w:qFormat/>
    <w:pPr>
      <w:keepNext w:val="true"/>
      <w:numPr>
        <w:ilvl w:val="0"/>
        <w:numId w:val="0"/>
      </w:numPr>
      <w:pBdr>
        <w:bottom w:val="single" w:sz="6" w:space="4" w:color="C9D3E3"/>
      </w:pBdr>
      <w:spacing w:lineRule="auto" w:line="360" w:before="360" w:after="160"/>
      <w:jc w:val="both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keepNext w:val="true"/>
      <w:numPr>
        <w:ilvl w:val="0"/>
        <w:numId w:val="0"/>
      </w:numPr>
      <w:spacing w:lineRule="auto" w:line="360" w:before="240" w:after="120"/>
      <w:jc w:val="both"/>
      <w:outlineLvl w:val="1"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qFormat/>
    <w:rPr>
      <w:sz w:val="20"/>
      <w:szCs w:val="20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s-MX" w:eastAsia="zh-CN" w:bidi="hi-IN"/>
    </w:rPr>
  </w:style>
  <w:style w:type="paragraph" w:styleId="ListParagraph">
    <w:name w:val="List Paragraph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s-MX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LibreOffice/26.2.6.3$Windows_X86_64 LibreOffice_project/8221e31b3ac356a1623c672912a3d2b492f7e3d1</Application>
  <AppVersion>15.0000</AppVersion>
  <Pages>8</Pages>
  <Words>1195</Words>
  <Characters>6503</Characters>
  <CharactersWithSpaces>7591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2026-09-21T19:09:37Z</dcterms:created>
  <dc:creator>Jorge Emilio Chávez Lizárraga</dc:creator>
  <dc:description/>
  <dc:language>es-MX</dc:language>
  <cp:lastModifiedBy/>
  <dcterms:modified xsi:type="dcterms:W3CDTF">2026-10-11T10:12:36Z</dcterms:modified>
  <cp:revision>12</cp:revision>
  <dc:subject/>
  <dc:title>Casos de uso preliminares - Sistema Administrativo de Tutorías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