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2B3180"/>
          <w:sz w:val="34"/>
          <w:szCs w:val="34"/>
        </w:rPr>
        <w:t xml:space="preserve">PROPUESTA SERVICIO DE MARKETING DIGITAL</w:t>
      </w:r>
    </w:p>
    <w:p>
      <w:pPr>
        <w:spacing w:after="140" w:before="0"/>
        <w:jc w:val="center"/>
      </w:pPr>
      <w:r>
        <w:rPr>
          <w:b/>
          <w:bCs/>
          <w:color w:val="4471C4"/>
          <w:sz w:val="20"/>
          <w:szCs w:val="20"/>
        </w:rPr>
        <w:t xml:space="preserve">COMMUNITY MANAGER · PAQUETE BÁSICO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938"/>
      </w:tblGrid>
      <w:tr>
        <w:tc>
          <w:tcPr>
            <w:tcW w:type="dxa" w:w="43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color w:val="4471C4"/>
                <w:sz w:val="15"/>
                <w:szCs w:val="15"/>
              </w:rPr>
              <w:t xml:space="preserve">CLIENTE</w:t>
            </w:r>
          </w:p>
          <w:p>
            <w:pPr>
              <w:spacing w:after="0" w:before="0"/>
            </w:pPr>
            <w:r>
              <w:rPr>
                <w:b/>
                <w:bCs/>
                <w:color w:val="22264F"/>
                <w:sz w:val="21"/>
                <w:szCs w:val="21"/>
              </w:rPr>
              <w:t xml:space="preserve">Marca nueva</w:t>
            </w:r>
          </w:p>
        </w:tc>
        <w:tc>
          <w:tcPr>
            <w:tcW w:type="dxa" w:w="24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color w:val="4471C4"/>
                <w:sz w:val="15"/>
                <w:szCs w:val="15"/>
              </w:rPr>
              <w:t xml:space="preserve">FECHA</w:t>
            </w:r>
          </w:p>
          <w:p>
            <w:pPr>
              <w:spacing w:after="0" w:before="0"/>
            </w:pPr>
            <w:r>
              <w:rPr>
                <w:b/>
                <w:bCs/>
                <w:color w:val="22264F"/>
                <w:sz w:val="21"/>
                <w:szCs w:val="21"/>
              </w:rPr>
              <w:t xml:space="preserve">17/10/2026</w:t>
            </w:r>
          </w:p>
        </w:tc>
        <w:tc>
          <w:tcPr>
            <w:tcW w:type="dxa" w:w="29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color w:val="4471C4"/>
                <w:sz w:val="15"/>
                <w:szCs w:val="15"/>
              </w:rPr>
              <w:t xml:space="preserve">MODALIDAD</w:t>
            </w:r>
          </w:p>
          <w:p>
            <w:pPr>
              <w:spacing w:after="0" w:before="0"/>
            </w:pPr>
            <w:r>
              <w:rPr>
                <w:b/>
                <w:bCs/>
                <w:color w:val="22264F"/>
                <w:sz w:val="21"/>
                <w:szCs w:val="21"/>
              </w:rPr>
              <w:t xml:space="preserve">Servicio mensual</w:t>
            </w:r>
          </w:p>
        </w:tc>
      </w:tr>
    </w:tbl>
    <w:p>
      <w:pPr>
        <w:pBdr>
          <w:bottom w:val="single" w:color="D9DEF0" w:sz="6" w:space="2"/>
        </w:pBdr>
        <w:spacing w:after="80" w:before="160"/>
      </w:pPr>
      <w:r>
        <w:rPr>
          <w:b/>
          <w:bCs/>
          <w:color w:val="22264F"/>
          <w:sz w:val="23"/>
          <w:szCs w:val="23"/>
        </w:rPr>
        <w:t xml:space="preserve">NOS ENCARGAMOS DE TODO</w:t>
      </w:r>
    </w:p>
    <w:p>
      <w:pPr>
        <w:spacing w:after="120" w:before="0"/>
      </w:pPr>
      <w:r>
        <w:rPr>
          <w:color w:val="3B3F5C"/>
          <w:sz w:val="20"/>
          <w:szCs w:val="20"/>
        </w:rPr>
        <w:t xml:space="preserve">Tu marca no necesita diseñar, grabar ni publicar: nuestro equipo hace la </w:t>
      </w:r>
      <w:r>
        <w:rPr>
          <w:b/>
          <w:bCs/>
          <w:color w:val="22264F"/>
          <w:sz w:val="20"/>
          <w:szCs w:val="20"/>
        </w:rPr>
        <w:t xml:space="preserve">gestión completa del contenido</w:t>
      </w:r>
      <w:r>
        <w:rPr>
          <w:color w:val="3B3F5C"/>
          <w:sz w:val="20"/>
          <w:szCs w:val="20"/>
        </w:rPr>
        <w:t xml:space="preserve"> y además </w:t>
      </w:r>
      <w:r>
        <w:rPr>
          <w:b/>
          <w:bCs/>
          <w:color w:val="22264F"/>
          <w:sz w:val="20"/>
          <w:szCs w:val="20"/>
        </w:rPr>
        <w:t xml:space="preserve">lanza y optimiza tus campañas de publicidad pagada</w:t>
      </w:r>
      <w:r>
        <w:rPr>
          <w:color w:val="3B3F5C"/>
          <w:sz w:val="20"/>
          <w:szCs w:val="20"/>
        </w:rPr>
        <w:t xml:space="preserve">. Tú solo apruebas el contenido y atiendes a los clientes que llegan.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2B3180"/>
                <w:sz w:val="18"/>
                <w:szCs w:val="18"/>
              </w:rPr>
              <w:t xml:space="preserve">1. DISEÑAMOS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Línea gráfica y piezas de la marca</w:t>
            </w:r>
          </w:p>
        </w:tc>
        <w:tc>
          <w:tcPr>
            <w:tcW w:type="dxa" w:w="1927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2B3180"/>
                <w:sz w:val="18"/>
                <w:szCs w:val="18"/>
              </w:rPr>
              <w:t xml:space="preserve">2. GRABAMOS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Visitamos tu negocio y producimos</w:t>
            </w:r>
          </w:p>
        </w:tc>
        <w:tc>
          <w:tcPr>
            <w:tcW w:type="dxa" w:w="1927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2B3180"/>
                <w:sz w:val="18"/>
                <w:szCs w:val="18"/>
              </w:rPr>
              <w:t xml:space="preserve">3. EDITAMOS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8 videos listos para redes</w:t>
            </w:r>
          </w:p>
        </w:tc>
        <w:tc>
          <w:tcPr>
            <w:tcW w:type="dxa" w:w="1927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2B3180"/>
                <w:sz w:val="18"/>
                <w:szCs w:val="18"/>
              </w:rPr>
              <w:t xml:space="preserve">4. PUBLICAMOS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8 contenidos en 3 redes</w:t>
            </w:r>
          </w:p>
        </w:tc>
        <w:tc>
          <w:tcPr>
            <w:tcW w:type="dxa" w:w="1930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2B3180"/>
                <w:sz w:val="18"/>
                <w:szCs w:val="18"/>
              </w:rPr>
              <w:t xml:space="preserve">5. LANZAMOS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Campañas en Meta que generan clientes</w:t>
            </w:r>
          </w:p>
        </w:tc>
      </w:tr>
    </w:tbl>
    <w:p>
      <w:pPr>
        <w:pBdr>
          <w:bottom w:val="single" w:color="D9DEF0" w:sz="6" w:space="2"/>
        </w:pBdr>
        <w:spacing w:after="80" w:before="160"/>
      </w:pPr>
      <w:r>
        <w:rPr>
          <w:b/>
          <w:bCs/>
          <w:color w:val="22264F"/>
          <w:sz w:val="23"/>
          <w:szCs w:val="23"/>
        </w:rPr>
        <w:t xml:space="preserve">¿QUÉ INCLUYE?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38"/>
        <w:gridCol w:w="2900"/>
      </w:tblGrid>
      <w:tr>
        <w:trPr>
          <w:tblHeader/>
        </w:trPr>
        <w:tc>
          <w:tcPr>
            <w:tcW w:type="dxa" w:w="24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2B3180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2B3180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2B3180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PAQUETE BÁSICO</w:t>
            </w:r>
          </w:p>
        </w:tc>
      </w:tr>
      <w:tr>
        <w:tc>
          <w:tcPr>
            <w:tcW w:type="dxa" w:w="2400"/>
            <w:vMerge w:val="restart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EEF2FB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2264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Estrategia orgánica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Sí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Cronograma de contenido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Sí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Planificación de presupuesto a invertir en publicidad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400"/>
            <w:vMerge w:val="restart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EEF2FB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2264F"/>
                <w:sz w:val="18"/>
                <w:szCs w:val="18"/>
              </w:rPr>
              <w:t xml:space="preserve">DISEÑO</w:t>
            </w:r>
          </w:p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Portada de Facebook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Sí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Concepto creativo y línea gráfica digital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400"/>
            <w:vMerge w:val="restart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EEF2FB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2264F"/>
                <w:sz w:val="18"/>
                <w:szCs w:val="18"/>
              </w:rPr>
              <w:t xml:space="preserve">GESTIÓN DE REDES SOCIALES</w:t>
            </w:r>
          </w:p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Cantidad de redes sociales a gestionar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3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Creación de contenido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8 post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Monitoreo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Lun a Vie 8 a.m. a 6 p.m.</w:t>
            </w:r>
          </w:p>
        </w:tc>
      </w:tr>
      <w:tr>
        <w:tc>
          <w:tcPr>
            <w:tcW w:type="dxa" w:w="2400"/>
            <w:vMerge w:val="restart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EEF2FB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2264F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Visitas al cliente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1 visita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Edición de videos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8 videos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Horarios de grabación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Lun a Vie 8 a.m. a 6 p.m. y Sáb 9 a.m. a 1 p.m.</w:t>
            </w:r>
          </w:p>
        </w:tc>
      </w:tr>
      <w:tr>
        <w:tc>
          <w:tcPr>
            <w:tcW w:type="dxa" w:w="2400"/>
            <w:vMerge w:val="restart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EEF2FB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2264F"/>
                <w:sz w:val="18"/>
                <w:szCs w:val="18"/>
              </w:rPr>
              <w:t xml:space="preserve">PUBLICIDAD PAGADA</w:t>
            </w:r>
          </w:p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Propuesta de estrategia de publicidad pagada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Sí (cliente envía los recursos)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Ejecución de campañas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Ilimitadas</w:t>
            </w:r>
          </w:p>
        </w:tc>
      </w:tr>
      <w:tr>
        <w:tc>
          <w:tcPr>
            <w:vMerge w:val="continue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</w:tcPr>
          <w:p/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Reporte de campañas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4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EEF2FB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2264F"/>
                <w:sz w:val="18"/>
                <w:szCs w:val="18"/>
              </w:rPr>
              <w:t xml:space="preserve">REPORTE</w:t>
            </w:r>
          </w:p>
        </w:tc>
        <w:tc>
          <w:tcPr>
            <w:tcW w:type="dxa" w:w="43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color w:val="3B3F5C"/>
                <w:sz w:val="19"/>
                <w:szCs w:val="19"/>
              </w:rPr>
              <w:t xml:space="preserve">Reporte de cumplimiento</w:t>
            </w:r>
          </w:p>
        </w:tc>
        <w:tc>
          <w:tcPr>
            <w:tcW w:type="dxa" w:w="29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19"/>
                <w:szCs w:val="19"/>
              </w:rPr>
              <w:t xml:space="preserve">Mensual</w:t>
            </w:r>
          </w:p>
        </w:tc>
      </w:tr>
    </w:tbl>
    <w:p>
      <w:pPr>
        <w:pBdr>
          <w:bottom w:val="single" w:color="D9DEF0" w:sz="6" w:space="2"/>
        </w:pBdr>
        <w:spacing w:after="80" w:before="160"/>
      </w:pPr>
      <w:r>
        <w:rPr>
          <w:b/>
          <w:bCs/>
          <w:color w:val="22264F"/>
          <w:sz w:val="23"/>
          <w:szCs w:val="23"/>
        </w:rPr>
        <w:t xml:space="preserve">EQUIPO DEDICADO A LA MARCA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26"/>
                <w:szCs w:val="26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Coordinador de Marketing</w:t>
            </w:r>
          </w:p>
        </w:tc>
        <w:tc>
          <w:tcPr>
            <w:tcW w:type="dxa" w:w="1927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26"/>
                <w:szCs w:val="26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Trafficker Digital</w:t>
            </w:r>
          </w:p>
        </w:tc>
        <w:tc>
          <w:tcPr>
            <w:tcW w:type="dxa" w:w="1927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26"/>
                <w:szCs w:val="26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Comunicadores Audiovisuales</w:t>
            </w:r>
          </w:p>
        </w:tc>
        <w:tc>
          <w:tcPr>
            <w:tcW w:type="dxa" w:w="1927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26"/>
                <w:szCs w:val="26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Diseñador(a) Gráfico(a)</w:t>
            </w:r>
          </w:p>
        </w:tc>
        <w:tc>
          <w:tcPr>
            <w:tcW w:type="dxa" w:w="1930"/>
            <w:tcBorders>
              <w:top w:val="single" w:color="2B3180" w:sz="18"/>
              <w:left w:val="single" w:color="FFFFFF" w:sz="12"/>
              <w:bottom w:val="single" w:color="FFFFFF" w:sz="4"/>
              <w:right w:val="single" w:color="FFFFFF" w:sz="12"/>
            </w:tcBorders>
            <w:shd w:fill="EEF2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2B3180"/>
                <w:sz w:val="26"/>
                <w:szCs w:val="26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color w:val="3B3F5C"/>
                <w:sz w:val="16"/>
                <w:szCs w:val="16"/>
              </w:rPr>
              <w:t xml:space="preserve">Community Manager</w:t>
            </w:r>
          </w:p>
        </w:tc>
      </w:tr>
    </w:tbl>
    <w:p>
      <w:pPr>
        <w:pBdr>
          <w:bottom w:val="single" w:color="D9DEF0" w:sz="6" w:space="2"/>
        </w:pBdr>
        <w:spacing w:after="80" w:before="160"/>
      </w:pPr>
      <w:r>
        <w:rPr>
          <w:b/>
          <w:bCs/>
          <w:color w:val="22264F"/>
          <w:sz w:val="23"/>
          <w:szCs w:val="23"/>
        </w:rPr>
        <w:t xml:space="preserve">INVERSIÓN MENSUAL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2264F"/>
                <w:sz w:val="20"/>
                <w:szCs w:val="20"/>
              </w:rPr>
              <w:t xml:space="preserve">Paquete básico</w:t>
            </w:r>
          </w:p>
          <w:p>
            <w:pPr>
              <w:spacing w:after="0" w:before="0"/>
            </w:pPr>
            <w:r>
              <w:rPr>
                <w:color w:val="6B6F8A"/>
                <w:sz w:val="16"/>
                <w:szCs w:val="16"/>
              </w:rPr>
              <w:t xml:space="preserve">Precio sin IGV</w:t>
            </w:r>
          </w:p>
        </w:tc>
        <w:tc>
          <w:tcPr>
            <w:tcW w:type="dxa" w:w="32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27A84A"/>
                <w:sz w:val="24"/>
                <w:szCs w:val="24"/>
              </w:rPr>
              <w:t xml:space="preserve">S/ 950.00</w:t>
            </w:r>
          </w:p>
        </w:tc>
      </w:tr>
      <w:tr>
        <w:tc>
          <w:tcPr>
            <w:tcW w:type="dxa" w:w="64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2264F"/>
                <w:sz w:val="20"/>
                <w:szCs w:val="20"/>
              </w:rPr>
              <w:t xml:space="preserve">IGV (18%)</w:t>
            </w:r>
          </w:p>
        </w:tc>
        <w:tc>
          <w:tcPr>
            <w:tcW w:type="dxa" w:w="32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2B3180"/>
                <w:sz w:val="24"/>
                <w:szCs w:val="24"/>
              </w:rPr>
              <w:t xml:space="preserve">S/ 171.00</w:t>
            </w:r>
          </w:p>
        </w:tc>
      </w:tr>
      <w:tr>
        <w:tc>
          <w:tcPr>
            <w:tcW w:type="dxa" w:w="6438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2B3180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mensual con IGV</w:t>
            </w:r>
          </w:p>
        </w:tc>
        <w:tc>
          <w:tcPr>
            <w:tcW w:type="dxa" w:w="3200"/>
            <w:tcBorders>
              <w:top w:val="single" w:color="D9DEF0" w:sz="4"/>
              <w:left w:val="single" w:color="D9DEF0" w:sz="4"/>
              <w:bottom w:val="single" w:color="D9DEF0" w:sz="4"/>
              <w:right w:val="single" w:color="D9DEF0" w:sz="4"/>
            </w:tcBorders>
            <w:shd w:fill="2B3180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S/ 1,121.00</w:t>
            </w:r>
          </w:p>
        </w:tc>
      </w:tr>
    </w:tbl>
    <w:p>
      <w:pPr>
        <w:pBdr>
          <w:left w:val="single" w:color="4471C4" w:sz="18" w:space="6"/>
        </w:pBdr>
        <w:shd w:fill="EEF2FB" w:color="auto" w:val="clear"/>
        <w:spacing w:after="60" w:before="120"/>
      </w:pPr>
      <w:r>
        <w:rPr>
          <w:b/>
          <w:bCs/>
          <w:color w:val="22264F"/>
          <w:sz w:val="18"/>
          <w:szCs w:val="18"/>
        </w:rPr>
        <w:t xml:space="preserve">*No incluye </w:t>
      </w:r>
      <w:r>
        <w:rPr>
          <w:color w:val="3B3F5C"/>
          <w:sz w:val="18"/>
          <w:szCs w:val="18"/>
        </w:rPr>
        <w:t xml:space="preserve">el presupuesto de pauta (pagado directamente a Meta/TikTok). El cliente envía los recursos para la publicidad pagada.</w:t>
      </w:r>
    </w:p>
    <w:p>
      <w:pPr>
        <w:spacing w:after="40" w:before="0"/>
      </w:pPr>
      <w:r>
        <w:rPr>
          <w:b/>
          <w:bCs/>
          <w:color w:val="22264F"/>
          <w:sz w:val="19"/>
          <w:szCs w:val="19"/>
        </w:rPr>
        <w:t xml:space="preserve">Forma de pago: </w:t>
      </w:r>
      <w:r>
        <w:rPr>
          <w:color w:val="3B3F5C"/>
          <w:sz w:val="19"/>
          <w:szCs w:val="19"/>
        </w:rPr>
        <w:t xml:space="preserve">100% adelantado antes del inicio del servicio.</w:t>
      </w:r>
    </w:p>
    <w:p>
      <w:pPr>
        <w:spacing w:after="80" w:before="0"/>
        <w:jc w:val="right"/>
      </w:pPr>
      <w:r>
        <w:rPr>
          <w:i/>
          <w:iCs/>
          <w:color w:val="6B6F8A"/>
          <w:sz w:val="16"/>
          <w:szCs w:val="16"/>
        </w:rPr>
        <w:t xml:space="preserve">Precios en soles · Válida 15 días</w:t>
      </w:r>
    </w:p>
    <w:sectPr>
      <w:headerReference w:type="default" r:id="rId7"/>
      <w:footerReference w:type="default" r:id="rId8"/>
      <w:pgSz w:w="11906" w:h="16838" w:orient="portrait"/>
      <w:pgMar w:top="1350" w:right="1134" w:bottom="1000" w:left="1134" w:header="3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2B3180" w:color="auto" w:val="clear"/>
      <w:jc w:val="center"/>
    </w:pPr>
    <w:r>
      <w:rPr>
        <w:b/>
        <w:bCs/>
        <w:color w:val="FFFFFF"/>
        <w:sz w:val="19"/>
        <w:szCs w:val="19"/>
      </w:rPr>
      <w:t xml:space="preserve">  976 - 224 - 095   ·   administracion@tghtechnologysolution.com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61925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270f44b7cacdd5096180c319abe4e5ea5df80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Paquete Básico · Marketing Digital</dc:title>
  <dc:creator>TGH Technology Solution</dc:creator>
  <cp:lastModifiedBy>Un-named</cp:lastModifiedBy>
  <cp:revision>1</cp:revision>
  <dcterms:created xsi:type="dcterms:W3CDTF">2026-10-19T15:00:43.340Z</dcterms:created>
  <dcterms:modified xsi:type="dcterms:W3CDTF">2026-10-19T15:00:43.340Z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