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41CFC67" wp14:paraId="3C301952" wp14:textId="30DC4B9A">
      <w:pPr>
        <w:spacing w:after="0" w:line="480" w:lineRule="auto"/>
        <w:ind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189E60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419"/>
        </w:rPr>
        <w:t xml:space="preserve">Segunda Tarea Sprint 1 </w:t>
      </w:r>
    </w:p>
    <w:p xmlns:wp14="http://schemas.microsoft.com/office/word/2010/wordml" w:rsidP="041CFC67" wp14:paraId="229FB1F8" wp14:textId="52E82E07">
      <w:pPr>
        <w:spacing w:after="0" w:line="480" w:lineRule="auto"/>
        <w:ind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5714FDAA" wp14:textId="518D6406">
      <w:pPr>
        <w:spacing w:after="0" w:line="480" w:lineRule="auto"/>
        <w:ind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3401A577" wp14:textId="0A005180">
      <w:pPr>
        <w:spacing w:after="0" w:line="480" w:lineRule="auto"/>
        <w:ind w:right="-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5C85B6A9" wp14:textId="1A88DAB4">
      <w:pPr>
        <w:pStyle w:val="Normal"/>
        <w:spacing w:after="0" w:line="480" w:lineRule="auto"/>
        <w:ind w:right="-20"/>
        <w:jc w:val="center"/>
        <w:rPr>
          <w:rFonts w:ascii="Times New Roman" w:hAnsi="Times New Roman" w:eastAsia="Times New Roman" w:cs="Times New Roman"/>
          <w:b w:val="1"/>
          <w:bCs w:val="1"/>
          <w:noProof w:val="0"/>
          <w:sz w:val="24"/>
          <w:szCs w:val="24"/>
          <w:lang w:val="es-419"/>
        </w:rPr>
      </w:pPr>
      <w:r w:rsidRPr="041CFC67" w:rsidR="189E60A7">
        <w:rPr>
          <w:rFonts w:ascii="Times New Roman" w:hAnsi="Times New Roman" w:eastAsia="Times New Roman" w:cs="Times New Roman"/>
          <w:b w:val="1"/>
          <w:bCs w:val="1"/>
          <w:i w:val="0"/>
          <w:iCs w:val="0"/>
          <w:caps w:val="0"/>
          <w:smallCaps w:val="0"/>
          <w:noProof w:val="0"/>
          <w:sz w:val="24"/>
          <w:szCs w:val="24"/>
          <w:lang w:val="es-419"/>
        </w:rPr>
        <w:t>Analizar ejemplos de tutoriales e instrucciones en videojuegos</w:t>
      </w:r>
    </w:p>
    <w:p xmlns:wp14="http://schemas.microsoft.com/office/word/2010/wordml" w:rsidP="041CFC67" wp14:paraId="186E9775" wp14:textId="3D384FBA">
      <w:pPr>
        <w:spacing w:before="240" w:after="24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39416AFF" wp14:textId="09B2D1CC">
      <w:pPr>
        <w:spacing w:before="240" w:after="24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49AAE685" wp14:textId="5541052C">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189E6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t xml:space="preserve">Angie Tobacía </w:t>
      </w:r>
    </w:p>
    <w:p xmlns:wp14="http://schemas.microsoft.com/office/word/2010/wordml" w:rsidP="041CFC67" wp14:paraId="07B41716" wp14:textId="4A3CBE7D">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073180CA" wp14:textId="534BBF9E">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75D6D3A2" wp14:textId="06D0CE19">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3D195901" wp14:textId="7021193B">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758236FE" wp14:textId="41847337">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46BE3810" wp14:textId="0F4564C6">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189E6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t>Facultad de Ingeniería, Diseño e Innovación</w:t>
      </w:r>
    </w:p>
    <w:p xmlns:wp14="http://schemas.microsoft.com/office/word/2010/wordml" w:rsidP="041CFC67" wp14:paraId="55F0B207" wp14:textId="7F48853E">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189E6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t xml:space="preserve"> Politécnico Grancolombiano</w:t>
      </w:r>
    </w:p>
    <w:p xmlns:wp14="http://schemas.microsoft.com/office/word/2010/wordml" w:rsidP="041CFC67" wp14:paraId="65CA49F9" wp14:textId="606A88A3">
      <w:pPr>
        <w:spacing w:before="0" w:beforeAutospacing="off" w:after="0" w:afterAutospacing="off"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189E6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t>Practica Aplicada</w:t>
      </w:r>
    </w:p>
    <w:p xmlns:wp14="http://schemas.microsoft.com/office/word/2010/wordml" w:rsidP="041CFC67" wp14:paraId="04A21FBC" wp14:textId="49E4BC10">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189E6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t xml:space="preserve"> </w:t>
      </w:r>
    </w:p>
    <w:p xmlns:wp14="http://schemas.microsoft.com/office/word/2010/wordml" w:rsidP="041CFC67" wp14:paraId="75DE568B" wp14:textId="3F9EA89B">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189E6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t xml:space="preserve"> </w:t>
      </w:r>
    </w:p>
    <w:p xmlns:wp14="http://schemas.microsoft.com/office/word/2010/wordml" w:rsidP="041CFC67" wp14:paraId="67CCF85B" wp14:textId="4B98F2A2">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596A6A61" wp14:textId="0BA718C4">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01F5B95D" wp14:textId="208CDA3A">
      <w:pPr>
        <w:spacing w:after="0" w:line="480" w:lineRule="auto"/>
        <w:ind w:right="-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79DDA119" wp14:textId="106441AB">
      <w:pPr>
        <w:spacing w:after="0" w:line="480" w:lineRule="auto"/>
        <w:ind w:left="-20" w:right="-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189E6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t>Pr. Wilson Soto</w:t>
      </w:r>
    </w:p>
    <w:p xmlns:wp14="http://schemas.microsoft.com/office/word/2010/wordml" w:rsidP="041CFC67" wp14:paraId="0415748B" wp14:textId="3E918579">
      <w:pPr>
        <w:pStyle w:val="Normal"/>
        <w:spacing w:line="480" w:lineRule="auto"/>
        <w:jc w:val="center"/>
      </w:pPr>
      <w:r w:rsidRPr="041CFC67" w:rsidR="189E6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419"/>
        </w:rPr>
        <w:t>21 de agosto de 2026</w:t>
      </w:r>
    </w:p>
    <w:p xmlns:wp14="http://schemas.microsoft.com/office/word/2010/wordml" w:rsidP="041CFC67" wp14:paraId="17F4155E" wp14:textId="03C22886">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Analizar ejemplos de tutoriales e instrucciones en videojuegos</w:t>
      </w:r>
    </w:p>
    <w:p xmlns:wp14="http://schemas.microsoft.com/office/word/2010/wordml" w:rsidP="041CFC67" wp14:paraId="60AD84E1" wp14:textId="42B9BC08">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En los videojuegos que analice, los cuales fueron juegos móviles de carreras, cocina, simuladores, juegos de mesa tales como "parchis", "Bus simulator", "bike race", "traffic rider" entre otros, la mayoría de las instrucciones se presentan principalmente durante las primeras interacciones con el juego de forma única e interactiva, luego de estas primeras interacciones no hay un acceso directo de las instrucciones del juego, por lo cual las mecánicas se introducen progresivamente mientras el jugador avanza.</w:t>
      </w:r>
    </w:p>
    <w:p xmlns:wp14="http://schemas.microsoft.com/office/word/2010/wordml" w:rsidP="041CFC67" wp14:paraId="56B589D5" wp14:textId="563994EB">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Ventajas:</w:t>
      </w:r>
    </w:p>
    <w:p xmlns:wp14="http://schemas.microsoft.com/office/word/2010/wordml" w:rsidP="041CFC67" wp14:paraId="0C6EDF8E" wp14:textId="7F40FFB1">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No interrumpe constantemente al jugador. </w:t>
      </w:r>
    </w:p>
    <w:p xmlns:wp14="http://schemas.microsoft.com/office/word/2010/wordml" w:rsidP="041CFC67" wp14:paraId="168EFA63" wp14:textId="51343E06">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Evita llenar la interfaz de información. </w:t>
      </w:r>
    </w:p>
    <w:p xmlns:wp14="http://schemas.microsoft.com/office/word/2010/wordml" w:rsidP="041CFC67" wp14:paraId="254C727D" wp14:textId="088C3B5D">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El jugador aprende haciendo. </w:t>
      </w:r>
    </w:p>
    <w:p xmlns:wp14="http://schemas.microsoft.com/office/word/2010/wordml" w:rsidP="041CFC67" wp14:paraId="614A7C60" wp14:textId="2ECA1D72">
      <w:pPr>
        <w:pStyle w:val="ListParagraph"/>
        <w:numPr>
          <w:ilvl w:val="0"/>
          <w:numId w:val="1"/>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Las instrucciones aparecen cuando son necesarias. </w:t>
      </w:r>
    </w:p>
    <w:p xmlns:wp14="http://schemas.microsoft.com/office/word/2010/wordml" w:rsidP="041CFC67" wp14:paraId="4DE893CC" wp14:textId="419ED9AB">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Desventajas:</w:t>
      </w:r>
    </w:p>
    <w:p xmlns:wp14="http://schemas.microsoft.com/office/word/2010/wordml" w:rsidP="041CFC67" wp14:paraId="0DBF98D2" wp14:textId="7DBD615F">
      <w:pPr>
        <w:pStyle w:val="ListParagraph"/>
        <w:numPr>
          <w:ilvl w:val="0"/>
          <w:numId w:val="2"/>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Si el jugador olvida una regla, puede no tener dónde consultarla. </w:t>
      </w:r>
    </w:p>
    <w:p xmlns:wp14="http://schemas.microsoft.com/office/word/2010/wordml" w:rsidP="041CFC67" wp14:paraId="2554C3FE" wp14:textId="0BEEA002">
      <w:pPr>
        <w:pStyle w:val="ListParagraph"/>
        <w:numPr>
          <w:ilvl w:val="0"/>
          <w:numId w:val="2"/>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Un jugador nuevo puede necesitar volver a revisar alguna mecánica. </w:t>
      </w:r>
    </w:p>
    <w:p xmlns:wp14="http://schemas.microsoft.com/office/word/2010/wordml" w:rsidP="041CFC67" wp14:paraId="47AB043B" wp14:textId="4390CE95">
      <w:pPr>
        <w:pStyle w:val="ListParagraph"/>
        <w:numPr>
          <w:ilvl w:val="0"/>
          <w:numId w:val="2"/>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Puede ser difícil recordar instrucciones que solo aparecieron una vez. </w:t>
      </w:r>
    </w:p>
    <w:p xmlns:wp14="http://schemas.microsoft.com/office/word/2010/wordml" w:rsidP="041CFC67" wp14:paraId="7426AAC3" wp14:textId="03BFF868">
      <w:pPr>
        <w:pStyle w:val="ListParagraph"/>
        <w:numPr>
          <w:ilvl w:val="0"/>
          <w:numId w:val="2"/>
        </w:num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Para un juego que no es tan intuitivo y que incluye operaciones matemáticas puede resultar complejo o aburrido.</w:t>
      </w:r>
    </w:p>
    <w:p xmlns:wp14="http://schemas.microsoft.com/office/word/2010/wordml" w:rsidP="041CFC67" wp14:paraId="2818E6DC" wp14:textId="7E2AC919">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Aunque los videojuegos analizados utilizan principalmente tutoriales iniciales y explicaciones progresivas para enseñar las mecánicas, se identificó como oportunidad de mejora para All Ten mantener un acceso directo a las instrucciones, permitiendo al jugador consultar nuevamente las reglas cuando lo necesite, debido a la dinámica del juego y a que intuitivamente puede que no se sepa cómo jugar, o jugando se desee revisar una vez más las instrucciones , de igual forma es pertinente para el usuario el acceso directo desde la pantalla inicial un botón que despliegue las instrucciones. De igual forma, se consultaron diversos juegos los cuales incluyen este modo de implementar instrucciones, entre esos se encontraron diferentes similitudes las cuales fueron el tipo de juego en el que se optaba por esta forma gráfica: </w:t>
      </w:r>
    </w:p>
    <w:p xmlns:wp14="http://schemas.microsoft.com/office/word/2010/wordml" w:rsidP="041CFC67" wp14:paraId="6AE18559" wp14:textId="29F1810D">
      <w:pPr>
        <w:spacing w:line="480" w:lineRule="auto"/>
        <w:rPr>
          <w:rFonts w:ascii="Times New Roman" w:hAnsi="Times New Roman" w:eastAsia="Times New Roman" w:cs="Times New Roman"/>
          <w:b w:val="1"/>
          <w:bCs w:val="1"/>
          <w:noProof w:val="0"/>
          <w:sz w:val="24"/>
          <w:szCs w:val="24"/>
          <w:lang w:val="es-ES"/>
        </w:rPr>
      </w:pPr>
      <w:r w:rsidRPr="041CFC67" w:rsidR="548D36F1">
        <w:rPr>
          <w:rFonts w:ascii="Times New Roman" w:hAnsi="Times New Roman" w:eastAsia="Times New Roman" w:cs="Times New Roman"/>
          <w:b w:val="1"/>
          <w:bCs w:val="1"/>
          <w:noProof w:val="0"/>
          <w:sz w:val="24"/>
          <w:szCs w:val="24"/>
          <w:lang w:val="es-ES"/>
        </w:rPr>
        <w:t>Adaptaciones Digitales de Juegos de Mesa</w:t>
      </w:r>
    </w:p>
    <w:p xmlns:wp14="http://schemas.microsoft.com/office/word/2010/wordml" w:rsidP="041CFC67" wp14:paraId="5890D5BD" wp14:textId="009D1437">
      <w:pPr>
        <w:spacing w:line="480" w:lineRule="auto"/>
        <w:rPr>
          <w:rFonts w:ascii="Times New Roman" w:hAnsi="Times New Roman" w:eastAsia="Times New Roman" w:cs="Times New Roman"/>
          <w:noProof w:val="0"/>
          <w:sz w:val="24"/>
          <w:szCs w:val="24"/>
          <w:lang w:val="es-ES"/>
        </w:rPr>
      </w:pPr>
      <w:r w:rsidRPr="041CFC67" w:rsidR="548D36F1">
        <w:rPr>
          <w:rFonts w:ascii="Times New Roman" w:hAnsi="Times New Roman" w:eastAsia="Times New Roman" w:cs="Times New Roman"/>
          <w:noProof w:val="0"/>
          <w:sz w:val="24"/>
          <w:szCs w:val="24"/>
          <w:lang w:val="es-ES"/>
        </w:rPr>
        <w:t>Las adaptaciones digitales de juegos de mesa corresponden a propuestas que trasladan juegos originalmente físicos a plataformas como PC, consolas o dispositivos móviles. En algunos de estos títulos se puede observar que las reglas originales se mantienen dentro de la experiencia digital mediante textos, imágenes u otros recursos de consulta. Dependiendo del juego, las instrucciones pueden encontrarse dentro de diferentes secciones de la interfaz, como menús, apartados de ayuda o elementos identificados con iconos.</w:t>
      </w:r>
    </w:p>
    <w:p xmlns:wp14="http://schemas.microsoft.com/office/word/2010/wordml" w:rsidP="041CFC67" wp14:paraId="5804113A" wp14:textId="4422648C">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noProof w:val="0"/>
          <w:sz w:val="24"/>
          <w:szCs w:val="24"/>
          <w:lang w:val="es-ES"/>
        </w:rPr>
      </w:pPr>
      <w:r w:rsidRPr="041CFC67" w:rsidR="548D36F1">
        <w:rPr>
          <w:rFonts w:ascii="Times New Roman" w:hAnsi="Times New Roman" w:eastAsia="Times New Roman" w:cs="Times New Roman"/>
          <w:noProof w:val="0"/>
          <w:sz w:val="24"/>
          <w:szCs w:val="24"/>
          <w:lang w:val="es-ES"/>
        </w:rPr>
        <w:t xml:space="preserve">Entre los ejemplos que pueden tomarse como referencia se encuentran </w:t>
      </w:r>
      <w:r w:rsidRPr="041CFC67" w:rsidR="548D36F1">
        <w:rPr>
          <w:rFonts w:ascii="Times New Roman" w:hAnsi="Times New Roman" w:eastAsia="Times New Roman" w:cs="Times New Roman"/>
          <w:i w:val="0"/>
          <w:iCs w:val="0"/>
          <w:noProof w:val="0"/>
          <w:sz w:val="24"/>
          <w:szCs w:val="24"/>
          <w:lang w:val="es-ES"/>
        </w:rPr>
        <w:t xml:space="preserve">CATAN Universe, </w:t>
      </w:r>
      <w:r w:rsidRPr="041CFC67" w:rsidR="548D36F1">
        <w:rPr>
          <w:rFonts w:ascii="Times New Roman" w:hAnsi="Times New Roman" w:eastAsia="Times New Roman" w:cs="Times New Roman"/>
          <w:i w:val="0"/>
          <w:iCs w:val="0"/>
          <w:noProof w:val="0"/>
          <w:sz w:val="24"/>
          <w:szCs w:val="24"/>
          <w:lang w:val="es-ES"/>
        </w:rPr>
        <w:t>Ticket</w:t>
      </w:r>
      <w:r w:rsidRPr="041CFC67" w:rsidR="548D36F1">
        <w:rPr>
          <w:rFonts w:ascii="Times New Roman" w:hAnsi="Times New Roman" w:eastAsia="Times New Roman" w:cs="Times New Roman"/>
          <w:i w:val="0"/>
          <w:iCs w:val="0"/>
          <w:noProof w:val="0"/>
          <w:sz w:val="24"/>
          <w:szCs w:val="24"/>
          <w:lang w:val="es-ES"/>
        </w:rPr>
        <w:t xml:space="preserve"> </w:t>
      </w:r>
      <w:r w:rsidRPr="041CFC67" w:rsidR="548D36F1">
        <w:rPr>
          <w:rFonts w:ascii="Times New Roman" w:hAnsi="Times New Roman" w:eastAsia="Times New Roman" w:cs="Times New Roman"/>
          <w:i w:val="0"/>
          <w:iCs w:val="0"/>
          <w:noProof w:val="0"/>
          <w:sz w:val="24"/>
          <w:szCs w:val="24"/>
          <w:lang w:val="es-ES"/>
        </w:rPr>
        <w:t>to</w:t>
      </w:r>
      <w:r w:rsidRPr="041CFC67" w:rsidR="548D36F1">
        <w:rPr>
          <w:rFonts w:ascii="Times New Roman" w:hAnsi="Times New Roman" w:eastAsia="Times New Roman" w:cs="Times New Roman"/>
          <w:i w:val="0"/>
          <w:iCs w:val="0"/>
          <w:noProof w:val="0"/>
          <w:sz w:val="24"/>
          <w:szCs w:val="24"/>
          <w:lang w:val="es-ES"/>
        </w:rPr>
        <w:t xml:space="preserve"> </w:t>
      </w:r>
      <w:r w:rsidRPr="041CFC67" w:rsidR="548D36F1">
        <w:rPr>
          <w:rFonts w:ascii="Times New Roman" w:hAnsi="Times New Roman" w:eastAsia="Times New Roman" w:cs="Times New Roman"/>
          <w:i w:val="0"/>
          <w:iCs w:val="0"/>
          <w:noProof w:val="0"/>
          <w:sz w:val="24"/>
          <w:szCs w:val="24"/>
          <w:lang w:val="es-ES"/>
        </w:rPr>
        <w:t>Ride</w:t>
      </w:r>
      <w:r w:rsidRPr="041CFC67" w:rsidR="548D36F1">
        <w:rPr>
          <w:rFonts w:ascii="Times New Roman" w:hAnsi="Times New Roman" w:eastAsia="Times New Roman" w:cs="Times New Roman"/>
          <w:i w:val="0"/>
          <w:iCs w:val="0"/>
          <w:noProof w:val="0"/>
          <w:sz w:val="24"/>
          <w:szCs w:val="24"/>
          <w:lang w:val="es-ES"/>
        </w:rPr>
        <w:t xml:space="preserve"> (Aventureros al Tren), </w:t>
      </w:r>
      <w:r w:rsidRPr="041CFC67" w:rsidR="548D36F1">
        <w:rPr>
          <w:rFonts w:ascii="Times New Roman" w:hAnsi="Times New Roman" w:eastAsia="Times New Roman" w:cs="Times New Roman"/>
          <w:i w:val="0"/>
          <w:iCs w:val="0"/>
          <w:noProof w:val="0"/>
          <w:sz w:val="24"/>
          <w:szCs w:val="24"/>
          <w:lang w:val="es-ES"/>
        </w:rPr>
        <w:t>Monopoly</w:t>
      </w:r>
      <w:r w:rsidRPr="041CFC67" w:rsidR="548D36F1">
        <w:rPr>
          <w:rFonts w:ascii="Times New Roman" w:hAnsi="Times New Roman" w:eastAsia="Times New Roman" w:cs="Times New Roman"/>
          <w:i w:val="0"/>
          <w:iCs w:val="0"/>
          <w:noProof w:val="0"/>
          <w:sz w:val="24"/>
          <w:szCs w:val="24"/>
          <w:lang w:val="es-ES"/>
        </w:rPr>
        <w:t xml:space="preserve"> </w:t>
      </w:r>
      <w:r w:rsidRPr="041CFC67" w:rsidR="548D36F1">
        <w:rPr>
          <w:rFonts w:ascii="Times New Roman" w:hAnsi="Times New Roman" w:eastAsia="Times New Roman" w:cs="Times New Roman"/>
          <w:i w:val="0"/>
          <w:iCs w:val="0"/>
          <w:noProof w:val="0"/>
          <w:sz w:val="24"/>
          <w:szCs w:val="24"/>
          <w:lang w:val="es-ES"/>
        </w:rPr>
        <w:t>Madness</w:t>
      </w:r>
      <w:r w:rsidRPr="041CFC67" w:rsidR="548D36F1">
        <w:rPr>
          <w:rFonts w:ascii="Times New Roman" w:hAnsi="Times New Roman" w:eastAsia="Times New Roman" w:cs="Times New Roman"/>
          <w:i w:val="0"/>
          <w:iCs w:val="0"/>
          <w:noProof w:val="0"/>
          <w:sz w:val="24"/>
          <w:szCs w:val="24"/>
          <w:lang w:val="es-ES"/>
        </w:rPr>
        <w:t xml:space="preserve"> y UNO. </w:t>
      </w:r>
      <w:r w:rsidRPr="041CFC67" w:rsidR="548D36F1">
        <w:rPr>
          <w:rFonts w:ascii="Times New Roman" w:hAnsi="Times New Roman" w:eastAsia="Times New Roman" w:cs="Times New Roman"/>
          <w:noProof w:val="0"/>
          <w:sz w:val="24"/>
          <w:szCs w:val="24"/>
          <w:lang w:val="es-ES"/>
        </w:rPr>
        <w:t xml:space="preserve">Este tipo de juegos resulta especialmente interesante para el análisis de </w:t>
      </w:r>
      <w:r w:rsidRPr="041CFC67" w:rsidR="548D36F1">
        <w:rPr>
          <w:rFonts w:ascii="Times New Roman" w:hAnsi="Times New Roman" w:eastAsia="Times New Roman" w:cs="Times New Roman"/>
          <w:noProof w:val="0"/>
          <w:sz w:val="24"/>
          <w:szCs w:val="24"/>
          <w:lang w:val="es-ES"/>
        </w:rPr>
        <w:t>all</w:t>
      </w:r>
      <w:r w:rsidRPr="041CFC67" w:rsidR="548D36F1">
        <w:rPr>
          <w:rFonts w:ascii="Times New Roman" w:hAnsi="Times New Roman" w:eastAsia="Times New Roman" w:cs="Times New Roman"/>
          <w:noProof w:val="0"/>
          <w:sz w:val="24"/>
          <w:szCs w:val="24"/>
          <w:lang w:val="es-ES"/>
        </w:rPr>
        <w:t xml:space="preserve"> ten, debido a que, al igual que estos títulos, parte de una mecánica que puede desarrollarse tanto en un entorno físico como digital. Por esta razón, algunas de sus formas de presentar las reglas pueden servir como referencia para definir la pantalla de instrucciones del proyecto.</w:t>
      </w:r>
    </w:p>
    <w:p xmlns:wp14="http://schemas.microsoft.com/office/word/2010/wordml" w:rsidP="041CFC67" wp14:paraId="4BCDABBA" wp14:textId="62E10385">
      <w:pPr>
        <w:spacing w:line="480" w:lineRule="auto"/>
        <w:rPr>
          <w:rFonts w:ascii="Times New Roman" w:hAnsi="Times New Roman" w:eastAsia="Times New Roman" w:cs="Times New Roman"/>
          <w:b w:val="1"/>
          <w:bCs w:val="1"/>
          <w:noProof w:val="0"/>
          <w:sz w:val="24"/>
          <w:szCs w:val="24"/>
          <w:lang w:val="es-ES"/>
        </w:rPr>
      </w:pPr>
      <w:r w:rsidRPr="041CFC67" w:rsidR="548D36F1">
        <w:rPr>
          <w:rFonts w:ascii="Times New Roman" w:hAnsi="Times New Roman" w:eastAsia="Times New Roman" w:cs="Times New Roman"/>
          <w:b w:val="1"/>
          <w:bCs w:val="1"/>
          <w:noProof w:val="0"/>
          <w:sz w:val="24"/>
          <w:szCs w:val="24"/>
          <w:lang w:val="es-ES"/>
        </w:rPr>
        <w:t>Juegos de Lucha y Peleas</w:t>
      </w:r>
    </w:p>
    <w:p xmlns:wp14="http://schemas.microsoft.com/office/word/2010/wordml" w:rsidP="041CFC67" wp14:paraId="036B2949" wp14:textId="29F4EF04">
      <w:pPr>
        <w:spacing w:line="480" w:lineRule="auto"/>
        <w:rPr>
          <w:rFonts w:ascii="Times New Roman" w:hAnsi="Times New Roman" w:eastAsia="Times New Roman" w:cs="Times New Roman"/>
          <w:noProof w:val="0"/>
          <w:sz w:val="24"/>
          <w:szCs w:val="24"/>
          <w:lang w:val="es-ES"/>
        </w:rPr>
      </w:pPr>
      <w:r w:rsidRPr="041CFC67" w:rsidR="548D36F1">
        <w:rPr>
          <w:rFonts w:ascii="Times New Roman" w:hAnsi="Times New Roman" w:eastAsia="Times New Roman" w:cs="Times New Roman"/>
          <w:noProof w:val="0"/>
          <w:sz w:val="24"/>
          <w:szCs w:val="24"/>
          <w:lang w:val="es-ES"/>
        </w:rPr>
        <w:t>En los videojuegos de lucha también es posible encontrar diferentes alternativas para consultar información relacionada con las mecánicas del juego. Algunos títulos incorporan apartados destinados a consultar movimientos, controles, habilidades o combinaciones de ataques. En determinados casos, esta información puede estar disponible desde menús de pausa, modos de entrenamiento u otras secciones específicas.</w:t>
      </w:r>
    </w:p>
    <w:p xmlns:wp14="http://schemas.microsoft.com/office/word/2010/wordml" w:rsidP="041CFC67" wp14:paraId="7EAC8D7E" wp14:textId="5817A64F">
      <w:pPr>
        <w:spacing w:line="480" w:lineRule="auto"/>
        <w:rPr>
          <w:rFonts w:ascii="Times New Roman" w:hAnsi="Times New Roman" w:eastAsia="Times New Roman" w:cs="Times New Roman"/>
          <w:noProof w:val="0"/>
          <w:sz w:val="24"/>
          <w:szCs w:val="24"/>
          <w:lang w:val="es-ES"/>
        </w:rPr>
      </w:pPr>
      <w:r w:rsidRPr="041CFC67" w:rsidR="548D36F1">
        <w:rPr>
          <w:rFonts w:ascii="Times New Roman" w:hAnsi="Times New Roman" w:eastAsia="Times New Roman" w:cs="Times New Roman"/>
          <w:noProof w:val="0"/>
          <w:sz w:val="24"/>
          <w:szCs w:val="24"/>
          <w:lang w:val="es-ES"/>
        </w:rPr>
        <w:t xml:space="preserve">Entre los ejemplos analizados se encuentran </w:t>
      </w:r>
      <w:r w:rsidRPr="041CFC67" w:rsidR="548D36F1">
        <w:rPr>
          <w:rFonts w:ascii="Times New Roman" w:hAnsi="Times New Roman" w:eastAsia="Times New Roman" w:cs="Times New Roman"/>
          <w:i w:val="0"/>
          <w:iCs w:val="0"/>
          <w:noProof w:val="0"/>
          <w:sz w:val="24"/>
          <w:szCs w:val="24"/>
          <w:lang w:val="es-ES"/>
        </w:rPr>
        <w:t xml:space="preserve">Street </w:t>
      </w:r>
      <w:r w:rsidRPr="041CFC67" w:rsidR="548D36F1">
        <w:rPr>
          <w:rFonts w:ascii="Times New Roman" w:hAnsi="Times New Roman" w:eastAsia="Times New Roman" w:cs="Times New Roman"/>
          <w:i w:val="0"/>
          <w:iCs w:val="0"/>
          <w:noProof w:val="0"/>
          <w:sz w:val="24"/>
          <w:szCs w:val="24"/>
          <w:lang w:val="es-ES"/>
        </w:rPr>
        <w:t>Fighter</w:t>
      </w:r>
      <w:r w:rsidRPr="041CFC67" w:rsidR="548D36F1">
        <w:rPr>
          <w:rFonts w:ascii="Times New Roman" w:hAnsi="Times New Roman" w:eastAsia="Times New Roman" w:cs="Times New Roman"/>
          <w:i w:val="0"/>
          <w:iCs w:val="0"/>
          <w:noProof w:val="0"/>
          <w:sz w:val="24"/>
          <w:szCs w:val="24"/>
          <w:lang w:val="es-ES"/>
        </w:rPr>
        <w:t xml:space="preserve"> 6, Mortal Kombat 11 y Super Smash Bros. Ultimate</w:t>
      </w:r>
      <w:r w:rsidRPr="041CFC67" w:rsidR="548D36F1">
        <w:rPr>
          <w:rFonts w:ascii="Times New Roman" w:hAnsi="Times New Roman" w:eastAsia="Times New Roman" w:cs="Times New Roman"/>
          <w:noProof w:val="0"/>
          <w:sz w:val="24"/>
          <w:szCs w:val="24"/>
          <w:lang w:val="es-ES"/>
        </w:rPr>
        <w:t>. Debido a las diferencias existentes entre este género y la propuesta de all ten, no se considera apropiado realizar una comparación directa de sus mecánicas. Sin embargo, pueden tomarse como referencia algunos elementos relacionados con la organización visual de la información y la facilidad para acceder a ella durante la experiencia de juego.</w:t>
      </w:r>
    </w:p>
    <w:p xmlns:wp14="http://schemas.microsoft.com/office/word/2010/wordml" w:rsidP="041CFC67" wp14:paraId="2CF477D7" wp14:textId="486FF9BE">
      <w:pPr>
        <w:spacing w:line="480" w:lineRule="auto"/>
        <w:rPr>
          <w:rFonts w:ascii="Times New Roman" w:hAnsi="Times New Roman" w:eastAsia="Times New Roman" w:cs="Times New Roman"/>
          <w:b w:val="1"/>
          <w:bCs w:val="1"/>
          <w:noProof w:val="0"/>
          <w:sz w:val="24"/>
          <w:szCs w:val="24"/>
          <w:lang w:val="es-ES"/>
        </w:rPr>
      </w:pPr>
      <w:r w:rsidRPr="041CFC67" w:rsidR="548D36F1">
        <w:rPr>
          <w:rFonts w:ascii="Times New Roman" w:hAnsi="Times New Roman" w:eastAsia="Times New Roman" w:cs="Times New Roman"/>
          <w:b w:val="1"/>
          <w:bCs w:val="1"/>
          <w:noProof w:val="0"/>
          <w:sz w:val="24"/>
          <w:szCs w:val="24"/>
          <w:lang w:val="es-ES"/>
        </w:rPr>
        <w:t>Juegos Casuales o de Cartas</w:t>
      </w:r>
    </w:p>
    <w:p xmlns:wp14="http://schemas.microsoft.com/office/word/2010/wordml" w:rsidP="041CFC67" wp14:paraId="44373829" wp14:textId="1B63E7FD">
      <w:pPr>
        <w:spacing w:line="480" w:lineRule="auto"/>
        <w:rPr>
          <w:rFonts w:ascii="Times New Roman" w:hAnsi="Times New Roman" w:eastAsia="Times New Roman" w:cs="Times New Roman"/>
          <w:noProof w:val="0"/>
          <w:sz w:val="24"/>
          <w:szCs w:val="24"/>
          <w:lang w:val="es-ES"/>
        </w:rPr>
      </w:pPr>
      <w:r w:rsidRPr="041CFC67" w:rsidR="548D36F1">
        <w:rPr>
          <w:rFonts w:ascii="Times New Roman" w:hAnsi="Times New Roman" w:eastAsia="Times New Roman" w:cs="Times New Roman"/>
          <w:noProof w:val="0"/>
          <w:sz w:val="24"/>
          <w:szCs w:val="24"/>
          <w:lang w:val="es-ES"/>
        </w:rPr>
        <w:t xml:space="preserve">En algunos videojuegos casuales, de lógica o de cartas se pueden encontrar mecanismos destinados a facilitar la consulta de las reglas y objetivos del juego. Estos recursos pueden presentarse mediante botones o apartados identificados con términos como </w:t>
      </w:r>
      <w:r w:rsidRPr="041CFC67" w:rsidR="548D36F1">
        <w:rPr>
          <w:rFonts w:ascii="Times New Roman" w:hAnsi="Times New Roman" w:eastAsia="Times New Roman" w:cs="Times New Roman"/>
          <w:b w:val="1"/>
          <w:bCs w:val="1"/>
          <w:noProof w:val="0"/>
          <w:sz w:val="24"/>
          <w:szCs w:val="24"/>
          <w:lang w:val="es-ES"/>
        </w:rPr>
        <w:t>“Ayuda”</w:t>
      </w:r>
      <w:r w:rsidRPr="041CFC67" w:rsidR="548D36F1">
        <w:rPr>
          <w:rFonts w:ascii="Times New Roman" w:hAnsi="Times New Roman" w:eastAsia="Times New Roman" w:cs="Times New Roman"/>
          <w:noProof w:val="0"/>
          <w:sz w:val="24"/>
          <w:szCs w:val="24"/>
          <w:lang w:val="es-ES"/>
        </w:rPr>
        <w:t xml:space="preserve">, </w:t>
      </w:r>
      <w:r w:rsidRPr="041CFC67" w:rsidR="548D36F1">
        <w:rPr>
          <w:rFonts w:ascii="Times New Roman" w:hAnsi="Times New Roman" w:eastAsia="Times New Roman" w:cs="Times New Roman"/>
          <w:b w:val="1"/>
          <w:bCs w:val="1"/>
          <w:noProof w:val="0"/>
          <w:sz w:val="24"/>
          <w:szCs w:val="24"/>
          <w:lang w:val="es-ES"/>
        </w:rPr>
        <w:t>“Reglas”</w:t>
      </w:r>
      <w:r w:rsidRPr="041CFC67" w:rsidR="548D36F1">
        <w:rPr>
          <w:rFonts w:ascii="Times New Roman" w:hAnsi="Times New Roman" w:eastAsia="Times New Roman" w:cs="Times New Roman"/>
          <w:noProof w:val="0"/>
          <w:sz w:val="24"/>
          <w:szCs w:val="24"/>
          <w:lang w:val="es-ES"/>
        </w:rPr>
        <w:t xml:space="preserve"> o mediante iconos reconocibles para el usuario.</w:t>
      </w:r>
    </w:p>
    <w:p xmlns:wp14="http://schemas.microsoft.com/office/word/2010/wordml" w:rsidP="041CFC67" wp14:paraId="6D65CE1E" wp14:textId="25A9B9DB">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noProof w:val="0"/>
          <w:sz w:val="24"/>
          <w:szCs w:val="24"/>
          <w:lang w:val="es-ES"/>
        </w:rPr>
      </w:pPr>
      <w:r w:rsidRPr="041CFC67" w:rsidR="548D36F1">
        <w:rPr>
          <w:rFonts w:ascii="Times New Roman" w:hAnsi="Times New Roman" w:eastAsia="Times New Roman" w:cs="Times New Roman"/>
          <w:noProof w:val="0"/>
          <w:sz w:val="24"/>
          <w:szCs w:val="24"/>
          <w:lang w:val="es-ES"/>
        </w:rPr>
        <w:t xml:space="preserve">Entre los títulos que pueden servir como referencia se encuentran </w:t>
      </w:r>
      <w:r w:rsidRPr="041CFC67" w:rsidR="548D36F1">
        <w:rPr>
          <w:rFonts w:ascii="Times New Roman" w:hAnsi="Times New Roman" w:eastAsia="Times New Roman" w:cs="Times New Roman"/>
          <w:i w:val="0"/>
          <w:iCs w:val="0"/>
          <w:noProof w:val="0"/>
          <w:sz w:val="24"/>
          <w:szCs w:val="24"/>
          <w:lang w:val="es-ES"/>
        </w:rPr>
        <w:t xml:space="preserve">Microsoft Solitaire </w:t>
      </w:r>
      <w:r w:rsidRPr="041CFC67" w:rsidR="548D36F1">
        <w:rPr>
          <w:rFonts w:ascii="Times New Roman" w:hAnsi="Times New Roman" w:eastAsia="Times New Roman" w:cs="Times New Roman"/>
          <w:i w:val="0"/>
          <w:iCs w:val="0"/>
          <w:noProof w:val="0"/>
          <w:sz w:val="24"/>
          <w:szCs w:val="24"/>
          <w:lang w:val="es-ES"/>
        </w:rPr>
        <w:t>Collection</w:t>
      </w:r>
      <w:r w:rsidRPr="041CFC67" w:rsidR="548D36F1">
        <w:rPr>
          <w:rFonts w:ascii="Times New Roman" w:hAnsi="Times New Roman" w:eastAsia="Times New Roman" w:cs="Times New Roman"/>
          <w:i w:val="0"/>
          <w:iCs w:val="0"/>
          <w:noProof w:val="0"/>
          <w:sz w:val="24"/>
          <w:szCs w:val="24"/>
          <w:lang w:val="es-ES"/>
        </w:rPr>
        <w:t xml:space="preserve">, Chess.com, Tetris </w:t>
      </w:r>
      <w:r w:rsidRPr="041CFC67" w:rsidR="548D36F1">
        <w:rPr>
          <w:rFonts w:ascii="Times New Roman" w:hAnsi="Times New Roman" w:eastAsia="Times New Roman" w:cs="Times New Roman"/>
          <w:i w:val="0"/>
          <w:iCs w:val="0"/>
          <w:noProof w:val="0"/>
          <w:sz w:val="24"/>
          <w:szCs w:val="24"/>
          <w:lang w:val="es-ES"/>
        </w:rPr>
        <w:t>Effect</w:t>
      </w:r>
      <w:r w:rsidRPr="041CFC67" w:rsidR="548D36F1">
        <w:rPr>
          <w:rFonts w:ascii="Times New Roman" w:hAnsi="Times New Roman" w:eastAsia="Times New Roman" w:cs="Times New Roman"/>
          <w:i w:val="0"/>
          <w:iCs w:val="0"/>
          <w:noProof w:val="0"/>
          <w:sz w:val="24"/>
          <w:szCs w:val="24"/>
          <w:lang w:val="es-ES"/>
        </w:rPr>
        <w:t xml:space="preserve"> y </w:t>
      </w:r>
      <w:r w:rsidRPr="041CFC67" w:rsidR="548D36F1">
        <w:rPr>
          <w:rFonts w:ascii="Times New Roman" w:hAnsi="Times New Roman" w:eastAsia="Times New Roman" w:cs="Times New Roman"/>
          <w:i w:val="0"/>
          <w:iCs w:val="0"/>
          <w:noProof w:val="0"/>
          <w:sz w:val="24"/>
          <w:szCs w:val="24"/>
          <w:lang w:val="es-ES"/>
        </w:rPr>
        <w:t>Clubhouse</w:t>
      </w:r>
      <w:r w:rsidRPr="041CFC67" w:rsidR="548D36F1">
        <w:rPr>
          <w:rFonts w:ascii="Times New Roman" w:hAnsi="Times New Roman" w:eastAsia="Times New Roman" w:cs="Times New Roman"/>
          <w:i w:val="0"/>
          <w:iCs w:val="0"/>
          <w:noProof w:val="0"/>
          <w:sz w:val="24"/>
          <w:szCs w:val="24"/>
          <w:lang w:val="es-ES"/>
        </w:rPr>
        <w:t xml:space="preserve"> Games: 51 </w:t>
      </w:r>
      <w:r w:rsidRPr="041CFC67" w:rsidR="548D36F1">
        <w:rPr>
          <w:rFonts w:ascii="Times New Roman" w:hAnsi="Times New Roman" w:eastAsia="Times New Roman" w:cs="Times New Roman"/>
          <w:i w:val="0"/>
          <w:iCs w:val="0"/>
          <w:noProof w:val="0"/>
          <w:sz w:val="24"/>
          <w:szCs w:val="24"/>
          <w:lang w:val="es-ES"/>
        </w:rPr>
        <w:t>Worldwide</w:t>
      </w:r>
      <w:r w:rsidRPr="041CFC67" w:rsidR="548D36F1">
        <w:rPr>
          <w:rFonts w:ascii="Times New Roman" w:hAnsi="Times New Roman" w:eastAsia="Times New Roman" w:cs="Times New Roman"/>
          <w:i w:val="0"/>
          <w:iCs w:val="0"/>
          <w:noProof w:val="0"/>
          <w:sz w:val="24"/>
          <w:szCs w:val="24"/>
          <w:lang w:val="es-ES"/>
        </w:rPr>
        <w:t xml:space="preserve"> </w:t>
      </w:r>
      <w:r w:rsidRPr="041CFC67" w:rsidR="548D36F1">
        <w:rPr>
          <w:rFonts w:ascii="Times New Roman" w:hAnsi="Times New Roman" w:eastAsia="Times New Roman" w:cs="Times New Roman"/>
          <w:i w:val="0"/>
          <w:iCs w:val="0"/>
          <w:noProof w:val="0"/>
          <w:sz w:val="24"/>
          <w:szCs w:val="24"/>
          <w:lang w:val="es-ES"/>
        </w:rPr>
        <w:t>Classics</w:t>
      </w:r>
      <w:r w:rsidRPr="041CFC67" w:rsidR="548D36F1">
        <w:rPr>
          <w:rFonts w:ascii="Times New Roman" w:hAnsi="Times New Roman" w:eastAsia="Times New Roman" w:cs="Times New Roman"/>
          <w:i w:val="0"/>
          <w:iCs w:val="0"/>
          <w:noProof w:val="0"/>
          <w:sz w:val="24"/>
          <w:szCs w:val="24"/>
          <w:lang w:val="es-ES"/>
        </w:rPr>
        <w:t>.</w:t>
      </w:r>
      <w:r w:rsidRPr="041CFC67" w:rsidR="548D36F1">
        <w:rPr>
          <w:rFonts w:ascii="Times New Roman" w:hAnsi="Times New Roman" w:eastAsia="Times New Roman" w:cs="Times New Roman"/>
          <w:noProof w:val="0"/>
          <w:sz w:val="24"/>
          <w:szCs w:val="24"/>
          <w:lang w:val="es-ES"/>
        </w:rPr>
        <w:t xml:space="preserve"> La principal característica que resulta relevante para </w:t>
      </w:r>
      <w:r w:rsidRPr="041CFC67" w:rsidR="7EA2F8BE">
        <w:rPr>
          <w:rFonts w:ascii="Times New Roman" w:hAnsi="Times New Roman" w:eastAsia="Times New Roman" w:cs="Times New Roman"/>
          <w:noProof w:val="0"/>
          <w:sz w:val="24"/>
          <w:szCs w:val="24"/>
          <w:lang w:val="es-ES"/>
        </w:rPr>
        <w:t>all ten</w:t>
      </w:r>
      <w:r w:rsidRPr="041CFC67" w:rsidR="548D36F1">
        <w:rPr>
          <w:rFonts w:ascii="Times New Roman" w:hAnsi="Times New Roman" w:eastAsia="Times New Roman" w:cs="Times New Roman"/>
          <w:noProof w:val="0"/>
          <w:sz w:val="24"/>
          <w:szCs w:val="24"/>
          <w:lang w:val="es-ES"/>
        </w:rPr>
        <w:t xml:space="preserve"> es la posibilidad de presentar información de manera sencilla y accesible, evitando que el jugador tenga que abandonar completamente la experiencia para recordar una regla o condición del juego.</w:t>
      </w:r>
    </w:p>
    <w:p xmlns:wp14="http://schemas.microsoft.com/office/word/2010/wordml" w:rsidP="041CFC67" wp14:paraId="46BEA77D" wp14:textId="59AD0DEF">
      <w:pPr>
        <w:spacing w:line="480" w:lineRule="auto"/>
        <w:rPr>
          <w:rFonts w:ascii="Times New Roman" w:hAnsi="Times New Roman" w:eastAsia="Times New Roman" w:cs="Times New Roman"/>
          <w:b w:val="1"/>
          <w:bCs w:val="1"/>
          <w:noProof w:val="0"/>
          <w:sz w:val="24"/>
          <w:szCs w:val="24"/>
          <w:lang w:val="es-ES"/>
        </w:rPr>
      </w:pPr>
      <w:r w:rsidRPr="041CFC67" w:rsidR="548D36F1">
        <w:rPr>
          <w:rFonts w:ascii="Times New Roman" w:hAnsi="Times New Roman" w:eastAsia="Times New Roman" w:cs="Times New Roman"/>
          <w:b w:val="1"/>
          <w:bCs w:val="1"/>
          <w:noProof w:val="0"/>
          <w:sz w:val="24"/>
          <w:szCs w:val="24"/>
          <w:lang w:val="es-ES"/>
        </w:rPr>
        <w:t>Emuladores y Colecciones de Juegos Retro</w:t>
      </w:r>
    </w:p>
    <w:p xmlns:wp14="http://schemas.microsoft.com/office/word/2010/wordml" w:rsidP="041CFC67" wp14:paraId="00ECAEA8" wp14:textId="272BC326">
      <w:pPr>
        <w:spacing w:line="480" w:lineRule="auto"/>
        <w:rPr>
          <w:rFonts w:ascii="Times New Roman" w:hAnsi="Times New Roman" w:eastAsia="Times New Roman" w:cs="Times New Roman"/>
          <w:noProof w:val="0"/>
          <w:sz w:val="24"/>
          <w:szCs w:val="24"/>
          <w:lang w:val="es-ES"/>
        </w:rPr>
      </w:pPr>
      <w:r w:rsidRPr="041CFC67" w:rsidR="548D36F1">
        <w:rPr>
          <w:rFonts w:ascii="Times New Roman" w:hAnsi="Times New Roman" w:eastAsia="Times New Roman" w:cs="Times New Roman"/>
          <w:noProof w:val="0"/>
          <w:sz w:val="24"/>
          <w:szCs w:val="24"/>
          <w:lang w:val="es-ES"/>
        </w:rPr>
        <w:t>En algunas colecciones digitales de videojuegos antiguos se pueden encontrar recursos relacionados con los manuales originales de los títulos. Debido a que muchos juegos de décadas anteriores contaban con instrucciones físicas, ciertas recopilaciones digitales han incorporado materiales de referencia relacionados con estos manuales dentro de la experiencia.</w:t>
      </w:r>
    </w:p>
    <w:p xmlns:wp14="http://schemas.microsoft.com/office/word/2010/wordml" w:rsidP="041CFC67" wp14:paraId="63CB2944" wp14:textId="533C101E">
      <w:pPr>
        <w:spacing w:line="480" w:lineRule="auto"/>
        <w:rPr>
          <w:rFonts w:ascii="Times New Roman" w:hAnsi="Times New Roman" w:eastAsia="Times New Roman" w:cs="Times New Roman"/>
          <w:noProof w:val="0"/>
          <w:sz w:val="24"/>
          <w:szCs w:val="24"/>
          <w:lang w:val="es-ES"/>
        </w:rPr>
      </w:pPr>
      <w:r w:rsidRPr="041CFC67" w:rsidR="548D36F1">
        <w:rPr>
          <w:rFonts w:ascii="Times New Roman" w:hAnsi="Times New Roman" w:eastAsia="Times New Roman" w:cs="Times New Roman"/>
          <w:noProof w:val="0"/>
          <w:sz w:val="24"/>
          <w:szCs w:val="24"/>
          <w:lang w:val="es-ES"/>
        </w:rPr>
        <w:t>Como ejemplos pueden</w:t>
      </w:r>
      <w:r w:rsidRPr="041CFC67" w:rsidR="548D36F1">
        <w:rPr>
          <w:rFonts w:ascii="Times New Roman" w:hAnsi="Times New Roman" w:eastAsia="Times New Roman" w:cs="Times New Roman"/>
          <w:i w:val="0"/>
          <w:iCs w:val="0"/>
          <w:noProof w:val="0"/>
          <w:sz w:val="24"/>
          <w:szCs w:val="24"/>
          <w:lang w:val="es-ES"/>
        </w:rPr>
        <w:t xml:space="preserve"> mencionarse </w:t>
      </w:r>
      <w:r w:rsidRPr="041CFC67" w:rsidR="548D36F1">
        <w:rPr>
          <w:rFonts w:ascii="Times New Roman" w:hAnsi="Times New Roman" w:eastAsia="Times New Roman" w:cs="Times New Roman"/>
          <w:i w:val="0"/>
          <w:iCs w:val="0"/>
          <w:noProof w:val="0"/>
          <w:sz w:val="24"/>
          <w:szCs w:val="24"/>
          <w:lang w:val="es-ES"/>
        </w:rPr>
        <w:t xml:space="preserve">SEGA Genesis </w:t>
      </w:r>
      <w:r w:rsidRPr="041CFC67" w:rsidR="548D36F1">
        <w:rPr>
          <w:rFonts w:ascii="Times New Roman" w:hAnsi="Times New Roman" w:eastAsia="Times New Roman" w:cs="Times New Roman"/>
          <w:i w:val="0"/>
          <w:iCs w:val="0"/>
          <w:noProof w:val="0"/>
          <w:sz w:val="24"/>
          <w:szCs w:val="24"/>
          <w:lang w:val="es-ES"/>
        </w:rPr>
        <w:t>Classics</w:t>
      </w:r>
      <w:r w:rsidRPr="041CFC67" w:rsidR="548D36F1">
        <w:rPr>
          <w:rFonts w:ascii="Times New Roman" w:hAnsi="Times New Roman" w:eastAsia="Times New Roman" w:cs="Times New Roman"/>
          <w:i w:val="0"/>
          <w:iCs w:val="0"/>
          <w:noProof w:val="0"/>
          <w:sz w:val="24"/>
          <w:szCs w:val="24"/>
          <w:lang w:val="es-ES"/>
        </w:rPr>
        <w:t xml:space="preserve">, algunas colecciones de </w:t>
      </w:r>
      <w:r w:rsidRPr="041CFC67" w:rsidR="548D36F1">
        <w:rPr>
          <w:rFonts w:ascii="Times New Roman" w:hAnsi="Times New Roman" w:eastAsia="Times New Roman" w:cs="Times New Roman"/>
          <w:i w:val="0"/>
          <w:iCs w:val="0"/>
          <w:noProof w:val="0"/>
          <w:sz w:val="24"/>
          <w:szCs w:val="24"/>
          <w:lang w:val="es-ES"/>
        </w:rPr>
        <w:t>Arcade Archives</w:t>
      </w:r>
      <w:r w:rsidRPr="041CFC67" w:rsidR="548D36F1">
        <w:rPr>
          <w:rFonts w:ascii="Times New Roman" w:hAnsi="Times New Roman" w:eastAsia="Times New Roman" w:cs="Times New Roman"/>
          <w:i w:val="0"/>
          <w:iCs w:val="0"/>
          <w:noProof w:val="0"/>
          <w:sz w:val="24"/>
          <w:szCs w:val="24"/>
          <w:lang w:val="es-ES"/>
        </w:rPr>
        <w:t xml:space="preserve"> y determinados catálogos disponibles mediante </w:t>
      </w:r>
      <w:r w:rsidRPr="041CFC67" w:rsidR="548D36F1">
        <w:rPr>
          <w:rFonts w:ascii="Times New Roman" w:hAnsi="Times New Roman" w:eastAsia="Times New Roman" w:cs="Times New Roman"/>
          <w:i w:val="0"/>
          <w:iCs w:val="0"/>
          <w:noProof w:val="0"/>
          <w:sz w:val="24"/>
          <w:szCs w:val="24"/>
          <w:lang w:val="es-ES"/>
        </w:rPr>
        <w:t>Nintendo Switch Online</w:t>
      </w:r>
      <w:r w:rsidRPr="041CFC67" w:rsidR="548D36F1">
        <w:rPr>
          <w:rFonts w:ascii="Times New Roman" w:hAnsi="Times New Roman" w:eastAsia="Times New Roman" w:cs="Times New Roman"/>
          <w:i w:val="0"/>
          <w:iCs w:val="0"/>
          <w:noProof w:val="0"/>
          <w:sz w:val="24"/>
          <w:szCs w:val="24"/>
          <w:lang w:val="es-ES"/>
        </w:rPr>
        <w:t xml:space="preserve">. Estos casos resultan interesantes principalmente por la forma en que trasladan información originalmente presentada en medios físicos hacia un formato digital. Para </w:t>
      </w:r>
      <w:r w:rsidRPr="041CFC67" w:rsidR="548D36F1">
        <w:rPr>
          <w:rFonts w:ascii="Times New Roman" w:hAnsi="Times New Roman" w:eastAsia="Times New Roman" w:cs="Times New Roman"/>
          <w:i w:val="0"/>
          <w:iCs w:val="0"/>
          <w:noProof w:val="0"/>
          <w:sz w:val="24"/>
          <w:szCs w:val="24"/>
          <w:lang w:val="es-ES"/>
        </w:rPr>
        <w:t>All</w:t>
      </w:r>
      <w:r w:rsidRPr="041CFC67" w:rsidR="548D36F1">
        <w:rPr>
          <w:rFonts w:ascii="Times New Roman" w:hAnsi="Times New Roman" w:eastAsia="Times New Roman" w:cs="Times New Roman"/>
          <w:i w:val="0"/>
          <w:iCs w:val="0"/>
          <w:noProof w:val="0"/>
          <w:sz w:val="24"/>
          <w:szCs w:val="24"/>
          <w:lang w:val="es-ES"/>
        </w:rPr>
        <w:t xml:space="preserve"> Ten</w:t>
      </w:r>
      <w:r w:rsidRPr="041CFC67" w:rsidR="548D36F1">
        <w:rPr>
          <w:rFonts w:ascii="Times New Roman" w:hAnsi="Times New Roman" w:eastAsia="Times New Roman" w:cs="Times New Roman"/>
          <w:i w:val="0"/>
          <w:iCs w:val="0"/>
          <w:noProof w:val="0"/>
          <w:sz w:val="24"/>
          <w:szCs w:val="24"/>
          <w:lang w:val="es-ES"/>
        </w:rPr>
        <w:t>,</w:t>
      </w:r>
      <w:r w:rsidRPr="041CFC67" w:rsidR="548D36F1">
        <w:rPr>
          <w:rFonts w:ascii="Times New Roman" w:hAnsi="Times New Roman" w:eastAsia="Times New Roman" w:cs="Times New Roman"/>
          <w:noProof w:val="0"/>
          <w:sz w:val="24"/>
          <w:szCs w:val="24"/>
          <w:lang w:val="es-ES"/>
        </w:rPr>
        <w:t xml:space="preserve"> este enfoque puede servir como referencia para analizar cómo una explicación extensa puede convertirse en un recurso digital de consulta sin necesidad de ocupar permanentemente la pantalla principal.</w:t>
      </w:r>
    </w:p>
    <w:p xmlns:wp14="http://schemas.microsoft.com/office/word/2010/wordml" w:rsidP="041CFC67" wp14:paraId="0A80EA6A" wp14:textId="253BEBC0">
      <w:pPr>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s-ES"/>
        </w:rPr>
        <w:t xml:space="preserve">Ya con esta investigación y análisis de los distintos tipos de juegos y la forma de implementación de las instrucciones podemos diferir o, por otro lado, estar de acuerdo con algunas formas graficas o de interacción con el usuario, entre ellas se pudieron agrupar de cada tipo de juego algunas tales como </w:t>
      </w:r>
    </w:p>
    <w:p xmlns:wp14="http://schemas.microsoft.com/office/word/2010/wordml" w:rsidP="041CFC67" wp14:paraId="60894773" wp14:textId="72D4646C">
      <w:pPr>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Implementar:</w:t>
      </w: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botón </w:t>
      </w:r>
      <w:r w:rsidRPr="041CFC67" w:rsidR="409EE974">
        <w:rPr>
          <w:rFonts w:ascii="Consolas" w:hAnsi="Consolas" w:eastAsia="Consolas" w:cs="Consolas"/>
          <w:b w:val="0"/>
          <w:bCs w:val="0"/>
          <w:i w:val="0"/>
          <w:iCs w:val="0"/>
          <w:caps w:val="0"/>
          <w:smallCaps w:val="0"/>
          <w:noProof w:val="0"/>
          <w:color w:val="000000" w:themeColor="text1" w:themeTint="FF" w:themeShade="FF"/>
          <w:sz w:val="24"/>
          <w:szCs w:val="24"/>
          <w:lang w:val="es-ES"/>
        </w:rPr>
        <w:t>?</w:t>
      </w: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para consultar instrucciones durante la partida.</w:t>
      </w:r>
    </w:p>
    <w:p xmlns:wp14="http://schemas.microsoft.com/office/word/2010/wordml" w:rsidP="041CFC67" wp14:paraId="2C5BB679" wp14:textId="5D923F7F">
      <w:pPr>
        <w:spacing w:before="240" w:beforeAutospacing="off" w:after="240" w:afterAutospacing="off"/>
      </w:pPr>
      <w:r w:rsidR="409EE974">
        <w:drawing>
          <wp:inline xmlns:wp14="http://schemas.microsoft.com/office/word/2010/wordprocessingDrawing" wp14:editId="026B757A" wp14:anchorId="06132885">
            <wp:extent cx="2171700" cy="1638300"/>
            <wp:effectExtent l="0" t="0" r="0" b="0"/>
            <wp:docPr id="1946550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550666" name="Picture 1946550666"/>
                    <pic:cNvPicPr/>
                  </pic:nvPicPr>
                  <pic:blipFill>
                    <a:blip xmlns:r="http://schemas.openxmlformats.org/officeDocument/2006/relationships" r:embed="rId2000233987">
                      <a:extLst>
                        <a:ext uri="{28A0092B-C50C-407E-A947-70E740481C1C}">
                          <a14:useLocalDpi xmlns:a14="http://schemas.microsoft.com/office/drawing/2010/main"/>
                        </a:ext>
                      </a:extLst>
                    </a:blip>
                    <a:stretch>
                      <a:fillRect/>
                    </a:stretch>
                  </pic:blipFill>
                  <pic:spPr>
                    <a:xfrm>
                      <a:off x="0" y="0"/>
                      <a:ext cx="2171700" cy="1638300"/>
                    </a:xfrm>
                    <a:prstGeom prst="rect">
                      <a:avLst/>
                    </a:prstGeom>
                  </pic:spPr>
                </pic:pic>
              </a:graphicData>
            </a:graphic>
          </wp:inline>
        </w:drawing>
      </w: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041CFC67" wp14:paraId="021C8501" wp14:textId="6F383A2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1F6414FE" wp14:textId="28C8846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41CFC67" wp14:paraId="6B691CC0" wp14:textId="08F9BA2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Implementar:</w:t>
      </w: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reglas resumidas y organizadas.</w:t>
      </w:r>
    </w:p>
    <w:p xmlns:wp14="http://schemas.microsoft.com/office/word/2010/wordml" w:rsidP="041CFC67" wp14:paraId="60DB7025" wp14:textId="0625F5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409EE974">
        <w:drawing>
          <wp:inline xmlns:wp14="http://schemas.microsoft.com/office/word/2010/wordprocessingDrawing" wp14:editId="76666BEA" wp14:anchorId="116B1282">
            <wp:extent cx="2590800" cy="1451523"/>
            <wp:effectExtent l="0" t="0" r="0" b="0"/>
            <wp:docPr id="900338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338736" name="Picture 900338736"/>
                    <pic:cNvPicPr/>
                  </pic:nvPicPr>
                  <pic:blipFill>
                    <a:blip xmlns:r="http://schemas.openxmlformats.org/officeDocument/2006/relationships" r:embed="rId1021680607">
                      <a:extLst>
                        <a:ext uri="{28A0092B-C50C-407E-A947-70E740481C1C}">
                          <a14:useLocalDpi xmlns:a14="http://schemas.microsoft.com/office/drawing/2010/main"/>
                        </a:ext>
                      </a:extLst>
                    </a:blip>
                    <a:stretch>
                      <a:fillRect/>
                    </a:stretch>
                  </pic:blipFill>
                  <pic:spPr>
                    <a:xfrm rot="0">
                      <a:off x="0" y="0"/>
                      <a:ext cx="2590800" cy="1451523"/>
                    </a:xfrm>
                    <a:prstGeom prst="rect">
                      <a:avLst/>
                    </a:prstGeom>
                  </pic:spPr>
                </pic:pic>
              </a:graphicData>
            </a:graphic>
          </wp:inline>
        </w:drawing>
      </w:r>
    </w:p>
    <w:p xmlns:wp14="http://schemas.microsoft.com/office/word/2010/wordml" w:rsidP="041CFC67" wp14:paraId="0C9E92A3" wp14:textId="026C8B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Implementar:</w:t>
      </w: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información organizada por categorías.</w:t>
      </w:r>
      <w:r>
        <w:br/>
      </w: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409EE974">
        <w:drawing>
          <wp:inline xmlns:wp14="http://schemas.microsoft.com/office/word/2010/wordprocessingDrawing" wp14:editId="0C3C3102" wp14:anchorId="00ABC08F">
            <wp:extent cx="2571750" cy="1446200"/>
            <wp:effectExtent l="0" t="0" r="0" b="0"/>
            <wp:docPr id="1581638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638371" name="Picture 1581638371"/>
                    <pic:cNvPicPr/>
                  </pic:nvPicPr>
                  <pic:blipFill>
                    <a:blip xmlns:r="http://schemas.openxmlformats.org/officeDocument/2006/relationships" r:embed="rId1616228511">
                      <a:extLst>
                        <a:ext uri="{28A0092B-C50C-407E-A947-70E740481C1C}">
                          <a14:useLocalDpi xmlns:a14="http://schemas.microsoft.com/office/drawing/2010/main"/>
                        </a:ext>
                      </a:extLst>
                    </a:blip>
                    <a:stretch>
                      <a:fillRect/>
                    </a:stretch>
                  </pic:blipFill>
                  <pic:spPr>
                    <a:xfrm rot="0">
                      <a:off x="0" y="0"/>
                      <a:ext cx="2571750" cy="1446200"/>
                    </a:xfrm>
                    <a:prstGeom prst="rect">
                      <a:avLst/>
                    </a:prstGeom>
                  </pic:spPr>
                </pic:pic>
              </a:graphicData>
            </a:graphic>
          </wp:inline>
        </w:drawing>
      </w:r>
    </w:p>
    <w:p xmlns:wp14="http://schemas.microsoft.com/office/word/2010/wordml" w:rsidP="041CFC67" wp14:paraId="6BE8149C" wp14:textId="1832D7D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409EE9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Implementar:</w:t>
      </w:r>
      <w:r w:rsidRPr="041CFC67" w:rsidR="409EE9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botón claramente visible.</w:t>
      </w:r>
    </w:p>
    <w:p xmlns:wp14="http://schemas.microsoft.com/office/word/2010/wordml" w:rsidP="041CFC67" wp14:paraId="4D30D2DC" wp14:textId="5AE919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409EE974">
        <w:drawing>
          <wp:inline xmlns:wp14="http://schemas.microsoft.com/office/word/2010/wordprocessingDrawing" wp14:editId="7C697AC8" wp14:anchorId="2902D155">
            <wp:extent cx="2686803" cy="1509998"/>
            <wp:effectExtent l="0" t="0" r="0" b="0"/>
            <wp:docPr id="1009176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176132" name="Picture 1009176132"/>
                    <pic:cNvPicPr/>
                  </pic:nvPicPr>
                  <pic:blipFill>
                    <a:blip xmlns:r="http://schemas.openxmlformats.org/officeDocument/2006/relationships" r:embed="rId1405203687">
                      <a:extLst>
                        <a:ext uri="{28A0092B-C50C-407E-A947-70E740481C1C}">
                          <a14:useLocalDpi xmlns:a14="http://schemas.microsoft.com/office/drawing/2010/main"/>
                        </a:ext>
                      </a:extLst>
                    </a:blip>
                    <a:stretch>
                      <a:fillRect/>
                    </a:stretch>
                  </pic:blipFill>
                  <pic:spPr>
                    <a:xfrm rot="0">
                      <a:off x="0" y="0"/>
                      <a:ext cx="2686803" cy="1509998"/>
                    </a:xfrm>
                    <a:prstGeom prst="rect">
                      <a:avLst/>
                    </a:prstGeom>
                  </pic:spPr>
                </pic:pic>
              </a:graphicData>
            </a:graphic>
          </wp:inline>
        </w:drawing>
      </w:r>
    </w:p>
    <w:p xmlns:wp14="http://schemas.microsoft.com/office/word/2010/wordml" w:rsidP="041CFC67" wp14:paraId="5D3706ED" wp14:textId="713257A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1CFC67" w:rsidR="0F1B93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Simplificar:</w:t>
      </w:r>
      <w:r w:rsidRPr="041CFC67" w:rsidR="0F1B93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convertirlas en un resumen de una sola pantalla.</w:t>
      </w:r>
    </w:p>
    <w:p xmlns:wp14="http://schemas.microsoft.com/office/word/2010/wordml" w:rsidP="041CFC67" wp14:paraId="4C08ED8C" wp14:textId="29D497E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0F1B9356">
        <w:drawing>
          <wp:inline xmlns:wp14="http://schemas.microsoft.com/office/word/2010/wordprocessingDrawing" wp14:editId="0057E4A7" wp14:anchorId="64DD3623">
            <wp:extent cx="1076325" cy="2314836"/>
            <wp:effectExtent l="0" t="0" r="0" b="0"/>
            <wp:docPr id="625481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481798" name="Picture 625481798"/>
                    <pic:cNvPicPr/>
                  </pic:nvPicPr>
                  <pic:blipFill>
                    <a:blip xmlns:r="http://schemas.openxmlformats.org/officeDocument/2006/relationships" r:embed="rId1594704194">
                      <a:extLst>
                        <a:ext uri="{28A0092B-C50C-407E-A947-70E740481C1C}">
                          <a14:useLocalDpi xmlns:a14="http://schemas.microsoft.com/office/drawing/2010/main"/>
                        </a:ext>
                      </a:extLst>
                    </a:blip>
                    <a:stretch>
                      <a:fillRect/>
                    </a:stretch>
                  </pic:blipFill>
                  <pic:spPr>
                    <a:xfrm rot="0">
                      <a:off x="0" y="0"/>
                      <a:ext cx="1076325" cy="2314836"/>
                    </a:xfrm>
                    <a:prstGeom prst="rect">
                      <a:avLst/>
                    </a:prstGeom>
                  </pic:spPr>
                </pic:pic>
              </a:graphicData>
            </a:graphic>
          </wp:inline>
        </w:drawing>
      </w:r>
    </w:p>
    <w:p xmlns:wp14="http://schemas.microsoft.com/office/word/2010/wordml" wp14:paraId="6D691F9E" wp14:textId="116C008B">
      <w:r w:rsidRPr="041CFC67" w:rsidR="0F1B93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 idea principal es reunir estas características adaptándolas al tipo de juego que es "</w:t>
      </w:r>
      <w:r w:rsidRPr="041CFC67" w:rsidR="0F1B93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All</w:t>
      </w:r>
      <w:r w:rsidRPr="041CFC67" w:rsidR="0F1B93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ten" y a las características </w:t>
      </w:r>
      <w:r w:rsidRPr="041CFC67" w:rsidR="0F1B93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ui</w:t>
      </w:r>
      <w:r w:rsidRPr="041CFC67" w:rsidR="0F1B93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41CFC67" w:rsidR="0F1B93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ux</w:t>
      </w:r>
      <w:r w:rsidRPr="041CFC67" w:rsidR="0F1B93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que fueron escogidas para este proyecto</w:t>
      </w:r>
      <w:r w:rsidRPr="041CFC67" w:rsidR="181794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p>
    <w:p xmlns:wp14="http://schemas.microsoft.com/office/word/2010/wordml" w:rsidP="041CFC67" wp14:paraId="2A149A80" wp14:textId="1ACE97A9">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041CFC67" w:rsidR="35CDFB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Referencias</w:t>
      </w:r>
    </w:p>
    <w:p xmlns:wp14="http://schemas.microsoft.com/office/word/2010/wordml" w:rsidP="041CFC67" wp14:paraId="333687B8" wp14:textId="127EDED4">
      <w:pPr>
        <w:pStyle w:val="Normal"/>
      </w:pPr>
      <w:r w:rsidRPr="041CFC67" w:rsidR="35CDFBD6">
        <w:rPr>
          <w:rFonts w:ascii="Times New Roman" w:hAnsi="Times New Roman" w:eastAsia="Times New Roman" w:cs="Times New Roman"/>
          <w:noProof w:val="0"/>
          <w:sz w:val="24"/>
          <w:szCs w:val="24"/>
          <w:lang w:val="es-ES"/>
        </w:rPr>
        <w:t xml:space="preserve">Game Accessibility Guidelines. (s. f.). </w:t>
      </w:r>
      <w:r w:rsidRPr="041CFC67" w:rsidR="35CDFBD6">
        <w:rPr>
          <w:rFonts w:ascii="Times New Roman" w:hAnsi="Times New Roman" w:eastAsia="Times New Roman" w:cs="Times New Roman"/>
          <w:i w:val="1"/>
          <w:iCs w:val="1"/>
          <w:noProof w:val="0"/>
          <w:sz w:val="24"/>
          <w:szCs w:val="24"/>
          <w:lang w:val="es-ES"/>
        </w:rPr>
        <w:t>Include contextual in-game help / guidance / tips</w:t>
      </w:r>
      <w:r w:rsidRPr="041CFC67" w:rsidR="35CDFBD6">
        <w:rPr>
          <w:rFonts w:ascii="Times New Roman" w:hAnsi="Times New Roman" w:eastAsia="Times New Roman" w:cs="Times New Roman"/>
          <w:noProof w:val="0"/>
          <w:sz w:val="24"/>
          <w:szCs w:val="24"/>
          <w:lang w:val="es-ES"/>
        </w:rPr>
        <w:t xml:space="preserve">. </w:t>
      </w:r>
      <w:hyperlink r:id="R67655c232c9a49b2">
        <w:r w:rsidRPr="041CFC67" w:rsidR="35CDFBD6">
          <w:rPr>
            <w:rStyle w:val="Hyperlink"/>
            <w:noProof w:val="0"/>
            <w:lang w:val="es-ES"/>
          </w:rPr>
          <w:t>https://gameaccessibilityguidelines.com/include-contextual-in-game-helpguidance-tips/</w:t>
        </w:r>
      </w:hyperlink>
    </w:p>
    <w:p xmlns:wp14="http://schemas.microsoft.com/office/word/2010/wordml" w:rsidP="041CFC67" wp14:paraId="1F3501B0" wp14:textId="3D7A38D4">
      <w:pPr>
        <w:spacing w:before="240" w:beforeAutospacing="off" w:after="240" w:afterAutospacing="off"/>
      </w:pPr>
      <w:r w:rsidRPr="041CFC67" w:rsidR="35CDFBD6">
        <w:rPr>
          <w:rFonts w:ascii="Times New Roman" w:hAnsi="Times New Roman" w:eastAsia="Times New Roman" w:cs="Times New Roman"/>
          <w:noProof w:val="0"/>
          <w:sz w:val="24"/>
          <w:szCs w:val="24"/>
          <w:lang w:val="es-ES"/>
        </w:rPr>
        <w:t xml:space="preserve">Microsoft. (2026). </w:t>
      </w:r>
      <w:r w:rsidRPr="041CFC67" w:rsidR="35CDFBD6">
        <w:rPr>
          <w:rFonts w:ascii="Times New Roman" w:hAnsi="Times New Roman" w:eastAsia="Times New Roman" w:cs="Times New Roman"/>
          <w:i w:val="1"/>
          <w:iCs w:val="1"/>
          <w:noProof w:val="0"/>
          <w:sz w:val="24"/>
          <w:szCs w:val="24"/>
          <w:lang w:val="es-ES"/>
        </w:rPr>
        <w:t>Accessibility metadata – Game Publishing Guide: Gameplay: On-demand tutorials</w:t>
      </w:r>
      <w:r w:rsidRPr="041CFC67" w:rsidR="35CDFBD6">
        <w:rPr>
          <w:rFonts w:ascii="Times New Roman" w:hAnsi="Times New Roman" w:eastAsia="Times New Roman" w:cs="Times New Roman"/>
          <w:noProof w:val="0"/>
          <w:sz w:val="24"/>
          <w:szCs w:val="24"/>
          <w:lang w:val="es-ES"/>
        </w:rPr>
        <w:t xml:space="preserve">. Microsoft Learn. </w:t>
      </w:r>
      <w:hyperlink r:id="Rb1dc2079ce27477e">
        <w:r w:rsidRPr="041CFC67" w:rsidR="35CDFBD6">
          <w:rPr>
            <w:rStyle w:val="Hyperlink"/>
            <w:noProof w:val="0"/>
            <w:lang w:val="es-ES"/>
          </w:rPr>
          <w:t>https://learn.microsoft.com/en-us/gaming/game-publishing/concepts/metadata-accessibility</w:t>
        </w:r>
      </w:hyperlink>
    </w:p>
    <w:p xmlns:wp14="http://schemas.microsoft.com/office/word/2010/wordml" w:rsidP="041CFC67" wp14:paraId="369C024B" wp14:textId="64E3B447">
      <w:pPr>
        <w:pStyle w:val="Normal"/>
      </w:pPr>
      <w:r w:rsidRPr="041CFC67" w:rsidR="35CDFBD6">
        <w:rPr>
          <w:rFonts w:ascii="Times New Roman" w:hAnsi="Times New Roman" w:eastAsia="Times New Roman" w:cs="Times New Roman"/>
          <w:noProof w:val="0"/>
          <w:sz w:val="24"/>
          <w:szCs w:val="24"/>
          <w:lang w:val="es-ES"/>
        </w:rPr>
        <w:t xml:space="preserve">PlayStation. (s. f.). </w:t>
      </w:r>
      <w:r w:rsidRPr="041CFC67" w:rsidR="35CDFBD6">
        <w:rPr>
          <w:rFonts w:ascii="Times New Roman" w:hAnsi="Times New Roman" w:eastAsia="Times New Roman" w:cs="Times New Roman"/>
          <w:i w:val="1"/>
          <w:iCs w:val="1"/>
          <w:noProof w:val="0"/>
          <w:sz w:val="24"/>
          <w:szCs w:val="24"/>
          <w:lang w:val="es-ES"/>
        </w:rPr>
        <w:t>Everything you need to know about Street Fighter 6</w:t>
      </w:r>
      <w:r w:rsidRPr="041CFC67" w:rsidR="35CDFBD6">
        <w:rPr>
          <w:rFonts w:ascii="Times New Roman" w:hAnsi="Times New Roman" w:eastAsia="Times New Roman" w:cs="Times New Roman"/>
          <w:noProof w:val="0"/>
          <w:sz w:val="24"/>
          <w:szCs w:val="24"/>
          <w:lang w:val="es-ES"/>
        </w:rPr>
        <w:t xml:space="preserve">. PlayStation. </w:t>
      </w:r>
      <w:hyperlink r:id="Ra2300f99b03449ff">
        <w:r w:rsidRPr="041CFC67" w:rsidR="35CDFBD6">
          <w:rPr>
            <w:rStyle w:val="Hyperlink"/>
            <w:noProof w:val="0"/>
            <w:lang w:val="es-ES"/>
          </w:rPr>
          <w:t>https://www.playstation.com/en-us/games/street-fighter-6/everything-you-need-to-know-about-street-fighter-6/</w:t>
        </w:r>
      </w:hyperlink>
    </w:p>
    <w:p xmlns:wp14="http://schemas.microsoft.com/office/word/2010/wordml" w:rsidP="041CFC67" wp14:paraId="2AA77760" wp14:textId="1F66EBA7">
      <w:pPr>
        <w:pStyle w:val="Normal"/>
      </w:pPr>
      <w:r w:rsidRPr="041CFC67" w:rsidR="35CDFBD6">
        <w:rPr>
          <w:rFonts w:ascii="Times New Roman" w:hAnsi="Times New Roman" w:eastAsia="Times New Roman" w:cs="Times New Roman"/>
          <w:noProof w:val="0"/>
          <w:sz w:val="24"/>
          <w:szCs w:val="24"/>
          <w:lang w:val="en-US"/>
        </w:rPr>
        <w:t xml:space="preserve">Game Accessibility Guidelines. (s. f.). </w:t>
      </w:r>
      <w:r w:rsidRPr="041CFC67" w:rsidR="35CDFBD6">
        <w:rPr>
          <w:rFonts w:ascii="Times New Roman" w:hAnsi="Times New Roman" w:eastAsia="Times New Roman" w:cs="Times New Roman"/>
          <w:i w:val="1"/>
          <w:iCs w:val="1"/>
          <w:noProof w:val="0"/>
          <w:sz w:val="24"/>
          <w:szCs w:val="24"/>
          <w:lang w:val="en-US"/>
        </w:rPr>
        <w:t>Intermediate</w:t>
      </w:r>
      <w:r w:rsidRPr="041CFC67" w:rsidR="35CDFBD6">
        <w:rPr>
          <w:rFonts w:ascii="Times New Roman" w:hAnsi="Times New Roman" w:eastAsia="Times New Roman" w:cs="Times New Roman"/>
          <w:noProof w:val="0"/>
          <w:sz w:val="24"/>
          <w:szCs w:val="24"/>
          <w:lang w:val="en-US"/>
        </w:rPr>
        <w:t xml:space="preserve">. </w:t>
      </w:r>
      <w:hyperlink r:id="R5ab378c753314f27">
        <w:r w:rsidRPr="041CFC67" w:rsidR="35CDFBD6">
          <w:rPr>
            <w:rStyle w:val="Hyperlink"/>
            <w:noProof w:val="0"/>
            <w:lang w:val="en-US"/>
          </w:rPr>
          <w:t>https://gameaccessibilityguidelines.com/intermediate/</w:t>
        </w:r>
      </w:hyperlink>
    </w:p>
    <w:p xmlns:wp14="http://schemas.microsoft.com/office/word/2010/wordml" w:rsidP="041CFC67" wp14:paraId="2BDDF1C1" wp14:textId="4DFE601C">
      <w:pPr>
        <w:pStyle w:val="Normal"/>
        <w:rPr>
          <w:noProof w:val="0"/>
          <w:lang w:val="es-ES"/>
        </w:rPr>
      </w:pPr>
    </w:p>
    <w:p xmlns:wp14="http://schemas.microsoft.com/office/word/2010/wordml" wp14:paraId="5C1A07E2" wp14:textId="25F6601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9ddc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0ac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59435"/>
    <w:rsid w:val="00C5B04F"/>
    <w:rsid w:val="03862C37"/>
    <w:rsid w:val="041CFC67"/>
    <w:rsid w:val="0AECC494"/>
    <w:rsid w:val="0F1B9356"/>
    <w:rsid w:val="11A59435"/>
    <w:rsid w:val="1817944F"/>
    <w:rsid w:val="189E60A7"/>
    <w:rsid w:val="1A0E8333"/>
    <w:rsid w:val="1EC6812C"/>
    <w:rsid w:val="22D4AC5E"/>
    <w:rsid w:val="35CDFBD6"/>
    <w:rsid w:val="409EE974"/>
    <w:rsid w:val="4255868F"/>
    <w:rsid w:val="481BA359"/>
    <w:rsid w:val="4B1B904C"/>
    <w:rsid w:val="504AB05C"/>
    <w:rsid w:val="548D36F1"/>
    <w:rsid w:val="5659A50B"/>
    <w:rsid w:val="7BCBDBDA"/>
    <w:rsid w:val="7EA2F8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32A2"/>
  <w15:chartTrackingRefBased/>
  <w15:docId w15:val="{C5E2BEFC-EA14-4291-AB9D-6BFB324685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41CFC67"/>
    <w:pPr>
      <w:spacing/>
      <w:ind w:left="720"/>
      <w:contextualSpacing/>
    </w:pPr>
  </w:style>
  <w:style w:type="character" w:styleId="Hyperlink">
    <w:uiPriority w:val="99"/>
    <w:name w:val="Hyperlink"/>
    <w:basedOn w:val="DefaultParagraphFont"/>
    <w:unhideWhenUsed/>
    <w:rsid w:val="041CFC6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00233987" /><Relationship Type="http://schemas.openxmlformats.org/officeDocument/2006/relationships/image" Target="/media/image2.png" Id="rId1021680607" /><Relationship Type="http://schemas.openxmlformats.org/officeDocument/2006/relationships/image" Target="/media/image3.png" Id="rId1616228511" /><Relationship Type="http://schemas.openxmlformats.org/officeDocument/2006/relationships/image" Target="/media/image4.png" Id="rId1405203687" /><Relationship Type="http://schemas.openxmlformats.org/officeDocument/2006/relationships/image" Target="/media/image5.png" Id="rId1594704194" /><Relationship Type="http://schemas.openxmlformats.org/officeDocument/2006/relationships/hyperlink" Target="https://gameaccessibilityguidelines.com/include-contextual-in-game-helpguidance-tips/" TargetMode="External" Id="R67655c232c9a49b2" /><Relationship Type="http://schemas.openxmlformats.org/officeDocument/2006/relationships/hyperlink" Target="https://learn.microsoft.com/en-us/gaming/game-publishing/concepts/metadata-accessibility?utm_source=chatgpt.com" TargetMode="External" Id="Rb1dc2079ce27477e" /><Relationship Type="http://schemas.openxmlformats.org/officeDocument/2006/relationships/hyperlink" Target="https://www.playstation.com/en-us/games/street-fighter-6/everything-you-need-to-know-about-street-fighter-6/?utm_source=chatgpt.com" TargetMode="External" Id="Ra2300f99b03449ff" /><Relationship Type="http://schemas.openxmlformats.org/officeDocument/2006/relationships/hyperlink" Target="https://gameaccessibilityguidelines.com/intermediate/?utm_source=chatgpt.com" TargetMode="External" Id="R5ab378c753314f27" /><Relationship Type="http://schemas.openxmlformats.org/officeDocument/2006/relationships/numbering" Target="numbering.xml" Id="R57f0f9eb633740e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2026-08-21T06:19:09.8741392Z</dcterms:created>
  <dcterms:modified xsi:type="dcterms:W3CDTF">2026-08-21T06:50:15.0107981Z</dcterms:modified>
  <dc:creator>ANGIE SOFIA TOBACIA MORENO</dc:creator>
  <lastModifiedBy>ANGIE SOFIA TOBACIA MORENO</lastModifiedBy>
</coreProperties>
</file>