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w:t>
        </w:r>
        <w:r w:rsidRPr="00D914D3">
          <w:rPr>
            <w:rStyle w:val="Hipervnculo"/>
            <w:noProof/>
          </w:rPr>
          <w:t>1</w:t>
        </w:r>
        <w:r w:rsidRPr="00D914D3">
          <w:rPr>
            <w:rStyle w:val="Hipervnculo"/>
            <w:noProof/>
          </w:rPr>
          <w:t>.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 xml:space="preserve">El proyecto se encuentra en el sector suroccidental de la ciudad de Villavicencio, específicamente en las coordenadas </w:t>
      </w:r>
      <w:r w:rsidR="00E553D3" w:rsidRPr="003A2108">
        <w:rPr>
          <w:color w:val="EE0000"/>
          <w:highlight w:val="yellow"/>
        </w:rPr>
        <w:t>Este 1048104.08 y Norte 946395.36.</w:t>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Se realizó la consulta en la plataforma digital de la autoridad ambiental competente CORMACARENA, sin embargo, a la fecha de desarrollo de este estudio en el geoportal no se cuenta con información disponible a utilizar.</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Se recibió por parte de Constructora Amarilo la información de la implantación estructural del puente sobre la Quebrada No. 2</w:t>
      </w:r>
      <w:r w:rsidR="00C118AD" w:rsidRPr="005E2097">
        <w:rPr>
          <w:highlight w:val="cyan"/>
        </w:rPr>
        <w:t xml:space="preserve"> y los planos topográficos donde se incluyen la superficie de terreno y batimetría de este cuerpo de agua </w:t>
      </w:r>
      <w:r w:rsidR="00406B96" w:rsidRPr="005E2097">
        <w:rPr>
          <w:highlight w:val="cyan"/>
        </w:rPr>
        <w:t>correspondiente al levantamiento realizado en el mes de noviembre de 2023.</w:t>
      </w:r>
      <w:r w:rsidR="00406B96" w:rsidRPr="00E13FBC">
        <w:t xml:space="preserve"> </w:t>
      </w:r>
      <w:commentRangeEnd w:id="27"/>
      <w:r w:rsidR="005E2097">
        <w:rPr>
          <w:rStyle w:val="Refdecomentario"/>
          <w:sz w:val="22"/>
          <w:szCs w:val="22"/>
        </w:rPr>
        <w:commentReference w:id="27"/>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Se realizó la consulta para este cuerpo de agua en la zonificación hidrográfica del IDEAM para identificar más subniveles que definan la codificación de las subcuencas mencionadas en el numeral anterior. Se determina que la zonificación hidrográfica se tiene hasta un subnivel III.</w:t>
      </w:r>
      <w:r w:rsidR="006747DC" w:rsidRPr="00E13FBC">
        <w:t xml:space="preserve"> </w:t>
      </w:r>
      <w:r w:rsidR="006747DC" w:rsidRPr="0082542F">
        <w:rPr>
          <w:color w:val="EE0000"/>
          <w:highlight w:val="yellow"/>
        </w:rPr>
        <w:t xml:space="preserve">De acuerdo con la </w:t>
      </w:r>
      <w:r w:rsidR="006747DC" w:rsidRPr="0082542F">
        <w:rPr>
          <w:color w:val="EE0000"/>
          <w:highlight w:val="yellow"/>
        </w:rPr>
        <w:fldChar w:fldCharType="begin"/>
      </w:r>
      <w:r w:rsidR="006747DC" w:rsidRPr="0082542F">
        <w:rPr>
          <w:color w:val="EE0000"/>
          <w:highlight w:val="yellow"/>
        </w:rPr>
        <w:instrText xml:space="preserve"> REF _Ref160615948 \h </w:instrText>
      </w:r>
      <w:r w:rsidR="00E13FBC" w:rsidRPr="0082542F">
        <w:rPr>
          <w:color w:val="EE0000"/>
          <w:highlight w:val="yellow"/>
        </w:rPr>
        <w:instrText xml:space="preserve"> \* MERGEFORMAT </w:instrText>
      </w:r>
      <w:r w:rsidR="006747DC" w:rsidRPr="0082542F">
        <w:rPr>
          <w:color w:val="EE0000"/>
          <w:highlight w:val="yellow"/>
        </w:rPr>
      </w:r>
      <w:r w:rsidR="006747DC" w:rsidRPr="0082542F">
        <w:rPr>
          <w:color w:val="EE0000"/>
          <w:highlight w:val="yellow"/>
        </w:rPr>
        <w:fldChar w:fldCharType="separate"/>
      </w:r>
      <w:r w:rsidR="001D23B0" w:rsidRPr="0082542F">
        <w:rPr>
          <w:color w:val="EE0000"/>
          <w:highlight w:val="yellow"/>
        </w:rPr>
        <w:t xml:space="preserve">Ilustración </w:t>
      </w:r>
      <w:r w:rsidR="001D23B0" w:rsidRPr="0082542F">
        <w:rPr>
          <w:noProof/>
          <w:color w:val="EE0000"/>
          <w:highlight w:val="yellow"/>
        </w:rPr>
        <w:t>3</w:t>
      </w:r>
      <w:r w:rsidR="001D23B0" w:rsidRPr="0082542F">
        <w:rPr>
          <w:noProof/>
          <w:color w:val="EE0000"/>
          <w:highlight w:val="yellow"/>
        </w:rPr>
        <w:noBreakHyphen/>
        <w:t>4</w:t>
      </w:r>
      <w:r w:rsidR="006747DC" w:rsidRPr="0082542F">
        <w:rPr>
          <w:color w:val="EE0000"/>
          <w:highlight w:val="yellow"/>
        </w:rPr>
        <w:fldChar w:fldCharType="end"/>
      </w:r>
      <w:r w:rsidR="006747DC" w:rsidRPr="0082542F">
        <w:rPr>
          <w:color w:val="EE0000"/>
          <w:highlight w:val="yellow"/>
        </w:rPr>
        <w:t xml:space="preserve"> se tiene que la cuenca de la Quebrada N</w:t>
      </w:r>
      <w:r w:rsidR="00EC6222" w:rsidRPr="0082542F">
        <w:rPr>
          <w:color w:val="EE0000"/>
          <w:highlight w:val="yellow"/>
        </w:rPr>
        <w:t>o. 2</w:t>
      </w:r>
      <w:r w:rsidR="006747DC" w:rsidRPr="0082542F">
        <w:rPr>
          <w:color w:val="EE0000"/>
          <w:highlight w:val="yellow"/>
        </w:rPr>
        <w:t xml:space="preserve"> se encuentra en el área hidrográfica del Orinoco, </w:t>
      </w:r>
      <w:r w:rsidR="001A63F3" w:rsidRPr="0082542F">
        <w:rPr>
          <w:color w:val="EE0000"/>
          <w:highlight w:val="yellow"/>
        </w:rPr>
        <w:t>zona Meta y subzona hidrográfica río Guaitiquía.</w:t>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lastRenderedPageBreak/>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lastRenderedPageBreak/>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pPr/>
      <w:r>
        <w:t>El grupo hidrológico del suelo, que el método del número de curva exige, se obtiene del producto HYSOGs250m (Ross et al., 2018, Global Hydrologic Soil Groups, ORNL DAAC), un ráster global a escala 1:250.000 que asigna directamente el grupo del Servicio de Conservación de Suelos (A, B, C o D) a cada celda, incluidas las combinaciones duales que dependen de si el suelo está drenado. Es un producto de origen global y no un levantamiento de campo, de modo que su resolución condiciona la escala a la que puede leerse el resultado dentro de la cuenca.</w:t>
      </w:r>
    </w:p>
    <w:p w14:paraId="1E05E4FA" w14:textId="45729CF1" w:rsidR="004A7579" w:rsidRPr="00E13FBC" w:rsidRDefault="004A7579" w:rsidP="004A7579">
      <w:pPr>
        <w:pStyle w:val="Descripcin"/>
        <w:keepNext/>
        <w:ind w:left="360"/>
      </w:pPr>
      <w:bookmarkStart w:id="93" w:name="_Ref238384611"/>
      <w:bookmarkStart w:id="94" w:name="_Toc238403787"/>
      <w:r w:rsidRPr="00E13FBC">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lastRenderedPageBreak/>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w:t>
      </w:r>
      <w:r w:rsidR="006463A3" w:rsidRPr="00E13FBC">
        <w:lastRenderedPageBreak/>
        <w:t xml:space="preserve">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lastRenderedPageBreak/>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California Culverts Practice (SCS-Ranser)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09C4EAA0" w14:textId="5B8E71B6" w:rsidR="003B1625" w:rsidRPr="00E13FBC" w:rsidRDefault="00FC6AD0" w:rsidP="00FC6AD0">
      <w:pPr>
        <w:pStyle w:val="Prrafodelista"/>
        <w:numPr>
          <w:ilvl w:val="0"/>
          <w:numId w:val="27"/>
        </w:numPr>
      </w:pPr>
      <w:r w:rsidRPr="00E13FBC">
        <w:t>Fórmula de Johnstone y Cross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0,4623 · L^0,5 · S^-0,25</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(km).</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Clark</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0,335 · (A / √S)^0,593</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Pilgrim y McDermott</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0,76 · A^0,38</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09C4EAA0" w14:textId="5B8E71B6" w:rsidR="003B1625" w:rsidRPr="00E13FBC" w:rsidRDefault="00FC6AD0" w:rsidP="00FC6AD0">
      <w:pPr>
        <w:pStyle w:val="Prrafodelista"/>
        <w:numPr>
          <w:ilvl w:val="0"/>
          <w:numId w:val="27"/>
        </w:numPr>
      </w:pPr>
      <w:r w:rsidRPr="00E13FBC">
        <w:t>Fórmula de Valencia y Zuluaga</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1,7694 · A^0,325 · L^-0,096 · S^-0,290</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(km).</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retardo del SCS (NRCS Lag)</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tlag / 0,6,  con  tlag = (L^0,8 · (Sr + 1)^0,7) / (1900 · Y^0,5)</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tlag = Tiempo de retardo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(pies).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Sr = Retención potencial máxima, Sr = 1000/CN - 10 (pulgadas).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CN = Número de curva de escorrentía, adimensional.</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Y = Pendiente media de la cuenca (%).</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Es la única de la matriz que necesita el número de curva, y por eso es la coherente con el método de transformación del SCS adoptado en el modelo. Está definida para cuencas menores de 800 ha.</w:t>
      </w:r>
    </w:p>
    <w:tbl>
      <w:tblPr>
        <w:tblStyle w:val="Tablaconcuadrcula1clara"/>
        <w:tblW w:type="auto" w:w="0"/>
        <w:tblLook w:firstColumn="1" w:firstRow="1" w:lastColumn="0" w:lastRow="0" w:noHBand="0" w:noVBand="1" w:val="04A0"/>
      </w:tblPr>
      <w:tblGrid>
        <w:gridCol w:w="2946"/>
        <w:gridCol w:w="2946"/>
        <w:gridCol w:w="2946"/>
      </w:tblGrid>
      <w:tr>
        <w:tc>
          <w:tcPr>
            <w:tcW w:type="dxa" w:w="2946"/>
          </w:tcPr>
          <w:p>
            <w:r>
              <w:t>Autor</w:t>
            </w:r>
          </w:p>
        </w:tc>
        <w:tc>
          <w:tcPr>
            <w:tcW w:type="dxa" w:w="2946"/>
          </w:tcPr>
          <w:p>
            <w:r>
              <w:t>Rango de área aplicable (km²)</w:t>
            </w:r>
          </w:p>
        </w:tc>
        <w:tc>
          <w:tcPr>
            <w:tcW w:type="dxa" w:w="2946"/>
          </w:tcPr>
          <w:p>
            <w:r>
              <w:t>Tipo de cuenca</w:t>
            </w:r>
          </w:p>
        </w:tc>
      </w:tr>
      <w:tr>
        <w:tc>
          <w:tcPr>
            <w:tcW w:type="dxa" w:w="2946"/>
          </w:tcPr>
          <w:p>
            <w:r>
              <w:t>Kirpich (1940)</w:t>
            </w:r>
          </w:p>
        </w:tc>
        <w:tc>
          <w:tcPr>
            <w:tcW w:type="dxa" w:w="2946"/>
          </w:tcPr>
          <w:p>
            <w:r>
              <w:t>0.004 a 0.45</w:t>
            </w:r>
          </w:p>
        </w:tc>
        <w:tc>
          <w:tcPr>
            <w:tcW w:type="dxa" w:w="2946"/>
          </w:tcPr>
          <w:p>
            <w:r>
              <w:t>Rural</w:t>
            </w:r>
          </w:p>
        </w:tc>
      </w:tr>
      <w:tr>
        <w:tc>
          <w:tcPr>
            <w:tcW w:type="dxa" w:w="2946"/>
          </w:tcPr>
          <w:p>
            <w:r>
              <w:t>California Culverts Practice (SCS-Ranser)</w:t>
            </w:r>
          </w:p>
        </w:tc>
        <w:tc>
          <w:tcPr>
            <w:tcW w:type="dxa" w:w="2946"/>
          </w:tcPr>
          <w:p>
            <w:r>
              <w:t>0.004 a 45.0</w:t>
            </w:r>
          </w:p>
        </w:tc>
        <w:tc>
          <w:tcPr>
            <w:tcW w:type="dxa" w:w="2946"/>
          </w:tcPr>
          <w:p>
            <w:r>
              <w:t>Montanosa</w:t>
            </w:r>
          </w:p>
        </w:tc>
      </w:tr>
      <w:tr>
        <w:tc>
          <w:tcPr>
            <w:tcW w:type="dxa" w:w="2946"/>
          </w:tcPr>
          <w:p>
            <w:r>
              <w:t>Temez (1978)</w:t>
            </w:r>
          </w:p>
        </w:tc>
        <w:tc>
          <w:tcPr>
            <w:tcW w:type="dxa" w:w="2946"/>
          </w:tcPr>
          <w:p>
            <w:r>
              <w:t>1.0 a 3000.0</w:t>
            </w:r>
          </w:p>
        </w:tc>
        <w:tc>
          <w:tcPr>
            <w:tcW w:type="dxa" w:w="2946"/>
          </w:tcPr>
          <w:p>
            <w:r>
              <w:t>Mixta</w:t>
            </w:r>
          </w:p>
        </w:tc>
      </w:tr>
      <w:tr>
        <w:tc>
          <w:tcPr>
            <w:tcW w:type="dxa" w:w="2946"/>
          </w:tcPr>
          <w:p>
            <w:r>
              <w:t>Giandotti (1934)</w:t>
            </w:r>
          </w:p>
        </w:tc>
        <w:tc>
          <w:tcPr>
            <w:tcW w:type="dxa" w:w="2946"/>
          </w:tcPr>
          <w:p>
            <w:r>
              <w:t>20.0 a 1000.0</w:t>
            </w:r>
          </w:p>
        </w:tc>
        <w:tc>
          <w:tcPr>
            <w:tcW w:type="dxa" w:w="2946"/>
          </w:tcPr>
          <w:p>
            <w:r>
              <w:t>Mixta</w:t>
            </w:r>
          </w:p>
        </w:tc>
      </w:tr>
      <w:tr>
        <w:tc>
          <w:tcPr>
            <w:tcW w:type="dxa" w:w="2946"/>
          </w:tcPr>
          <w:p>
            <w:r>
              <w:t>Ventura-Heras</w:t>
            </w:r>
          </w:p>
        </w:tc>
        <w:tc>
          <w:tcPr>
            <w:tcW w:type="dxa" w:w="2946"/>
          </w:tcPr>
          <w:p>
            <w:r>
              <w:t>1.0 a 1000.0</w:t>
            </w:r>
          </w:p>
        </w:tc>
        <w:tc>
          <w:tcPr>
            <w:tcW w:type="dxa" w:w="2946"/>
          </w:tcPr>
          <w:p>
            <w:r>
              <w:t>Rural</w:t>
            </w:r>
          </w:p>
        </w:tc>
      </w:tr>
      <w:tr>
        <w:tc>
          <w:tcPr>
            <w:tcW w:type="dxa" w:w="2946"/>
          </w:tcPr>
          <w:p>
            <w:r>
              <w:t>Passini</w:t>
            </w:r>
          </w:p>
        </w:tc>
        <w:tc>
          <w:tcPr>
            <w:tcW w:type="dxa" w:w="2946"/>
          </w:tcPr>
          <w:p>
            <w:r>
              <w:t>1.0 a 1000.0</w:t>
            </w:r>
          </w:p>
        </w:tc>
        <w:tc>
          <w:tcPr>
            <w:tcW w:type="dxa" w:w="2946"/>
          </w:tcPr>
          <w:p>
            <w:r>
              <w:t>Rural</w:t>
            </w:r>
          </w:p>
        </w:tc>
      </w:tr>
      <w:tr>
        <w:tc>
          <w:tcPr>
            <w:tcW w:type="dxa" w:w="2946"/>
          </w:tcPr>
          <w:p>
            <w:r>
              <w:t>Bransby Williams</w:t>
            </w:r>
          </w:p>
        </w:tc>
        <w:tc>
          <w:tcPr>
            <w:tcW w:type="dxa" w:w="2946"/>
          </w:tcPr>
          <w:p>
            <w:r>
              <w:t>0.01 a 130.0</w:t>
            </w:r>
          </w:p>
        </w:tc>
        <w:tc>
          <w:tcPr>
            <w:tcW w:type="dxa" w:w="2946"/>
          </w:tcPr>
          <w:p>
            <w:r>
              <w:t>Rural</w:t>
            </w:r>
          </w:p>
        </w:tc>
      </w:tr>
      <w:tr>
        <w:tc>
          <w:tcPr>
            <w:tcW w:type="dxa" w:w="2946"/>
          </w:tcPr>
          <w:p>
            <w:r>
              <w:t>Johnstone y Cross (1949)</w:t>
            </w:r>
          </w:p>
        </w:tc>
        <w:tc>
          <w:tcPr>
            <w:tcW w:type="dxa" w:w="2946"/>
          </w:tcPr>
          <w:p>
            <w:r>
              <w:t>65.0 a 4200.0</w:t>
            </w:r>
          </w:p>
        </w:tc>
        <w:tc>
          <w:tcPr>
            <w:tcW w:type="dxa" w:w="2946"/>
          </w:tcPr>
          <w:p>
            <w:r>
              <w:t>Llana</w:t>
            </w:r>
          </w:p>
        </w:tc>
      </w:tr>
      <w:tr>
        <w:tc>
          <w:tcPr>
            <w:tcW w:type="dxa" w:w="2946"/>
          </w:tcPr>
          <w:p>
            <w:r>
              <w:t>SCS Lag (NRCS)</w:t>
            </w:r>
          </w:p>
        </w:tc>
        <w:tc>
          <w:tcPr>
            <w:tcW w:type="dxa" w:w="2946"/>
          </w:tcPr>
          <w:p>
            <w:r>
              <w:t>0.0 a 8.0</w:t>
            </w:r>
          </w:p>
        </w:tc>
        <w:tc>
          <w:tcPr>
            <w:tcW w:type="dxa" w:w="2946"/>
          </w:tcPr>
          <w:p>
            <w:r>
              <w:t>Rural</w:t>
            </w:r>
          </w:p>
        </w:tc>
      </w:tr>
      <w:tr>
        <w:tc>
          <w:tcPr>
            <w:tcW w:type="dxa" w:w="2946"/>
          </w:tcPr>
          <w:p>
            <w:r>
              <w:t>Clark</w:t>
            </w:r>
          </w:p>
        </w:tc>
        <w:tc>
          <w:tcPr>
            <w:tcW w:type="dxa" w:w="2946"/>
          </w:tcPr>
          <w:p>
            <w:r>
              <w:t>0.5 a 300.0</w:t>
            </w:r>
          </w:p>
        </w:tc>
        <w:tc>
          <w:tcPr>
            <w:tcW w:type="dxa" w:w="2946"/>
          </w:tcPr>
          <w:p>
            <w:r>
              <w:t>Mixta</w:t>
            </w:r>
          </w:p>
        </w:tc>
      </w:tr>
      <w:tr>
        <w:tc>
          <w:tcPr>
            <w:tcW w:type="dxa" w:w="2946"/>
          </w:tcPr>
          <w:p>
            <w:r>
              <w:t>Pilgrim y McDermott</w:t>
            </w:r>
          </w:p>
        </w:tc>
        <w:tc>
          <w:tcPr>
            <w:tcW w:type="dxa" w:w="2946"/>
          </w:tcPr>
          <w:p>
            <w:r>
              <w:t>0.5 a 250.0</w:t>
            </w:r>
          </w:p>
        </w:tc>
        <w:tc>
          <w:tcPr>
            <w:tcW w:type="dxa" w:w="2946"/>
          </w:tcPr>
          <w:p>
            <w:r>
              <w:t>Rural</w:t>
            </w:r>
          </w:p>
        </w:tc>
      </w:tr>
      <w:tr>
        <w:tc>
          <w:tcPr>
            <w:tcW w:type="dxa" w:w="2946"/>
          </w:tcPr>
          <w:p>
            <w:r>
              <w:t>Valencia y Zuluaga</w:t>
            </w:r>
          </w:p>
        </w:tc>
        <w:tc>
          <w:tcPr>
            <w:tcW w:type="dxa" w:w="2946"/>
          </w:tcPr>
          <w:p>
            <w:r>
              <w:t>0.05 a 20.0</w:t>
            </w:r>
          </w:p>
        </w:tc>
        <w:tc>
          <w:tcPr>
            <w:tcW w:type="dxa" w:w="2946"/>
          </w:tcPr>
          <w:p>
            <w:r>
              <w:t>Montanosa</w:t>
            </w:r>
          </w:p>
        </w:tc>
      </w:tr>
      <w:tr>
        <w:tc>
          <w:tcPr>
            <w:tcW w:type="dxa" w:w="2946"/>
          </w:tcPr>
          <w:p>
            <w:r>
              <w:t>V. T. Chow</w:t>
            </w:r>
          </w:p>
        </w:tc>
        <w:tc>
          <w:tcPr>
            <w:tcW w:type="dxa" w:w="2946"/>
          </w:tcPr>
          <w:p>
            <w:r>
              <w:t>0.01 a 25.0</w:t>
            </w:r>
          </w:p>
        </w:tc>
        <w:tc>
          <w:tcPr>
            <w:tcW w:type="dxa" w:w="2946"/>
          </w:tcPr>
          <w:p>
            <w:r>
              <w:t>Mixta</w:t>
            </w:r>
          </w:p>
        </w:tc>
      </w:tr>
    </w:tbl>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pPr/>
      <w:r>
        <w:t>La curva hipsométrica representa la fracción del área de la cuenca que se encuentra por encima de cada cota, normalizada entre 0 y 1 en ambos ejes, en la forma que la definió Strahler. Su forma describe la etapa erosiva de la cuenca: una curva convexa, con la mayor parte del área en las cotas altas, corresponde a una cuenca joven en desequilibrio; una curva cóncava, con la mayor parte del área en las cotas bajas, corresponde a una cuenca erosionada; y una forma intermedia, en S, corresponde a una cuenca madura. La integral de la curva resume esa lectura en un solo número: valores por encima de 0,60 se asocian a cuencas jóvenes, entre 0,35 y 0,60 a cuencas maduras, y por debajo de 0,35 a cuencas erosionadas.</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lastRenderedPageBreak/>
        <w:t>Las estaciones con código</w:t>
      </w:r>
      <w:r w:rsidR="009B6611" w:rsidRPr="005E41D2">
        <w:rPr>
          <w:color w:val="EE0000"/>
          <w:highlight w:val="yellow"/>
        </w:rPr>
        <w:t xml:space="preserve"> 35020030</w:t>
      </w:r>
      <w:r w:rsidR="001D4303" w:rsidRPr="005E41D2">
        <w:rPr>
          <w:color w:val="EE0000"/>
          <w:highlight w:val="yellow"/>
        </w:rPr>
        <w:t xml:space="preserve"> </w:t>
      </w:r>
      <w:r w:rsidR="006B3E8A" w:rsidRPr="005E41D2">
        <w:rPr>
          <w:color w:val="EE0000"/>
          <w:highlight w:val="yellow"/>
        </w:rPr>
        <w:t>MANZANARES</w:t>
      </w:r>
      <w:r w:rsidR="009B6611" w:rsidRPr="005E41D2">
        <w:rPr>
          <w:color w:val="EE0000"/>
          <w:highlight w:val="yellow"/>
        </w:rPr>
        <w:t>,</w:t>
      </w:r>
      <w:r w:rsidRPr="005E41D2">
        <w:rPr>
          <w:color w:val="EE0000"/>
          <w:highlight w:val="yellow"/>
        </w:rPr>
        <w:t xml:space="preserve"> 35035030</w:t>
      </w:r>
      <w:r w:rsidR="006B3E8A" w:rsidRPr="005E41D2">
        <w:rPr>
          <w:color w:val="EE0000"/>
          <w:highlight w:val="yellow"/>
        </w:rPr>
        <w:t xml:space="preserve"> </w:t>
      </w:r>
      <w:r w:rsidR="00347773" w:rsidRPr="005E41D2">
        <w:rPr>
          <w:color w:val="EE0000"/>
          <w:highlight w:val="yellow"/>
        </w:rPr>
        <w:t>SALINAS DE UPIN</w:t>
      </w:r>
      <w:r w:rsidRPr="005E41D2">
        <w:rPr>
          <w:color w:val="EE0000"/>
          <w:highlight w:val="yellow"/>
        </w:rPr>
        <w:t xml:space="preserve"> y 35030370 </w:t>
      </w:r>
      <w:r w:rsidR="00347773" w:rsidRPr="005E41D2">
        <w:rPr>
          <w:color w:val="EE0000"/>
          <w:highlight w:val="yellow"/>
        </w:rPr>
        <w:t xml:space="preserve">ICA VILLAVICENCIO AUTOMÁTICA </w:t>
      </w:r>
      <w:r w:rsidRPr="005E41D2">
        <w:rPr>
          <w:color w:val="EE0000"/>
          <w:highlight w:val="yellow"/>
        </w:rPr>
        <w:t>son las que tienen las peores correlaciones con las demás, esencialmente por la ausencia de datos, por lo que se descartan para continuar con los análisis.</w:t>
      </w:r>
    </w:p>
    <w:p>
      <w:pPr/>
      <w:r>
        <w:t>El análisis de dobles masas compara la serie acumulada de cada estación contra la serie acumulada de un patrón construido con las estaciones vecinas, en el mismo periodo. Mientras la relación entre las dos series se mantenga estable, la curva de dobles masas es una línea recta; un cambio de pendiente indica que la estación empezó a registrar en una escala distinta de la del patrón, por un cambio de instrumento, de ubicación o de operador. El tramo anterior al quiebre se corrige multiplicándolo por la razón entre las dos pendientes, de modo que quede en la misma escala que el tramo reciente, que es el que refleja las condiciones actuales de la estación.</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pPr/>
      <w:r>
        <w:t>La detección de datos anómalos se hace mes a mes y no sobre la serie completa: en un régimen de lluvias bimodal, un solo rango de referencia para los doce meses marcaría como anómala toda una temporada húmeda, porque la comparación tiene que hacerse contra el mismo mes calendario en los demás años. El método adoptado es el rango intercuartílico (IQR): se calculan el primer y el tercer cuartil de los valores históricos de cada mes y se marcan como anómalos los que caen fuera de los límites que resultan de extender ese rango un múltiplo declarado. Un dato marcado no se descarta automáticamente: queda señalado para que el consultor decida su tratamiento.</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 xml:space="preserve">En </w:t>
      </w:r>
      <w:r w:rsidR="00E35384" w:rsidRPr="00E13FBC">
        <w:t>conclusión,</w:t>
      </w:r>
      <w:r w:rsidRPr="00E13FBC">
        <w:t xml:space="preserve"> las e</w:t>
      </w:r>
      <w:r w:rsidR="004B3F46" w:rsidRPr="00E13FBC">
        <w:t>staciones excluidas por serie incompleta en los últimos años</w:t>
      </w:r>
      <w:r w:rsidRPr="00E13FBC">
        <w:t>,</w:t>
      </w:r>
      <w:r w:rsidR="004B3F46" w:rsidRPr="00E13FBC">
        <w:t xml:space="preserve"> </w:t>
      </w:r>
      <w:r w:rsidRPr="00E13FBC">
        <w:t>intermitencias por</w:t>
      </w:r>
      <w:r w:rsidR="004B3F46" w:rsidRPr="00E13FBC">
        <w:t xml:space="preserve"> años incompletos</w:t>
      </w:r>
      <w:r w:rsidRPr="00E13FBC">
        <w:t xml:space="preserve"> y mala correlación con las otras son </w:t>
      </w:r>
      <w:r w:rsidR="00812BD1" w:rsidRPr="00E13FBC">
        <w:t>'35020030'</w:t>
      </w:r>
      <w:r w:rsidRPr="00E13FBC">
        <w:t xml:space="preserve"> MANZANARES</w:t>
      </w:r>
      <w:r w:rsidR="00812BD1" w:rsidRPr="00E13FBC">
        <w:t>, '35030370'</w:t>
      </w:r>
      <w:r w:rsidRPr="00E13FBC">
        <w:t xml:space="preserve"> ICA VILLAVICENCIO</w:t>
      </w:r>
      <w:r w:rsidR="00812BD1" w:rsidRPr="00E13FBC">
        <w:t>, '35035010'</w:t>
      </w:r>
      <w:r w:rsidRPr="00E13FBC">
        <w:t xml:space="preserve"> BASE AÉREA A</w:t>
      </w:r>
      <w:r w:rsidR="007E317A" w:rsidRPr="00E13FBC">
        <w:t>PIAY</w:t>
      </w:r>
      <w:r w:rsidR="00812BD1" w:rsidRPr="00E13FBC">
        <w:t>, '35035030'</w:t>
      </w:r>
      <w:r w:rsidRPr="00E13FBC">
        <w:t xml:space="preserve"> SALINAS DE UPIN</w:t>
      </w:r>
      <w:r w:rsidR="007E317A" w:rsidRPr="00E13FBC">
        <w:t xml:space="preserve"> y</w:t>
      </w:r>
      <w:r w:rsidR="00812BD1" w:rsidRPr="00E13FBC">
        <w:t xml:space="preserve"> '35035100'</w:t>
      </w:r>
      <w:r w:rsidR="007E317A" w:rsidRPr="00E13FBC">
        <w:t xml:space="preserve"> ICA VILLAVICENCIO AUTOMÁTICA</w:t>
      </w:r>
      <w:r w:rsidR="003A4FB9" w:rsidRPr="00E13FBC">
        <w:t>; las demás estaciones continúan al proceso de complemento de datos.</w:t>
      </w:r>
    </w:p>
    <w:p w14:paraId="25689295" w14:textId="77777777" w:rsidR="00BF3D5E" w:rsidRDefault="00BF3D5E" w:rsidP="00BF3D5E">
      <w:r>
        <w:lastRenderedPageBreak/>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pPr/>
      <w:r>
        <w:t>El complemento de los datos faltantes se hace por regresión lineal simple contra la estación vecina mejor correlacionada que tenga dato disponible en ese periodo, de modo que cada valor completado se apoye en la mejor información disponible y no en un promedio que diluya la relación entre estaciones. La validez del método se comprueba por validación cruzada: se retira de la serie una muestra de datos conocidos, se estiman con el mismo procedimiento de complemento y se compara el valor estimado contra el valor real retirado, lo que permite cuantificar el error del complemento sobre datos cuyo valor verdadero sí se conoce.</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lastRenderedPageBreak/>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lastRenderedPageBreak/>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Este método consiste en el trazado de líneas de igual precipitación llamadas isoyetas utilizando los datos puntuales reportados por las estaciones meteorológicas. Comúnmente estas líneas se dibujan observando la orografía de la región y los planos obtenidos mediante 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lastRenderedPageBreak/>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t xml:space="preserve">De la </w:t>
      </w:r>
      <w:r w:rsidRPr="00807387">
        <w:rPr>
          <w:color w:val="EE0000"/>
          <w:highlight w:val="yellow"/>
        </w:rPr>
        <w:fldChar w:fldCharType="begin"/>
      </w:r>
      <w:r w:rsidRPr="00807387">
        <w:rPr>
          <w:color w:val="EE0000"/>
          <w:highlight w:val="yellow"/>
        </w:rPr>
        <w:instrText xml:space="preserve"> REF _Ref160643952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5</w:t>
      </w:r>
      <w:r w:rsidRPr="00807387">
        <w:rPr>
          <w:color w:val="EE0000"/>
          <w:highlight w:val="yellow"/>
        </w:rPr>
        <w:fldChar w:fldCharType="end"/>
      </w:r>
      <w:r w:rsidRPr="00807387">
        <w:rPr>
          <w:color w:val="EE0000"/>
          <w:highlight w:val="yellow"/>
        </w:rPr>
        <w:t xml:space="preserve"> a la </w:t>
      </w:r>
      <w:r w:rsidRPr="00807387">
        <w:rPr>
          <w:color w:val="EE0000"/>
          <w:highlight w:val="yellow"/>
        </w:rPr>
        <w:fldChar w:fldCharType="begin"/>
      </w:r>
      <w:r w:rsidRPr="00807387">
        <w:rPr>
          <w:color w:val="EE0000"/>
          <w:highlight w:val="yellow"/>
        </w:rPr>
        <w:instrText xml:space="preserve"> REF _Ref160643957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8</w:t>
      </w:r>
      <w:r w:rsidRPr="00807387">
        <w:rPr>
          <w:color w:val="EE0000"/>
          <w:highlight w:val="yellow"/>
        </w:rPr>
        <w:fldChar w:fldCharType="end"/>
      </w:r>
      <w:r w:rsidRPr="00807387">
        <w:rPr>
          <w:color w:val="EE0000"/>
          <w:highlight w:val="yellow"/>
        </w:rPr>
        <w:t xml:space="preserve"> se observa </w:t>
      </w:r>
      <w:r w:rsidR="00F24BB1" w:rsidRPr="00807387">
        <w:rPr>
          <w:color w:val="EE0000"/>
          <w:highlight w:val="yellow"/>
        </w:rPr>
        <w:t>que la distribución espacial de la precipitación a pesar del fenómeno es similar, teniendo como mayor cantidad de lluvia hacia el costado noroccidental en la región montañosa y menor hacia la ciudad de Villavicencio.</w:t>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r>
              <w:rPr>
                <w:b/>
                <w:bCs/>
                <w:i/>
                <w:iCs/>
                <w:color w:val="EE0000"/>
                <w:highlight w:val="green"/>
              </w:rPr>
            </w:r>
            <w:r w:rsidRPr="00807387">
              <w:rPr>
                <w:b/>
                <w:bCs/>
                <w:i/>
                <w:iCs/>
                <w:color w:val="EE0000"/>
                <w:highlight w:val="green"/>
              </w:rPr>
            </w:r>
            <w:r w:rsidR="00A7550B" w:rsidRPr="00A7550B">
              <w:rPr>
                <w:b/>
                <w:bCs/>
                <w:i/>
                <w:iCs/>
                <w:color w:val="EE0000"/>
                <w:highlight w:val="green"/>
              </w:rPr>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En esta Comunicación Nacional también se han hecho proyecciones a nivel departamental sobre estos cambios de temperatura y precipitación, para los tres escenarios futuros, con lo que se puede observar de manera más exacta cual es la estimación de aumento o disminución de estas variables para el departamento del Meta y la ciudad de Villavicencio.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 xml:space="preserve">De acuerdo con la </w:t>
      </w:r>
      <w:r w:rsidRPr="00E13FBC">
        <w:fldChar w:fldCharType="begin"/>
      </w:r>
      <w:r w:rsidRPr="00E13FBC">
        <w:instrText xml:space="preserve"> REF _Ref158801785 \h  \* MERGEFORMAT </w:instrText>
      </w:r>
      <w:r w:rsidRPr="00E13FBC">
        <w:fldChar w:fldCharType="separate"/>
      </w:r>
      <w:r w:rsidR="00EB2B1C" w:rsidRPr="00E13FBC">
        <w:t xml:space="preserve">Ilustración </w:t>
      </w:r>
      <w:r w:rsidR="00EB2B1C">
        <w:rPr>
          <w:noProof/>
        </w:rPr>
        <w:t>4</w:t>
      </w:r>
      <w:r w:rsidR="00EB2B1C">
        <w:rPr>
          <w:noProof/>
        </w:rPr>
        <w:noBreakHyphen/>
        <w:t>17</w:t>
      </w:r>
      <w:r w:rsidRPr="00E13FBC">
        <w:fldChar w:fldCharType="end"/>
      </w:r>
      <w:r w:rsidRPr="00E13FBC">
        <w:t xml:space="preserve">, </w:t>
      </w:r>
      <w:r w:rsidRPr="00EB2B1C">
        <w:rPr>
          <w:color w:val="EE0000"/>
          <w:highlight w:val="yellow"/>
        </w:rPr>
        <w:t>en los próximos años se tendrá una disminución de precipitación del 7.46% y posteriormente de la década del 2040 también disminución del 5.68%, sin embargo, como margen de seguridad para la estimación de caudales en la cuenca de estudio, las magnitudes de los hietogramas de diseño no se afectarán en el volumen resultante de los análisis estadísticos que puede presentarse en la creciente.</w:t>
      </w:r>
    </w:p>
    <w:p w14:paraId="10D57987" w14:textId="694F71EF" w:rsidR="00EB2B1C" w:rsidRPr="00E13FBC" w:rsidRDefault="00EB2B1C" w:rsidP="00EB2B1C">
      <w:pPr>
        <w:pStyle w:val="Descripcin"/>
        <w:keepNext/>
      </w:pPr>
      <w:bookmarkStart w:id="176" w:name="_Toc238403843"/>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13</w:t>
      </w:r>
      <w:r>
        <w:rPr>
          <w:noProof/>
        </w:rPr>
        <w:fldChar w:fldCharType="end"/>
      </w:r>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pPr/>
      <w:r>
        <w:t>La zonificación agrupa las subcuencas en un número reducido de zonas pluviométricas, cada una representada por un único hietograma. Es necesaria porque en HEC-HMS cada hietograma distinto exige su propio pluviómetro: asignar una serie de diseño distinta a cada subcuenca y cada periodo de retorno multiplicaría el número de series hasta un punto que ningún consultor puede mantener ni revisar, mientras que agrupar subcuencas cuya lámina de diseño no difiere más de un umbral declarado reduce esa cantidad a un número manejable sin perder la variación espacial de la lluvia dentro de la cuenca. La lámina de cada zona se calcula como el promedio ponderado por área de las subcuencas que la componen, para que una subcuenca grande no pese lo mismo que una pequeña.</w:t>
      </w:r>
    </w:p>
    <w:p>
      <w:pPr/>
      <w:r>
        <w:t>El paso de la precipitación máxima en 24 horas a la duración de diseño de 3 horas se resuelve con tres hipótesis, calculadas en paralelo y sin que ninguna se adopte por defecto: la primera asigna la lámina completa de 24 horas a la duración de diseño, y es la más conservadora; la segunda integra la curva IDF adoptada sobre esa duración; y la tercera aplica un factor de escala declarado sobre la lámina de 24 horas. Las tres se calculan porque la diferencia entre ellas es la que permite decidir con criterio cuál adoptar, y esa decisión debe quedar registrada.</w:t>
      </w:r>
    </w:p>
    <w:p w14:paraId="286A2543" w14:textId="58530F25" w:rsidR="00983B87" w:rsidRPr="00E13FBC" w:rsidRDefault="00983B87" w:rsidP="00983B87">
      <w:pPr>
        <w:pStyle w:val="Descripcin"/>
        <w:keepNext/>
      </w:pPr>
      <w:bookmarkStart w:id="180" w:name="_Toc238403810"/>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19</w:t>
      </w:r>
      <w:r>
        <w:rPr>
          <w:noProof/>
        </w:rPr>
        <w:fldChar w:fldCharType="end"/>
      </w:r>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lastRenderedPageBreak/>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20</w:t>
      </w:r>
      <w:r>
        <w:rPr>
          <w:noProof/>
        </w:rPr>
        <w:fldChar w:fldCharType="end"/>
      </w:r>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w:t>
      </w:r>
      <w:r>
        <w:t xml:space="preserve">Análisis de </w:t>
      </w:r>
      <w:r>
        <w:t>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5</w:t>
      </w:r>
      <w:r>
        <w:rPr>
          <w:noProof/>
        </w:rPr>
        <w:fldChar w:fldCharType="end"/>
      </w:r>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lastRenderedPageBreak/>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22</w:t>
      </w:r>
      <w:r>
        <w:rPr>
          <w:noProof/>
        </w:rPr>
        <w:fldChar w:fldCharType="end"/>
      </w:r>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w:t>
      </w:r>
      <w:r>
        <w:rPr>
          <w:b/>
          <w:bCs/>
          <w:i/>
          <w:iCs/>
          <w:color w:val="EE0000"/>
          <w:highlight w:val="green"/>
        </w:rPr>
        <w:t>l</w:t>
      </w:r>
      <w:r>
        <w:rPr>
          <w:b/>
          <w:bCs/>
          <w:i/>
          <w:iCs/>
          <w:color w:val="EE0000"/>
          <w:highlight w:val="green"/>
        </w:rPr>
        <w:t xml:space="preserve"> Grafico 4-</w:t>
      </w:r>
      <w:r>
        <w:rPr>
          <w:b/>
          <w:bCs/>
          <w:i/>
          <w:iCs/>
          <w:color w:val="EE0000"/>
          <w:highlight w:val="green"/>
        </w:rPr>
        <w:t>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 xml:space="preserve">A continuación, se presentan tres ejercicios realizados para la construcción de curvas IDF a partir de diferentes metodologías, con el fin de determinar criterios de similitud o </w:t>
      </w:r>
      <w:r w:rsidRPr="00E13FBC">
        <w:lastRenderedPageBreak/>
        <w:t>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w:t>
      </w:r>
      <w:r w:rsidR="005C016D" w:rsidRPr="00AA2E6A">
        <w:rPr>
          <w:color w:val="EE0000"/>
          <w:highlight w:val="yellow"/>
        </w:rPr>
        <w:lastRenderedPageBreak/>
        <w:t>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lastRenderedPageBreak/>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el valor de infiltración básica del suelo (fc), que por ser un parámetro específico obtenido mediante ensayos de campo en distintos puntos de la cuenca resulta difícil de determinar de manera puntual. Se adopta un valor declarado por grupo hidrológico del suelo, según la clasificación del Servicio de Conservación de Suelos (SCS), expresado en milímetros por día. El grupo hidrológico de cada unidad de análisis se obtiene por muestreo del ráster de suelos sobre su área, y el valor de fc que le corresponde queda registrado en la tabla de doctrina del estudio, con su fuente y su condición de validación.</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La tabla anterior ilustra la relación general entre textura del suelo y capacidad de infiltración; los valores que este estudio adopta no provienen de ella, sino de la tabla de doctrina declarada por grupo hidrológico del suelo, expresada en milímetros por día. El grupo hidrológico dominante del área de estudio determina el valor de fc adoptado; cuando la cuenca presenta más de un grupo, la condición actual del cálculo toma uno solo para toda el área, y extenderlo por subcuenca es una decisión pendiente del consultor.</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w:t>
      </w:r>
      <w:r>
        <w:rPr>
          <w:noProof/>
        </w:rPr>
        <w:fldChar w:fldCharType="end"/>
      </w:r>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pPr/>
      <w:r>
        <w:t>El procesamiento de la información de temperatura parte de las estaciones con registros de temperatura máxima y mínima diaria dentro del área de influencia. Con esos datos se calcula la temperatura media mensual de cada estación y se ajusta, por mínimos cuadrados, un gradiente altitudinal propio del estudio, en la forma T = a + b·h, con h la elevación de la estación. El ajuste se reporta con el intervalo de confianza de su pendiente y no solo con el coeficiente de determinación, porque con pocas estaciones y un rango de elevación estrecho el R² puede salir alto sin que la pendiente esté bien determinada, y es la pendiente la que se extrapola sobre las partes altas de la cuenca donde no hay estación. El gradiente se contrasta contra valores de referencia de la región antes de adoptarse.</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5</w:t>
      </w:r>
      <w:r>
        <w:rPr>
          <w:noProof/>
        </w:rPr>
        <w:fldChar w:fldCharType="end"/>
      </w:r>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6</w:t>
      </w:r>
      <w:r>
        <w:rPr>
          <w:noProof/>
        </w:rPr>
        <w:fldChar w:fldCharType="end"/>
      </w:r>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7</w:t>
      </w:r>
      <w:r>
        <w:rPr>
          <w:noProof/>
        </w:rPr>
        <w:fldChar w:fldCharType="end"/>
      </w:r>
      <w:r w:rsidRPr="00E13FBC">
        <w:t xml:space="preserve">. </w:t>
      </w:r>
      <w:r>
        <w:t xml:space="preserve">Gradiente </w:t>
      </w:r>
      <w:r>
        <w:t>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8</w:t>
      </w:r>
      <w:r>
        <w:rPr>
          <w:noProof/>
        </w:rPr>
        <w:fldChar w:fldCharType="end"/>
      </w:r>
      <w:r w:rsidRPr="00E13FBC">
        <w:t xml:space="preserve">. </w:t>
      </w:r>
      <w:r>
        <w:t>Isoterma</w:t>
      </w:r>
      <w:r>
        <w:t xml:space="preserve"> </w:t>
      </w:r>
      <w:r>
        <w:t>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lastRenderedPageBreak/>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10</w:t>
      </w:r>
      <w:r>
        <w:rPr>
          <w:noProof/>
        </w:rPr>
        <w:fldChar w:fldCharType="end"/>
      </w:r>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 xml:space="preserve">La evapotranspiración es la máxima cantidad de agua que puede evaporarse desde el suelo completamente cubierto por vegetación desarrollado en óptimas condiciones y sin limitaciones en la disponibilidad de agua, este proceso es la combinación de dos tipos de </w:t>
      </w:r>
      <w:r w:rsidRPr="00E13FBC">
        <w:lastRenderedPageBreak/>
        <w:t>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t>Para la estación que cuenta con datos de temperatura mensual completados en la totalidad de meses del año se realizó el cálculo de este parámetro a nivel mensual el cual se presenta en el Anexo 4.</w:t>
      </w:r>
    </w:p>
    <w:p w14:paraId="2E97DFD4" w14:textId="76406CBD" w:rsidR="00640E0C" w:rsidRDefault="00B629C7" w:rsidP="00806BEB">
      <w:r w:rsidRPr="00E13FBC">
        <w:t>Adicionalmente se calcula la evapotranspiración potencial anual mediante la ecuación de Cenicafé, que depende únicamente de la elevación y no requiere series de temperatura, y se emplea como estimador regional de contraste. La serie mensual obtenida por Thornthwaite se ajusta a ese nivel anual, de modo que conserva el reparto mensual que solo la temperatura puede aportar y corrige el nivel general, que Thornthwaite tiende a subestimar en climas fríos de montaña.</w:t>
      </w:r>
    </w:p>
    <w:p w14:paraId="18CB505D" w14:textId="5A1C0762" w:rsidR="00A9408A" w:rsidRPr="00E13FBC" w:rsidRDefault="00A9408A" w:rsidP="00A9408A">
      <w:pPr>
        <w:pStyle w:val="Descripcin"/>
        <w:keepNext/>
      </w:pPr>
      <w:bookmarkStart w:id="241" w:name="_Toc238403867"/>
      <w:r w:rsidRPr="00E13FBC">
        <w:t xml:space="preserve">Gráfico </w:t>
      </w:r>
      <w:r>
        <w:fldChar w:fldCharType="begin"/>
      </w:r>
      <w:r>
        <w:instrText xml:space="preserve"> STYLEREF 1 \s </w:instrText>
      </w:r>
      <w:r>
        <w:fldChar w:fldCharType="separate"/>
      </w:r>
      <w:r w:rsidR="00DD6B9B">
        <w:rPr>
          <w:noProof/>
        </w:rPr>
        <w:t>5</w:t>
      </w:r>
      <w:r>
        <w:rPr>
          <w:noProof/>
        </w:rPr>
        <w:fldChar w:fldCharType="end"/>
      </w:r>
      <w:r w:rsidRPr="00E13FBC">
        <w:noBreakHyphen/>
      </w:r>
      <w:r>
        <w:fldChar w:fldCharType="begin"/>
      </w:r>
      <w:r>
        <w:instrText xml:space="preserve"> SEQ Gráfico \* ARABIC \s 1 </w:instrText>
      </w:r>
      <w:r>
        <w:fldChar w:fldCharType="separate"/>
      </w:r>
      <w:r w:rsidR="00DD6B9B">
        <w:rPr>
          <w:noProof/>
        </w:rPr>
        <w:t>11</w:t>
      </w:r>
      <w:r>
        <w:rPr>
          <w:noProof/>
        </w:rPr>
        <w:fldChar w:fldCharType="end"/>
      </w:r>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12</w:t>
      </w:r>
      <w:r>
        <w:rPr>
          <w:noProof/>
        </w:rPr>
        <w:fldChar w:fldCharType="end"/>
      </w:r>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lastRenderedPageBreak/>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w:t>
      </w:r>
      <w:r>
        <w:rPr>
          <w:b/>
          <w:bCs/>
          <w:color w:val="EE0000"/>
          <w:highlight w:val="green"/>
        </w:rPr>
        <w:t>-1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1</w:t>
      </w:r>
      <w:r>
        <w:fldChar w:fldCharType="end"/>
      </w:r>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16F1F1AC" w14:textId="77777777" w:rsidR="005E5EF5" w:rsidRPr="00E13FBC" w:rsidRDefault="005E5EF5" w:rsidP="005E5EF5">
      <w:pPr>
        <w:spacing w:before="0" w:after="0"/>
        <w:ind w:left="1416"/>
      </w:pPr>
      <w:r w:rsidRPr="00E13FBC">
        <w:t>Se calcula también por el método de Dekop, versión simplificada de la misma familia de Budyko, que sirve de contraste: donde ambas formulaciones se separan, esa diferencia mide cuánto depende el resultado de la variante elegida. Budyko es el método adoptado para los resultados del balance; Dekop se presenta como verificación.</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16</w:t>
      </w:r>
      <w:r>
        <w:rPr>
          <w:noProof/>
        </w:rPr>
        <w:fldChar w:fldCharType="end"/>
      </w:r>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6 y conclusiones del método seleccionado</w:t>
      </w:r>
      <w:r w:rsidRPr="00994560">
        <w:rPr>
          <w:b/>
          <w:bCs/>
          <w:color w:val="EE0000"/>
          <w:highlight w:val="green"/>
        </w:rPr>
        <w:t>.</w:t>
      </w:r>
    </w:p>
    <w:p w14:paraId="1AAE95C0" w14:textId="30D6956F" w:rsidR="00420F8D" w:rsidRPr="00E13FBC" w:rsidRDefault="00420F8D" w:rsidP="005E5EF5">
      <w:r w:rsidRPr="00E13FBC">
        <w:lastRenderedPageBreak/>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5-6</w:t>
      </w:r>
      <w:r w:rsidRPr="00994560">
        <w:rPr>
          <w:b/>
          <w:bCs/>
          <w:color w:val="EE0000"/>
          <w:highlight w:val="green"/>
        </w:rPr>
        <w:t>.</w:t>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2</w:t>
      </w:r>
      <w:r>
        <w:fldChar w:fldCharType="end"/>
      </w:r>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pPr/>
      <w:r>
        <w:t>Se presentan a continuación los resultados del balance hídrico a largo plazo, obtenidos de aplicar el método adoptado a la información hidroclimatológica caracterizada en los numerales anteriores.</w:t>
      </w:r>
    </w:p>
    <w:p w14:paraId="30A20143" w14:textId="1C807DA2" w:rsidR="00F93D53" w:rsidRPr="00E13FBC" w:rsidRDefault="00F93D53" w:rsidP="00F93D53">
      <w:pPr>
        <w:pStyle w:val="Descripcin"/>
        <w:keepNext/>
      </w:pPr>
      <w:bookmarkStart w:id="255" w:name="_Toc238403874"/>
      <w:r w:rsidRPr="00E13FBC">
        <w:lastRenderedPageBreak/>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18</w:t>
      </w:r>
      <w:r>
        <w:rPr>
          <w:noProof/>
        </w:rPr>
        <w:fldChar w:fldCharType="end"/>
      </w:r>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19</w:t>
      </w:r>
      <w:r>
        <w:rPr>
          <w:noProof/>
        </w:rPr>
        <w:fldChar w:fldCharType="end"/>
      </w:r>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20</w:t>
      </w:r>
      <w:r>
        <w:rPr>
          <w:noProof/>
        </w:rPr>
        <w:fldChar w:fldCharType="end"/>
      </w:r>
      <w:r w:rsidRPr="00E13FBC">
        <w:t xml:space="preserve">. </w:t>
      </w:r>
      <w:r>
        <w:t xml:space="preserve">Balance por </w:t>
      </w:r>
      <w:r>
        <w:t>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21</w:t>
      </w:r>
      <w:r>
        <w:rPr>
          <w:noProof/>
        </w:rPr>
        <w:fldChar w:fldCharType="end"/>
      </w:r>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3</w:t>
      </w:r>
      <w:r>
        <w:fldChar w:fldCharType="end"/>
      </w:r>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4</w:t>
      </w:r>
      <w:r>
        <w:fldChar w:fldCharType="end"/>
      </w:r>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 xml:space="preserve">De acuerdo con lo anterior se tiene que el caudal </w:t>
      </w:r>
      <w:r w:rsidR="00362BC5" w:rsidRPr="00D65C04">
        <w:rPr>
          <w:color w:val="EE0000"/>
          <w:highlight w:val="yellow"/>
        </w:rPr>
        <w:t>promedio</w:t>
      </w:r>
      <w:r w:rsidRPr="00D65C04">
        <w:rPr>
          <w:color w:val="EE0000"/>
          <w:highlight w:val="yellow"/>
        </w:rPr>
        <w:t xml:space="preserve"> mensual para la Qda. NN es de </w:t>
      </w:r>
      <w:r w:rsidR="00AC5374" w:rsidRPr="00D65C04">
        <w:rPr>
          <w:color w:val="EE0000"/>
          <w:highlight w:val="yellow"/>
        </w:rPr>
        <w:t>71.81</w:t>
      </w:r>
      <w:r w:rsidRPr="00D65C04">
        <w:rPr>
          <w:color w:val="EE0000"/>
          <w:highlight w:val="yellow"/>
        </w:rPr>
        <w:t xml:space="preserve"> l/s.</w:t>
      </w:r>
    </w:p>
    <w:p w14:paraId="45AE0785" w14:textId="77777777" w:rsidR="00A056DD" w:rsidRPr="00E13FBC" w:rsidRDefault="00A056DD" w:rsidP="00A056DD">
      <w:pPr>
        <w:pStyle w:val="Ttulo3"/>
        <w:numPr>
          <w:ilvl w:val="2"/>
          <w:numId w:val="35"/>
        </w:numPr>
      </w:pPr>
      <w:bookmarkStart w:id="265" w:name="_Ref161065877"/>
      <w:bookmarkStart w:id="266" w:name="_Ref161065886"/>
      <w:bookmarkStart w:id="267" w:name="_Toc238403757"/>
      <w:r w:rsidRPr="00E13FBC">
        <w:t>Rendimiento Hídrico</w:t>
      </w:r>
      <w:bookmarkEnd w:id="267"/>
    </w:p>
    <w:p w14:paraId="4063613E" w14:textId="77777777" w:rsidR="00A056DD" w:rsidRDefault="00A056DD" w:rsidP="00A056DD">
      <w:pPr>
        <w:rPr>
          <w:color w:val="EE0000"/>
          <w:highlight w:val="yellow"/>
        </w:rPr>
      </w:pPr>
      <w:r w:rsidRPr="00A056DD">
        <w:rPr>
          <w:color w:val="EE0000"/>
          <w:highlight w:val="yellow"/>
        </w:rPr>
        <w:t xml:space="preserve">De acuerdo con la zonificación hidrográfica definida en el numeral </w:t>
      </w:r>
      <w:r w:rsidRPr="00A056DD">
        <w:rPr>
          <w:color w:val="EE0000"/>
          <w:highlight w:val="yellow"/>
        </w:rPr>
        <w:fldChar w:fldCharType="begin"/>
      </w:r>
      <w:r w:rsidRPr="00A056DD">
        <w:rPr>
          <w:color w:val="EE0000"/>
          <w:highlight w:val="yellow"/>
        </w:rPr>
        <w:instrText xml:space="preserve"> REF _Ref160464202 \r \h  \* MERGEFORMAT </w:instrText>
      </w:r>
      <w:r w:rsidRPr="00A056DD">
        <w:rPr>
          <w:color w:val="EE0000"/>
          <w:highlight w:val="yellow"/>
        </w:rPr>
      </w:r>
      <w:r w:rsidRPr="00A056DD">
        <w:rPr>
          <w:color w:val="EE0000"/>
          <w:highlight w:val="yellow"/>
        </w:rPr>
        <w:fldChar w:fldCharType="separate"/>
      </w:r>
      <w:r w:rsidRPr="00A056DD">
        <w:rPr>
          <w:color w:val="EE0000"/>
          <w:highlight w:val="yellow"/>
        </w:rPr>
        <w:t>3.2</w:t>
      </w:r>
      <w:r w:rsidRPr="00A056DD">
        <w:rPr>
          <w:color w:val="EE0000"/>
          <w:highlight w:val="yellow"/>
        </w:rPr>
        <w:fldChar w:fldCharType="end"/>
      </w:r>
      <w:r w:rsidRPr="00A056DD">
        <w:rPr>
          <w:color w:val="EE0000"/>
          <w:highlight w:val="yellow"/>
        </w:rPr>
        <w:t>, la Quebrada No. 2 se encuentra en la subzona hidrográfica del río Guatiquía. De acuerdo con el Estudio Nacional del Agua desarrollado por el IDEAM en el año 2022, se tiene que la cuenca de este cuerpo de agua definido en esta subzona hidrográfica corresponde a 1847 km</w:t>
      </w:r>
      <w:r w:rsidRPr="00A056DD">
        <w:rPr>
          <w:color w:val="EE0000"/>
          <w:highlight w:val="yellow"/>
          <w:vertAlign w:val="superscript"/>
        </w:rPr>
        <w:t>2</w:t>
      </w:r>
      <w:r w:rsidRPr="00A056DD">
        <w:rPr>
          <w:color w:val="EE0000"/>
          <w:highlight w:val="yellow"/>
        </w:rPr>
        <w:t xml:space="preserve"> y la oferta disponible es de 3122.7 Mm</w:t>
      </w:r>
      <w:r w:rsidRPr="00A056DD">
        <w:rPr>
          <w:color w:val="EE0000"/>
          <w:highlight w:val="yellow"/>
          <w:vertAlign w:val="superscript"/>
        </w:rPr>
        <w:t>3</w:t>
      </w:r>
      <w:r w:rsidRPr="00A056DD">
        <w:rPr>
          <w:color w:val="EE0000"/>
          <w:highlight w:val="yellow"/>
        </w:rPr>
        <w:t xml:space="preserve"> para el año medio y 1032.4 Mm</w:t>
      </w:r>
      <w:r w:rsidRPr="00A056DD">
        <w:rPr>
          <w:color w:val="EE0000"/>
          <w:highlight w:val="yellow"/>
          <w:vertAlign w:val="superscript"/>
        </w:rPr>
        <w:t>3</w:t>
      </w:r>
      <w:r w:rsidRPr="00A056DD">
        <w:rPr>
          <w:color w:val="EE0000"/>
          <w:highlight w:val="yellow"/>
        </w:rPr>
        <w:t xml:space="preserve"> para el año seco, con lo que se obtiene unos rendimientos de 56.61 l/s/km</w:t>
      </w:r>
      <w:r w:rsidRPr="00A056DD">
        <w:rPr>
          <w:color w:val="EE0000"/>
          <w:highlight w:val="yellow"/>
          <w:vertAlign w:val="superscript"/>
        </w:rPr>
        <w:t>2</w:t>
      </w:r>
      <w:r w:rsidRPr="00A056DD">
        <w:rPr>
          <w:color w:val="EE0000"/>
          <w:highlight w:val="yellow"/>
        </w:rPr>
        <w:t xml:space="preserve"> y 17.72 l/s/km</w:t>
      </w:r>
      <w:r w:rsidRPr="00A056DD">
        <w:rPr>
          <w:color w:val="EE0000"/>
          <w:highlight w:val="yellow"/>
          <w:vertAlign w:val="superscript"/>
        </w:rPr>
        <w:t>2</w:t>
      </w:r>
      <w:r w:rsidRPr="00A056DD">
        <w:rPr>
          <w:color w:val="EE0000"/>
          <w:highlight w:val="yellow"/>
        </w:rPr>
        <w:t xml:space="preserve"> respectivamente.</w:t>
      </w:r>
    </w:p>
    <w:p w14:paraId="32D291CF" w14:textId="5979C2C7" w:rsidR="004065E3" w:rsidRPr="00E13FBC" w:rsidRDefault="004065E3" w:rsidP="004065E3">
      <w:pPr>
        <w:pStyle w:val="Descripcin"/>
        <w:keepNext/>
      </w:pPr>
      <w:bookmarkStart w:id="268" w:name="_Toc238403817"/>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5</w:t>
      </w:r>
      <w:r>
        <w:fldChar w:fldCharType="end"/>
      </w:r>
      <w:r w:rsidRPr="00E13FBC">
        <w:t xml:space="preserve">. </w:t>
      </w:r>
      <w:r>
        <w:t xml:space="preserve">Mapa </w:t>
      </w:r>
      <w:r>
        <w:t>Rendimiento Hídrico</w:t>
      </w:r>
      <w:r>
        <w:t xml:space="preserve">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r>
        <w:fldChar w:fldCharType="begin"/>
      </w:r>
      <w:r>
        <w:instrText xml:space="preserve"> STYLEREF 1 \s </w:instrText>
      </w:r>
      <w:r>
        <w:fldChar w:fldCharType="separate"/>
      </w:r>
      <w:r w:rsidR="00D62CEB">
        <w:rPr>
          <w:noProof/>
        </w:rPr>
        <w:t>5</w:t>
      </w:r>
      <w:r>
        <w:rPr>
          <w:noProof/>
        </w:rPr>
        <w:fldChar w:fldCharType="end"/>
      </w:r>
      <w:r w:rsidRPr="00E13FBC">
        <w:noBreakHyphen/>
      </w:r>
      <w:r>
        <w:fldChar w:fldCharType="begin"/>
      </w:r>
      <w:r>
        <w:instrText xml:space="preserve"> SEQ Gráfico \* ARABIC \s 1 </w:instrText>
      </w:r>
      <w:r>
        <w:fldChar w:fldCharType="separate"/>
      </w:r>
      <w:r w:rsidR="00D62CEB">
        <w:rPr>
          <w:noProof/>
        </w:rPr>
        <w:t>23</w:t>
      </w:r>
      <w:r>
        <w:rPr>
          <w:noProof/>
        </w:rPr>
        <w:fldChar w:fldCharType="end"/>
      </w:r>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5"/>
      <w:bookmarkEnd w:id="266"/>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4</w:t>
      </w:r>
      <w:r>
        <w:rPr>
          <w:b/>
          <w:bCs/>
          <w:color w:val="EE0000"/>
          <w:highlight w:val="green"/>
        </w:rPr>
        <w:t xml:space="preserve">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Con los resultados obtenidos del numeral anterior y aplicando las expresiones matemáticas descritas anteriormente,</w:t>
      </w:r>
      <w:r w:rsidR="00D36B78" w:rsidRPr="00735524">
        <w:rPr>
          <w:color w:val="EE0000"/>
          <w:highlight w:val="yellow"/>
        </w:rPr>
        <w:t xml:space="preserve"> en el </w:t>
      </w:r>
      <w:r w:rsidR="00D36B78" w:rsidRPr="00735524">
        <w:rPr>
          <w:color w:val="EE0000"/>
          <w:highlight w:val="yellow"/>
        </w:rPr>
        <w:fldChar w:fldCharType="begin"/>
      </w:r>
      <w:r w:rsidR="00D36B78" w:rsidRPr="00735524">
        <w:rPr>
          <w:color w:val="EE0000"/>
          <w:highlight w:val="yellow"/>
        </w:rPr>
        <w:instrText xml:space="preserve"> REF _Ref160469843 \h </w:instrText>
      </w:r>
      <w:r w:rsidR="00E13FBC" w:rsidRPr="00735524">
        <w:rPr>
          <w:color w:val="EE0000"/>
          <w:highlight w:val="yellow"/>
        </w:rPr>
        <w:instrText xml:space="preserve"> \* MERGEFORMAT </w:instrText>
      </w:r>
      <w:r w:rsidR="00D36B78" w:rsidRPr="00735524">
        <w:rPr>
          <w:color w:val="EE0000"/>
          <w:highlight w:val="yellow"/>
        </w:rPr>
      </w:r>
      <w:r w:rsidR="00D36B78" w:rsidRPr="00735524">
        <w:rPr>
          <w:color w:val="EE0000"/>
          <w:highlight w:val="yellow"/>
        </w:rPr>
        <w:fldChar w:fldCharType="separate"/>
      </w:r>
      <w:r w:rsidR="00735524" w:rsidRPr="00735524">
        <w:rPr>
          <w:color w:val="EE0000"/>
          <w:highlight w:val="yellow"/>
        </w:rPr>
        <w:t xml:space="preserve">Gráfico </w:t>
      </w:r>
      <w:r w:rsidR="00735524" w:rsidRPr="00735524">
        <w:rPr>
          <w:noProof/>
          <w:color w:val="EE0000"/>
          <w:highlight w:val="yellow"/>
        </w:rPr>
        <w:t>5</w:t>
      </w:r>
      <w:r w:rsidR="00735524" w:rsidRPr="00735524">
        <w:rPr>
          <w:noProof/>
          <w:color w:val="EE0000"/>
          <w:highlight w:val="yellow"/>
        </w:rPr>
        <w:noBreakHyphen/>
        <w:t>25</w:t>
      </w:r>
      <w:r w:rsidR="00D36B78" w:rsidRPr="00735524">
        <w:rPr>
          <w:color w:val="EE0000"/>
          <w:highlight w:val="yellow"/>
        </w:rPr>
        <w:fldChar w:fldCharType="end"/>
      </w:r>
      <w:r w:rsidR="00D36B78" w:rsidRPr="00735524">
        <w:rPr>
          <w:color w:val="EE0000"/>
          <w:highlight w:val="yellow"/>
        </w:rPr>
        <w:t xml:space="preserve"> </w:t>
      </w:r>
      <w:r w:rsidR="00E25960" w:rsidRPr="00735524">
        <w:rPr>
          <w:color w:val="EE0000"/>
          <w:highlight w:val="yellow"/>
        </w:rPr>
        <w:t>se presenta el área bajo la curva que da como resultado un IRH de 0.87 para la Quebrada N</w:t>
      </w:r>
      <w:r w:rsidR="00EC6222" w:rsidRPr="00735524">
        <w:rPr>
          <w:color w:val="EE0000"/>
          <w:highlight w:val="yellow"/>
        </w:rPr>
        <w:t>o. 2</w:t>
      </w:r>
      <w:r w:rsidR="00E25960" w:rsidRPr="00735524">
        <w:rPr>
          <w:color w:val="EE0000"/>
          <w:highlight w:val="yellow"/>
        </w:rPr>
        <w:t xml:space="preserve">, lo que las clasifica como </w:t>
      </w:r>
      <w:r w:rsidR="00202CEF" w:rsidRPr="00735524">
        <w:rPr>
          <w:color w:val="EE0000"/>
          <w:highlight w:val="yellow"/>
        </w:rPr>
        <w:t>Muy Alta</w:t>
      </w:r>
      <w:r w:rsidR="00E25960" w:rsidRPr="00735524">
        <w:rPr>
          <w:color w:val="EE0000"/>
          <w:highlight w:val="yellow"/>
        </w:rPr>
        <w:t>.</w:t>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Tomando los resultados de los numerales anteriores, se definen con las dos metodologías seleccionadas el caudal ambiental se tiene que el Q</w:t>
      </w:r>
      <w:r w:rsidRPr="00735524">
        <w:rPr>
          <w:color w:val="EE0000"/>
          <w:highlight w:val="yellow"/>
          <w:vertAlign w:val="subscript"/>
        </w:rPr>
        <w:t>95</w:t>
      </w:r>
      <w:r w:rsidRPr="00735524">
        <w:rPr>
          <w:color w:val="EE0000"/>
          <w:highlight w:val="yellow"/>
        </w:rPr>
        <w:t xml:space="preserve"> es de </w:t>
      </w:r>
      <w:r w:rsidR="00480C19" w:rsidRPr="00735524">
        <w:rPr>
          <w:color w:val="EE0000"/>
          <w:highlight w:val="yellow"/>
        </w:rPr>
        <w:t>9.71 l/s y el Q</w:t>
      </w:r>
      <w:r w:rsidR="00480C19" w:rsidRPr="00735524">
        <w:rPr>
          <w:color w:val="EE0000"/>
          <w:highlight w:val="yellow"/>
          <w:vertAlign w:val="subscript"/>
        </w:rPr>
        <w:t>IRH</w:t>
      </w:r>
      <w:r w:rsidR="00480C19" w:rsidRPr="00735524">
        <w:rPr>
          <w:color w:val="EE0000"/>
          <w:highlight w:val="yellow"/>
        </w:rPr>
        <w:t xml:space="preserve"> es de 23.04 l/s</w:t>
      </w:r>
      <w:r w:rsidR="00E96B0B" w:rsidRPr="00735524">
        <w:rPr>
          <w:color w:val="EE0000"/>
          <w:highlight w:val="yellow"/>
        </w:rPr>
        <w:t>. En el Anexo 4 dentro de la memoria de cálculo de análisis hidrológico de la microcuenca se encuentra el cálculo del caudal ambiental.</w:t>
      </w:r>
      <w:r w:rsidR="00735524">
        <w:rPr>
          <w:color w:val="EE0000"/>
        </w:rPr>
        <w:t xml:space="preserve"> </w:t>
      </w:r>
      <w:r w:rsidR="00735524" w:rsidRPr="00735524">
        <w:rPr>
          <w:b/>
          <w:bCs/>
          <w:color w:val="EE0000"/>
          <w:highlight w:val="green"/>
        </w:rPr>
        <w:t>Revisar este párrafo</w:t>
      </w:r>
      <w:r w:rsidR="00735524">
        <w:rPr>
          <w:b/>
          <w:bCs/>
          <w:color w:val="EE0000"/>
          <w:highlight w:val="green"/>
        </w:rPr>
        <w:t xml:space="preserve"> para ampliar su análisis respecto al gráfico</w:t>
      </w:r>
      <w:r w:rsidR="00735524" w:rsidRPr="00735524">
        <w:rPr>
          <w:b/>
          <w:bCs/>
          <w:color w:val="EE0000"/>
          <w:highlight w:val="green"/>
        </w:rPr>
        <w:t>.</w:t>
      </w:r>
    </w:p>
    <w:p w14:paraId="5C9589D6" w14:textId="7831A3AF" w:rsidR="00735524" w:rsidRPr="00E13FBC" w:rsidRDefault="00735524" w:rsidP="00735524">
      <w:pPr>
        <w:pStyle w:val="Descripcin"/>
        <w:keepNext/>
      </w:pPr>
      <w:bookmarkStart w:id="280" w:name="_Toc23840388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25</w:t>
      </w:r>
      <w:r>
        <w:rPr>
          <w:noProof/>
        </w:rPr>
        <w:fldChar w:fldCharType="end"/>
      </w:r>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extLst>
                        <a:ext uri="{BEBA8EAE-BF5A-486C-A8C5-ECC9F3942E4B}">
                          <a14:imgProps xmlns:a14="http://schemas.microsoft.com/office/drawing/2010/main">
                            <a14:imgLayer r:embed="rId29">
                              <a14:imgEffect>
                                <a14:sharpenSoften amount="25000"/>
                              </a14:imgEffect>
                            </a14:imgLayer>
                          </a14:imgProps>
                        </a:ext>
                      </a:extLst>
                    </a:blip>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30"/>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27</w:t>
      </w:r>
      <w:r>
        <w:rPr>
          <w:noProof/>
        </w:rPr>
        <w:fldChar w:fldCharType="end"/>
      </w:r>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10</w:t>
      </w:r>
      <w:r>
        <w:rPr>
          <w:noProof/>
        </w:rPr>
        <w:fldChar w:fldCharType="end"/>
      </w:r>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 xml:space="preserve">Analizar </w:t>
      </w:r>
      <w:r w:rsidRPr="00BC7168">
        <w:rPr>
          <w:b/>
          <w:bCs/>
          <w:color w:val="EE0000"/>
          <w:highlight w:val="green"/>
        </w:rPr>
        <w:t>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1"/>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Se calculan aquí dos: el método de Muskingum, desarrollado por McCarthy en conexión con estudios de propagación del río Muskingum, en Ohio, Estados Unidos, que hace uso de la ecuación de continuidad con parámetros K y X constantes; y el método de Muskingum-Cunge, que resuelve la misma ecuación pero deriva K y X de la hidráulica del tramo en cada subtramo y cada paso de tiempo, sin necesidad de calibrarlos contra hidrogramas observados. El método adoptado para los resultados del modelo es Muskingum-Cunge; Muskingum se presenta como parametrización alterna, de parámetros constantes.</w:t>
      </w:r>
    </w:p>
    <w:p w14:paraId="444E3500" w14:textId="67E6F807" w:rsidR="00640FA9" w:rsidRPr="00E13FBC" w:rsidRDefault="00022F19" w:rsidP="001A54D5">
      <w:r w:rsidRPr="00E13FBC">
        <w:t>El parámetro K puede tomarse como el tiempo que le toma a la onda recorrer la longitud total del tramo en estudio. X es una constante entre 0 y 0,5 que refleja cuánto atenúa el tramo la onda de creciente: valores cercanos a 0,5 la trasladan casi sin atenuarla y valores cercanos a 0 la asimilan al comportamiento de un embalse de nivel horizontal. En ausencia de hidrogramas observados con que calibrarlos, K y X se obtienen aquí por linealización de Cunge en un caudal de referencia, a partir de la geometría, la pendiente y la resistencia hidráulica del tramo.</w:t>
      </w:r>
      <w:r w:rsidR="00DB5798" w:rsidRPr="00E13FBC"/>
    </w:p>
    <w:p w14:paraId="413DBF84" w14:textId="71273923" w:rsidR="00DB5798" w:rsidRPr="00E13FBC" w:rsidRDefault="00650EE5" w:rsidP="001A54D5">
      <w:r w:rsidRPr="00E13FBC">
        <w:lastRenderedPageBreak/>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w:t>
      </w:r>
      <w:r>
        <w:rPr>
          <w:b/>
          <w:bCs/>
          <w:i/>
          <w:iCs/>
          <w:color w:val="EE0000"/>
          <w:highlight w:val="green"/>
        </w:rPr>
        <w:t>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lastRenderedPageBreak/>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2"/>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pPr/>
      <w:r>
        <w:t>La calibración de un modelo lluvia-escorrentía consiste en ajustar, dentro de su rango físicamente justificado, los parámetros que el modelo no puede medir directamente (el número de curva, los parámetros del tránsito de Muskingum-Cunge y el tiempo de rezago) hasta que el hidrograma simulado reproduzca el hidrograma observado en un punto de control. La comparación se hace con métricas objetivas, como el coeficiente de Nash-Sutcliffe, el error cuadrático medio y el sesgo porcentual (PBIAS), y no solo por inspección visual. La calibración exige series de caudal observadas en el punto de control o cerca de él; sin series limnigráficas o limnimétricas utilizables, el modelo se deja sin calibrar y los parámetros quedan en los valores que la caracterización morfométrica y la doctrina adoptada determinan, lo que debe declararse explícitamente en el informe.</w:t>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lastRenderedPageBreak/>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3"/>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4"/>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5"/>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6"/>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lastRenderedPageBreak/>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63996936" w14:textId="5A59E125" w:rsidR="007A4F4D" w:rsidRPr="00E13FBC" w:rsidRDefault="007A4F4D" w:rsidP="007A4F4D">
      <w:pPr>
        <w:pStyle w:val="Descripcin"/>
        <w:keepNext/>
      </w:pPr>
      <w:bookmarkStart w:id="318" w:name="_Ref160533957"/>
      <w:bookmarkStart w:id="319" w:name="_Toc238403884"/>
      <w:r w:rsidRPr="00E13FBC">
        <w:t xml:space="preserve">Gráfico </w:t>
      </w:r>
      <w:fldSimple w:instr=" STYLEREF 1 \s ">
        <w:r w:rsidR="00AD3BA2">
          <w:rPr>
            <w:noProof/>
          </w:rPr>
          <w:t>5</w:t>
        </w:r>
      </w:fldSimple>
      <w:r w:rsidR="00DA3DEF" w:rsidRPr="00E13FBC">
        <w:noBreakHyphen/>
      </w:r>
      <w:fldSimple w:instr=" SEQ Gráfico \* ARABIC \s 1 ">
        <w:r w:rsidR="00AD3BA2">
          <w:rPr>
            <w:noProof/>
          </w:rPr>
          <w:t>28</w:t>
        </w:r>
      </w:fldSimple>
      <w:bookmarkEnd w:id="318"/>
      <w:r w:rsidRPr="00E13FBC">
        <w:t>. Qmax Vs. Periodo de Retorno</w:t>
      </w:r>
      <w:bookmarkEnd w:id="319"/>
    </w:p>
    <w:p w14:paraId="79726954" w14:textId="262155F6" w:rsidR="00AD3BA2" w:rsidRPr="00506394" w:rsidRDefault="00AD3BA2" w:rsidP="00AD3BA2">
      <w:pPr>
        <w:pStyle w:val="Sinespaciado"/>
        <w:rPr>
          <w:b/>
          <w:bCs/>
          <w:i/>
          <w:iCs/>
          <w:color w:val="EE0000"/>
        </w:rPr>
      </w:pPr>
      <w:r w:rsidRPr="00AD3BA2">
        <w:rPr>
          <w:b/>
          <w:bCs/>
          <w:i/>
          <w:iCs/>
          <w:color w:val="EE0000"/>
          <w:highlight w:val="green"/>
        </w:rPr>
        <w:t>Colocar Figura: M14_qmax_vs_periodo.png</w:t>
      </w:r>
    </w:p>
    <w:p w14:paraId="3BC5D36C" w14:textId="77777777" w:rsidR="007A4F4D" w:rsidRDefault="007A4F4D" w:rsidP="007A4F4D">
      <w:pPr>
        <w:pStyle w:val="Fuente"/>
      </w:pPr>
      <w:r w:rsidRPr="00E13FBC">
        <w:t>Fuente: INCOHISA, 2024.</w:t>
      </w:r>
    </w:p>
    <w:p w14:paraId="17C6564B" w14:textId="77777777"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76789EB2" w:rsidR="007811DA" w:rsidRPr="00E13FBC" w:rsidRDefault="007811DA" w:rsidP="007811DA">
      <w:pPr>
        <w:pStyle w:val="Descripcin"/>
        <w:keepNext/>
      </w:pPr>
      <w:bookmarkStart w:id="320" w:name="_Ref160534028"/>
      <w:bookmarkStart w:id="321"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20"/>
      <w:r w:rsidRPr="00E13FBC">
        <w:t>. Qmax Vs. Periodo de Retorno</w:t>
      </w:r>
      <w:bookmarkEnd w:id="321"/>
    </w:p>
    <w:tbl>
      <w:tblPr>
        <w:tblW w:w="4355" w:type="pct"/>
        <w:jc w:val="center"/>
        <w:tblCellMar>
          <w:left w:w="70" w:type="dxa"/>
          <w:right w:w="70" w:type="dxa"/>
        </w:tblCellMar>
        <w:tblLook w:val="04A0" w:firstRow="1" w:lastRow="0" w:firstColumn="1" w:lastColumn="0" w:noHBand="0" w:noVBand="1"/>
      </w:tblPr>
      <w:tblGrid>
        <w:gridCol w:w="1097"/>
        <w:gridCol w:w="1098"/>
        <w:gridCol w:w="1098"/>
        <w:gridCol w:w="1098"/>
        <w:gridCol w:w="1098"/>
        <w:gridCol w:w="1100"/>
        <w:gridCol w:w="1100"/>
      </w:tblGrid>
      <w:tr w:rsidR="00AD3BA2" w:rsidRPr="00AD3BA2" w14:paraId="70BFECCA" w14:textId="77777777" w:rsidTr="00AD3BA2">
        <w:trPr>
          <w:trHeight w:val="20"/>
          <w:jc w:val="center"/>
        </w:trPr>
        <w:tc>
          <w:tcPr>
            <w:tcW w:w="5000" w:type="pct"/>
            <w:gridSpan w:val="7"/>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714"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714"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714"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714"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71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717"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r>
      <w:tr w:rsidR="00AD3BA2" w:rsidRPr="00AD3BA2" w14:paraId="4E90F041"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7"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r>
    </w:tbl>
    <w:p w14:paraId="408ADC43" w14:textId="77777777" w:rsidR="007811DA" w:rsidRPr="00E13FBC" w:rsidRDefault="007811DA" w:rsidP="007811DA">
      <w:pPr>
        <w:pStyle w:val="Fuente"/>
      </w:pPr>
      <w:r w:rsidRPr="00E13FBC">
        <w:t>Fuente: INCOHISA, 2024.</w:t>
      </w:r>
    </w:p>
    <w:p w14:paraId="6B5C7429" w14:textId="26928BF9" w:rsidR="004B6044" w:rsidRPr="00E13FBC" w:rsidRDefault="004B6044" w:rsidP="004B6044">
      <w:pPr>
        <w:pStyle w:val="Descripcin"/>
        <w:keepNext/>
      </w:pPr>
      <w:bookmarkStart w:id="322" w:name="_Ref160533866"/>
      <w:bookmarkStart w:id="323"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2"/>
      <w:r w:rsidRPr="00E13FBC">
        <w:t>. Hidrograma de Creciente Sitio de Proyecto</w:t>
      </w:r>
      <w:bookmarkEnd w:id="323"/>
    </w:p>
    <w:p w14:paraId="359E850E" w14:textId="425BECEB" w:rsidR="00AD3BA2" w:rsidRPr="00506394" w:rsidRDefault="00AD3BA2" w:rsidP="00AD3BA2">
      <w:pPr>
        <w:pStyle w:val="Sinespaciado"/>
        <w:rPr>
          <w:b/>
          <w:bCs/>
          <w:i/>
          <w:iCs/>
          <w:color w:val="EE0000"/>
        </w:rPr>
      </w:pPr>
      <w:r w:rsidRPr="00AD3BA2">
        <w:rPr>
          <w:b/>
          <w:bCs/>
          <w:i/>
          <w:iCs/>
          <w:color w:val="EE0000"/>
          <w:highlight w:val="green"/>
        </w:rPr>
        <w:t>Colocar Figura: M14_hidrograma_Sink-1.png</w:t>
      </w:r>
    </w:p>
    <w:p w14:paraId="73D07B35" w14:textId="77777777" w:rsidR="00A45D1E" w:rsidRPr="00E13FBC" w:rsidRDefault="00A45D1E" w:rsidP="00A45D1E">
      <w:pPr>
        <w:pStyle w:val="Fuente"/>
      </w:pPr>
      <w:r w:rsidRPr="00E13FBC">
        <w:t>Fuente: INCOHISA, 2024.</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Se delimitó y caracterizó la cuenca para la Quebrada No. 2 desde su nacimiento hasta el sitio de proyecto, en una extensión de 1.30 km</w:t>
      </w:r>
      <w:r w:rsidRPr="007C6D4C">
        <w:rPr>
          <w:color w:val="EE0000"/>
          <w:highlight w:val="yellow"/>
          <w:vertAlign w:val="superscript"/>
        </w:rPr>
        <w:t>2</w:t>
      </w:r>
      <w:r w:rsidRPr="007C6D4C">
        <w:rPr>
          <w:color w:val="EE0000"/>
          <w:highlight w:val="yellow"/>
        </w:rPr>
        <w:t xml:space="preserve"> considerándose como una microcuenca.</w:t>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Al no tener registros de caudales o niveles sobre la corriente de estudio se realizó el balance hidrológico por la metodología de largo plazo de Budyko obteniendo un caudal medio multianual de 69.69 l/s.</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El caudal ambiental se estimó en 23.04 l/s.</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 xml:space="preserve">Se realizó el </w:t>
      </w:r>
      <w:r w:rsidR="002A2BA2" w:rsidRPr="007C6D4C">
        <w:rPr>
          <w:color w:val="EE0000"/>
          <w:highlight w:val="yellow"/>
        </w:rPr>
        <w:t>análisis de crecientes</w:t>
      </w:r>
      <w:r w:rsidRPr="007C6D4C">
        <w:rPr>
          <w:color w:val="EE0000"/>
          <w:highlight w:val="yellow"/>
        </w:rPr>
        <w:t xml:space="preserve"> para la Quebrada No. 2 que se encuentra en el área de influencia del proyecto Rosa Blanca, con</w:t>
      </w:r>
      <w:r w:rsidR="002A2BA2" w:rsidRPr="007C6D4C">
        <w:rPr>
          <w:color w:val="EE0000"/>
          <w:highlight w:val="yellow"/>
        </w:rPr>
        <w:t xml:space="preserve"> caudales de crecientes entre 2.33 y 100 años de periodo de retorno en el rango de 23.92 m</w:t>
      </w:r>
      <w:r w:rsidR="002A2BA2" w:rsidRPr="007C6D4C">
        <w:rPr>
          <w:color w:val="EE0000"/>
          <w:highlight w:val="yellow"/>
          <w:vertAlign w:val="superscript"/>
        </w:rPr>
        <w:t>3</w:t>
      </w:r>
      <w:r w:rsidR="002A2BA2" w:rsidRPr="007C6D4C">
        <w:rPr>
          <w:color w:val="EE0000"/>
          <w:highlight w:val="yellow"/>
        </w:rPr>
        <w:t>/s a 39.77 m</w:t>
      </w:r>
      <w:r w:rsidR="002A2BA2" w:rsidRPr="007C6D4C">
        <w:rPr>
          <w:color w:val="EE0000"/>
          <w:highlight w:val="yellow"/>
          <w:vertAlign w:val="superscript"/>
        </w:rPr>
        <w:t>3</w:t>
      </w:r>
      <w:r w:rsidR="002A2BA2" w:rsidRPr="007C6D4C">
        <w:rPr>
          <w:color w:val="EE0000"/>
          <w:highlight w:val="yellow"/>
        </w:rPr>
        <w:t>/s</w:t>
      </w:r>
      <w:r w:rsidR="00A417FC" w:rsidRPr="007C6D4C">
        <w:rPr>
          <w:color w:val="EE0000"/>
          <w:highlight w:val="yellow"/>
        </w:rPr>
        <w:t>.</w:t>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7"/>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9A7F2" w14:textId="77777777" w:rsidR="00F258AE" w:rsidRDefault="00F258AE" w:rsidP="00475C15">
      <w:pPr>
        <w:spacing w:before="0" w:after="0"/>
      </w:pPr>
      <w:r>
        <w:separator/>
      </w:r>
    </w:p>
  </w:endnote>
  <w:endnote w:type="continuationSeparator" w:id="0">
    <w:p w14:paraId="392383CA" w14:textId="77777777" w:rsidR="00F258AE" w:rsidRDefault="00F258AE"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732C9" w14:textId="77777777" w:rsidR="00F258AE" w:rsidRDefault="00F258AE" w:rsidP="00475C15">
      <w:pPr>
        <w:spacing w:before="0" w:after="0"/>
      </w:pPr>
      <w:r>
        <w:separator/>
      </w:r>
    </w:p>
  </w:footnote>
  <w:footnote w:type="continuationSeparator" w:id="0">
    <w:p w14:paraId="3EB9BC05" w14:textId="77777777" w:rsidR="00F258AE" w:rsidRDefault="00F258AE"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microsoft.com/office/2011/relationships/people" Target="people.xml"/><Relationship Id="rId21" Type="http://schemas.openxmlformats.org/officeDocument/2006/relationships/image" Target="media/image6.png"/><Relationship Id="rId34" Type="http://schemas.openxmlformats.org/officeDocument/2006/relationships/image" Target="media/image18.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77</Pages>
  <Words>21957</Words>
  <Characters>118349</Characters>
  <Application>Microsoft Office Word</Application>
  <DocSecurity>0</DocSecurity>
  <Lines>6228</Lines>
  <Paragraphs>5196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4</cp:revision>
  <cp:lastPrinted>2024-06-13T21:31:00Z</cp:lastPrinted>
  <dcterms:created xsi:type="dcterms:W3CDTF">2026-08-23T23:54:00Z</dcterms:created>
  <dcterms:modified xsi:type="dcterms:W3CDTF">2026-08-23T23:55:00Z</dcterms:modified>
</cp:coreProperties>
</file>