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Escribir la localización del proyecto: municipio, sector y coordenadas del sitio de descarga.</w:t>
      </w:r>
      <w:r w:rsidR="00E553D3" w:rsidRPr="003A2108">
        <w:rPr>
          <w:color w:val="EE0000"/>
          <w:highlight w:val="yellow"/>
        </w:rPr>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Escribir el resultado de la consulta a la autoridad ambiental competente de la jurisdicción del proyecto.</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Describir la información topográfica y estructural recibida del contratante, o declarar que no se recibió.</w:t>
      </w:r>
      <w:r w:rsidR="00C118AD" w:rsidRPr="005E2097">
        <w:rPr>
          <w:highlight w:val="cyan"/>
        </w:rPr>
      </w:r>
      <w:r w:rsidR="00406B96" w:rsidRPr="005E2097">
        <w:rPr>
          <w:highlight w:val="cyan"/>
        </w:rPr>
      </w:r>
      <w:r w:rsidR="00406B96" w:rsidRPr="00E13FBC"/>
      <w:commentRangeEnd w:id="27"/>
      <w:r w:rsidR="005E2097">
        <w:rPr>
          <w:rStyle w:val="Refdecomentario"/>
          <w:sz w:val="22"/>
          <w:szCs w:val="22"/>
        </w:rPr>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Escribir la ubicación del cuerpo de agua en la zonificación hidrográfica del IDEAM, con su área, zona y subzona.</w:t>
      </w:r>
      <w:r w:rsidR="006747DC" w:rsidRPr="00E13FBC"/>
      <w:r w:rsidR="006747DC" w:rsidRPr="0082542F">
        <w:rPr>
          <w:color w:val="EE0000"/>
          <w:highlight w:val="yellow"/>
        </w:rPr>
      </w:r>
      <w:r w:rsidR="006747DC" w:rsidRPr="0082542F">
        <w:rPr>
          <w:color w:val="EE0000"/>
          <w:highlight w:val="yellow"/>
        </w:rPr>
      </w:r>
      <w:r w:rsidR="006747DC" w:rsidRPr="0082542F">
        <w:rPr>
          <w:color w:val="EE0000"/>
          <w:highlight w:val="yellow"/>
        </w:rPr>
      </w:r>
      <w:r w:rsidR="00E13FBC" w:rsidRPr="0082542F">
        <w:rPr>
          <w:color w:val="EE0000"/>
          <w:highlight w:val="yellow"/>
        </w:rPr>
      </w:r>
      <w:r w:rsidR="006747DC" w:rsidRPr="0082542F">
        <w:rPr>
          <w:color w:val="EE0000"/>
          <w:highlight w:val="yellow"/>
        </w:rPr>
      </w:r>
      <w:r w:rsidR="006747DC" w:rsidRPr="0082542F">
        <w:rPr>
          <w:color w:val="EE0000"/>
          <w:highlight w:val="yellow"/>
        </w:rPr>
      </w:r>
      <w:r w:rsidR="001D23B0" w:rsidRPr="0082542F">
        <w:rPr>
          <w:color w:val="EE0000"/>
          <w:highlight w:val="yellow"/>
        </w:rPr>
      </w:r>
      <w:r w:rsidR="001D23B0" w:rsidRPr="0082542F">
        <w:rPr>
          <w:noProof/>
          <w:color w:val="EE0000"/>
          <w:highlight w:val="yellow"/>
        </w:rPr>
      </w:r>
      <w:r w:rsidR="001D23B0" w:rsidRPr="0082542F">
        <w:rPr>
          <w:noProof/>
          <w:color w:val="EE0000"/>
          <w:highlight w:val="yellow"/>
        </w:rPr>
      </w:r>
      <w:r w:rsidR="006747DC" w:rsidRPr="0082542F">
        <w:rPr>
          <w:color w:val="EE0000"/>
          <w:highlight w:val="yellow"/>
        </w:rPr>
      </w:r>
      <w:r w:rsidR="006747DC" w:rsidRPr="0082542F">
        <w:rPr>
          <w:color w:val="EE0000"/>
          <w:highlight w:val="yellow"/>
        </w:rPr>
      </w:r>
      <w:r w:rsidR="00EC6222" w:rsidRPr="0082542F">
        <w:rPr>
          <w:color w:val="EE0000"/>
          <w:highlight w:val="yellow"/>
        </w:rPr>
      </w:r>
      <w:r w:rsidR="006747DC" w:rsidRPr="0082542F">
        <w:rPr>
          <w:color w:val="EE0000"/>
          <w:highlight w:val="yellow"/>
        </w:rPr>
      </w:r>
      <w:r w:rsidR="001A63F3" w:rsidRPr="0082542F">
        <w:rPr>
          <w:color w:val="EE0000"/>
          <w:highlight w:val="yellow"/>
        </w:rPr>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Contraste de Pendientes por Método</w:t>
      </w:r>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Pendiente Media según Resolución del DEM</w:t>
      </w:r>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w:r>
        <w:t>tc = 0,4623 · L^0,5 · S^-0,25</w:t>
      </w:r>
    </w:p>
    <w:p w14:paraId="0AB066C9" w14:textId="77777777" w:rsidR="00FC6AD0" w:rsidRPr="00E13FBC" w:rsidRDefault="00000000" w:rsidP="00D00CA2">
      <w:pPr>
        <w:spacing w:line="276" w:lineRule="auto"/>
        <w:rPr>
          <w:rFonts w:eastAsiaTheme="minorEastAsia"/>
        </w:rPr>
      </w:pPr>
      <w:r>
        <w:t>Donde:</w:t>
      </w:r>
      <w:r>
        <w:tab/>
      </w:r>
      <w:r>
        <w:tab/>
        <w:t>tc = Tiempo de concentración (hr).</w:t>
      </w:r>
    </w:p>
    <w:p w14:paraId="069F4690" w14:textId="77777777" w:rsidR="00FC6AD0" w:rsidRPr="00E13FBC" w:rsidRDefault="00000000" w:rsidP="00D00CA2">
      <w:pPr>
        <w:spacing w:line="276" w:lineRule="auto"/>
        <w:rPr>
          <w:rFonts w:eastAsiaTheme="minorEastAsia"/>
        </w:rPr>
      </w:pPr>
      <w:r>
        <w:t>L = Longitud del cauce principal (km).</w:t>
      </w:r>
    </w:p>
    <w:p w14:paraId="39B31C09" w14:textId="77777777" w:rsidR="00FC6AD0" w:rsidRPr="00E13FBC" w:rsidRDefault="00000000" w:rsidP="00D00CA2">
      <w:pPr>
        <w:spacing w:line="276" w:lineRule="auto"/>
        <w:rPr>
          <w:rFonts w:eastAsiaTheme="minorEastAsia"/>
        </w:rPr>
      </w:pPr>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w:r>
        <w:t>tc = 0,335 · (A / √S)^0,593</w:t>
      </w:r>
    </w:p>
    <w:p w14:paraId="4A698F10" w14:textId="77777777" w:rsidR="00FC6AD0" w:rsidRPr="00E13FBC" w:rsidRDefault="00000000" w:rsidP="00D00CA2">
      <w:pPr>
        <w:spacing w:line="276" w:lineRule="auto"/>
        <w:rPr>
          <w:rFonts w:eastAsiaTheme="minorEastAsia"/>
        </w:rPr>
      </w:pPr>
      <w:r>
        <w:t>Donde:</w:t>
      </w:r>
      <w:r>
        <w:tab/>
      </w:r>
      <w:r>
        <w:tab/>
        <w:t>tc = Tiempo de concentración (hr).</w:t>
      </w:r>
    </w:p>
    <w:p w14:paraId="65ADA10D" w14:textId="77777777" w:rsidR="00FC6AD0" w:rsidRPr="00E13FBC" w:rsidRDefault="00000000" w:rsidP="00D00CA2">
      <w:pPr>
        <w:spacing w:line="276" w:lineRule="auto"/>
        <w:rPr>
          <w:rFonts w:eastAsiaTheme="minorEastAsia"/>
        </w:rPr>
      </w:pPr>
      <w:r>
        <w:t>A = Área de la cuenca (km²).</w:t>
      </w:r>
    </w:p>
    <w:p w14:paraId="7F89875F" w14:textId="77777777" w:rsidR="00FC6AD0" w:rsidRPr="00E13FBC" w:rsidRDefault="00000000" w:rsidP="00D00CA2">
      <w:pPr>
        <w:spacing w:line="276" w:lineRule="auto"/>
        <w:rPr>
          <w:rFonts w:eastAsiaTheme="minorEastAsia"/>
        </w:rPr>
      </w:pPr>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w:r>
        <w:t>tc = 0,76 · A^0,38</w:t>
      </w:r>
    </w:p>
    <w:p w14:paraId="13A4C6B4" w14:textId="77777777" w:rsidR="00FC6AD0" w:rsidRPr="00E13FBC" w:rsidRDefault="00000000" w:rsidP="00D00CA2">
      <w:pPr>
        <w:spacing w:line="276" w:lineRule="auto"/>
        <w:rPr>
          <w:rFonts w:eastAsiaTheme="minorEastAsia"/>
        </w:rPr>
      </w:pPr>
      <w:r>
        <w:t>Donde:</w:t>
      </w:r>
      <w:r>
        <w:tab/>
      </w:r>
      <w:r>
        <w:tab/>
        <w:t>tc = Tiempo de concentración (hr).</w:t>
      </w:r>
    </w:p>
    <w:p w14:paraId="40C3CDEC" w14:textId="77777777" w:rsidR="00FC6AD0" w:rsidRPr="00E13FBC" w:rsidRDefault="00000000" w:rsidP="00D00CA2">
      <w:pPr>
        <w:spacing w:line="276" w:lineRule="auto"/>
        <w:rPr>
          <w:rFonts w:eastAsiaTheme="minorEastAsia"/>
        </w:rPr>
      </w:pPr>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w:r>
        <w:t>tc = 1,7694 · A^0,325 · L^-0,096 · S^-0,290</w:t>
      </w:r>
    </w:p>
    <w:p w14:paraId="31211252" w14:textId="77777777" w:rsidR="00FC6AD0" w:rsidRPr="00E13FBC" w:rsidRDefault="00000000" w:rsidP="00D00CA2">
      <w:pPr>
        <w:spacing w:line="276" w:lineRule="auto"/>
        <w:rPr>
          <w:rFonts w:eastAsiaTheme="minorEastAsia"/>
        </w:rPr>
      </w:pPr>
      <w:r>
        <w:t>Donde:</w:t>
      </w:r>
      <w:r>
        <w:tab/>
      </w:r>
      <w:r>
        <w:tab/>
        <w:t>tc = Tiempo de concentración (hr).</w:t>
      </w:r>
    </w:p>
    <w:p w14:paraId="004CCF3F" w14:textId="77777777" w:rsidR="00FC6AD0" w:rsidRPr="00E13FBC" w:rsidRDefault="00000000" w:rsidP="00D00CA2">
      <w:pPr>
        <w:spacing w:line="276" w:lineRule="auto"/>
        <w:rPr>
          <w:rFonts w:eastAsiaTheme="minorEastAsia"/>
        </w:rPr>
      </w:pPr>
      <w:r>
        <w:t>A = Área de la cuenca (km²).</w:t>
      </w:r>
    </w:p>
    <w:p w14:paraId="627AD594" w14:textId="77777777" w:rsidR="00FC6AD0" w:rsidRPr="00E13FBC" w:rsidRDefault="00000000" w:rsidP="00D00CA2">
      <w:pPr>
        <w:spacing w:line="276" w:lineRule="auto"/>
        <w:rPr>
          <w:rFonts w:eastAsiaTheme="minorEastAsia"/>
        </w:rPr>
      </w:pPr>
      <w:r>
        <w:t>L = Longitud del cauce principal (km).</w:t>
      </w:r>
    </w:p>
    <w:p w14:paraId="01A1A206" w14:textId="77777777" w:rsidR="00FC6AD0" w:rsidRPr="00E13FBC" w:rsidRDefault="00000000" w:rsidP="00D00CA2">
      <w:pPr>
        <w:spacing w:line="276" w:lineRule="auto"/>
        <w:rPr>
          <w:rFonts w:eastAsiaTheme="minorEastAsia"/>
        </w:rPr>
      </w:pPr>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w:r>
        <w:t>tc = tlag / 0,6,  con  tlag = (L^0,8 · (Sr + 1)^0,7) / (1900 · Y^0,5)</w:t>
      </w:r>
    </w:p>
    <w:p w14:paraId="68ACBA1D" w14:textId="77777777" w:rsidR="00FC6AD0" w:rsidRPr="00E13FBC" w:rsidRDefault="00000000" w:rsidP="00D00CA2">
      <w:pPr>
        <w:spacing w:line="276" w:lineRule="auto"/>
        <w:rPr>
          <w:rFonts w:eastAsiaTheme="minorEastAsia"/>
        </w:rPr>
      </w:pPr>
      <w:r>
        <w:t>Donde:</w:t>
      </w:r>
      <w:r>
        <w:tab/>
      </w:r>
      <w:r>
        <w:tab/>
        <w:t>tc = Tiempo de concentración (hr).</w:t>
      </w:r>
    </w:p>
    <w:p w14:paraId="78864C92" w14:textId="77777777" w:rsidR="00FC6AD0" w:rsidRPr="00E13FBC" w:rsidRDefault="00000000" w:rsidP="00D00CA2">
      <w:pPr>
        <w:spacing w:line="276" w:lineRule="auto"/>
        <w:rPr>
          <w:rFonts w:eastAsiaTheme="minorEastAsia"/>
        </w:rPr>
      </w:pPr>
      <w:r>
        <w:t>tlag = Tiempo de retardo (hr).</w:t>
      </w:r>
    </w:p>
    <w:p w14:paraId="558A4D6F" w14:textId="77777777" w:rsidR="00FC6AD0" w:rsidRPr="00E13FBC" w:rsidRDefault="00000000" w:rsidP="00D00CA2">
      <w:pPr>
        <w:spacing w:line="276" w:lineRule="auto"/>
        <w:rPr>
          <w:rFonts w:eastAsiaTheme="minorEastAsia"/>
        </w:rPr>
      </w:pPr>
      <w:r>
        <w:t>L = Longitud del cauce principal (pies).</w:t>
      </w:r>
    </w:p>
    <w:p w14:paraId="1F06CFD1" w14:textId="77777777" w:rsidR="00FC6AD0" w:rsidRPr="00E13FBC" w:rsidRDefault="00000000" w:rsidP="00D00CA2">
      <w:pPr>
        <w:spacing w:line="276" w:lineRule="auto"/>
        <w:rPr>
          <w:rFonts w:eastAsiaTheme="minorEastAsia"/>
        </w:rPr>
      </w:pPr>
      <w:r>
        <w:t>Sr = Retención potencial máxima, Sr = 1000/CN - 10 (pulgadas).</w:t>
      </w:r>
    </w:p>
    <w:p w14:paraId="1BD88A9D" w14:textId="77777777" w:rsidR="00FC6AD0" w:rsidRPr="00E13FBC" w:rsidRDefault="00000000" w:rsidP="00D00CA2">
      <w:pPr>
        <w:spacing w:line="276" w:lineRule="auto"/>
        <w:rPr>
          <w:rFonts w:eastAsiaTheme="minorEastAsia"/>
        </w:rPr>
      </w:pPr>
      <w:r>
        <w:t>CN = Número de curva de escorrentía, adimensional.</w:t>
      </w:r>
    </w:p>
    <w:p w14:paraId="3926BED0" w14:textId="77777777" w:rsidR="00FC6AD0" w:rsidRPr="00E13FBC" w:rsidRDefault="00000000" w:rsidP="00D00CA2">
      <w:pPr>
        <w:spacing w:line="276" w:lineRule="auto"/>
        <w:rPr>
          <w:rFonts w:eastAsiaTheme="minorEastAsia"/>
        </w:rPr>
      </w:pPr>
      <w:r>
        <w:t>Y = Pendiente media de la cuenca (%).</w:t>
      </w:r>
    </w:p>
    <w:p w14:paraId="3556642B" w14:textId="77777777" w:rsidR="00FC6AD0" w:rsidRPr="00E13FBC" w:rsidRDefault="00000000" w:rsidP="00D00CA2">
      <w:pPr>
        <w:spacing w:line="276" w:lineRule="auto"/>
        <w:rPr>
          <w:rFonts w:eastAsiaTheme="minorEastAsia"/>
        </w:rPr>
      </w:pPr>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Distribución Altimétrica de la Cuenca</w:t>
      </w:r>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t>Escribir cuáles estaciones tienen las peores correlaciones y se descartan.</w:t>
      </w:r>
      <w:r w:rsidR="009B6611" w:rsidRPr="005E41D2">
        <w:rPr>
          <w:color w:val="EE0000"/>
          <w:highlight w:val="yellow"/>
        </w:rPr>
      </w:r>
      <w:r w:rsidR="001D4303" w:rsidRPr="005E41D2">
        <w:rPr>
          <w:color w:val="EE0000"/>
          <w:highlight w:val="yellow"/>
        </w:rPr>
      </w:r>
      <w:r w:rsidR="006B3E8A" w:rsidRPr="005E41D2">
        <w:rPr>
          <w:color w:val="EE0000"/>
          <w:highlight w:val="yellow"/>
        </w:rPr>
      </w:r>
      <w:r w:rsidR="009B6611" w:rsidRPr="005E41D2">
        <w:rPr>
          <w:color w:val="EE0000"/>
          <w:highlight w:val="yellow"/>
        </w:rPr>
      </w:r>
      <w:r w:rsidRPr="005E41D2">
        <w:rPr>
          <w:color w:val="EE0000"/>
          <w:highlight w:val="yellow"/>
        </w:rPr>
      </w:r>
      <w:r w:rsidR="006B3E8A" w:rsidRPr="005E41D2">
        <w:rPr>
          <w:color w:val="EE0000"/>
          <w:highlight w:val="yellow"/>
        </w:rPr>
      </w:r>
      <w:r w:rsidR="00347773" w:rsidRPr="005E41D2">
        <w:rPr>
          <w:color w:val="EE0000"/>
          <w:highlight w:val="yellow"/>
        </w:rPr>
      </w:r>
      <w:r w:rsidRPr="005E41D2">
        <w:rPr>
          <w:color w:val="EE0000"/>
          <w:highlight w:val="yellow"/>
        </w:rPr>
      </w:r>
      <w:r w:rsidR="00347773" w:rsidRPr="005E41D2">
        <w:rPr>
          <w:color w:val="EE0000"/>
          <w:highlight w:val="yellow"/>
        </w:rPr>
      </w:r>
      <w:r w:rsidRPr="005E41D2">
        <w:rPr>
          <w:color w:val="EE0000"/>
          <w:highlight w:val="yellow"/>
        </w:rPr>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Escribir la conclusión sobre las estaciones excluidas y su motivo.</w:t>
      </w:r>
      <w:r w:rsidR="00E35384" w:rsidRPr="00E13FBC"/>
      <w:r w:rsidRPr="00E13FBC"/>
      <w:r w:rsidR="004B3F46" w:rsidRPr="00E13FBC"/>
      <w:r w:rsidRPr="00E13FBC"/>
      <w:r w:rsidR="004B3F46" w:rsidRPr="00E13FBC"/>
      <w:r w:rsidRPr="00E13FBC"/>
      <w:r w:rsidR="004B3F46" w:rsidRPr="00E13FBC"/>
      <w:r w:rsidRPr="00E13FBC"/>
      <w:r w:rsidR="00812BD1" w:rsidRPr="00E13FBC"/>
      <w:r w:rsidRPr="00E13FBC"/>
      <w:r w:rsidR="00812BD1" w:rsidRPr="00E13FBC"/>
      <w:r w:rsidRPr="00E13FBC"/>
      <w:r w:rsidR="00812BD1" w:rsidRPr="00E13FBC"/>
      <w:r w:rsidRPr="00E13FBC"/>
      <w:r w:rsidR="007E317A" w:rsidRPr="00E13FBC"/>
      <w:r w:rsidR="00812BD1" w:rsidRPr="00E13FBC"/>
      <w:r w:rsidRPr="00E13FBC"/>
      <w:r w:rsidR="007E317A" w:rsidRPr="00E13FBC"/>
      <w:r w:rsidR="00812BD1" w:rsidRPr="00E13FBC"/>
      <w:r w:rsidR="007E317A" w:rsidRPr="00E13FBC"/>
      <w:r w:rsidR="003A4FB9" w:rsidRPr="00E13FBC"/>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Analizar la distribución espacial de la precipitación por fase ENSO de la Ilustración 4-5 a la 4-8.</w:t>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00F24BB1" w:rsidRPr="00807387">
        <w:rPr>
          <w:color w:val="EE0000"/>
          <w:highlight w:val="yellow"/>
        </w:rPr>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Escribir las proyecciones departamentales de cambio de temperatura y precipitación aplicables al proyecto.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Escribir el sentido del cambio proyectado y si el factor se aplica al hietograma.</w:t>
      </w:r>
      <w:r w:rsidRPr="00E13FBC"/>
      <w:r w:rsidRPr="00E13FBC"/>
      <w:r w:rsidRPr="00E13FBC"/>
      <w:r w:rsidR="00EB2B1C" w:rsidRPr="00E13FBC"/>
      <w:r w:rsidR="00EB2B1C">
        <w:rPr>
          <w:noProof/>
        </w:rPr>
      </w:r>
      <w:r w:rsidR="00EB2B1C">
        <w:rPr>
          <w:noProof/>
        </w:rPr>
      </w:r>
      <w:r w:rsidRPr="00E13FBC"/>
      <w:r w:rsidRPr="00E13FBC"/>
      <w:r w:rsidRPr="00EB2B1C">
        <w:rPr>
          <w:color w:val="EE0000"/>
          <w:highlight w:val="yellow"/>
        </w:rPr>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Factores de Cambio Climático</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M11_zonas.png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Precipitación Media Anual por Subcuenca</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Temperatura Media por Subcuenca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Serie Mensual de Temperatura de la Cuenca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EVTR contra Precipitación por Subcuenca</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Comparación de Formulaciones de EVTR</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Analizar Gráfico 5-17.</w:t>
      </w:r>
      <w:r>
        <w:rPr>
          <w:b/>
          <w:bCs/>
          <w:color w:val="EE0000"/>
          <w:highlight w:val="green"/>
        </w:rPr>
      </w:r>
      <w:r w:rsidRPr="00994560">
        <w:rPr>
          <w:b/>
          <w:bCs/>
          <w:color w:val="EE0000"/>
          <w:highlight w:val="green"/>
        </w:rPr>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Mapa EVTR Subcuencas</w:t>
      </w:r>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Escribir el caudal promedio mensual obtenido para la corriente de estudio.</w:t>
      </w:r>
      <w:r w:rsidR="00362BC5" w:rsidRPr="00D65C04">
        <w:rPr>
          <w:color w:val="EE0000"/>
          <w:highlight w:val="yellow"/>
        </w:rPr>
      </w:r>
      <w:r w:rsidRPr="00D65C04">
        <w:rPr>
          <w:color w:val="EE0000"/>
          <w:highlight w:val="yellow"/>
        </w:rPr>
      </w:r>
      <w:r w:rsidR="00AC5374" w:rsidRPr="00D65C04">
        <w:rPr>
          <w:color w:val="EE0000"/>
          <w:highlight w:val="yellow"/>
        </w:rPr>
      </w:r>
      <w:r w:rsidRPr="00D65C04">
        <w:rPr>
          <w:color w:val="EE0000"/>
          <w:highlight w:val="yellow"/>
        </w:rPr>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Escribir la oferta hídrica de la subzona según el Estudio Nacional del Agua, con su área y sus rendimientos.</w:t>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Escribir el índice de retención y regulación hídrica obtenido y su clasificación.</w:t>
      </w:r>
      <w:r w:rsidR="00D36B78" w:rsidRPr="00735524">
        <w:rPr>
          <w:color w:val="EE0000"/>
          <w:highlight w:val="yellow"/>
        </w:rPr>
      </w:r>
      <w:r w:rsidR="00D36B78" w:rsidRPr="00735524">
        <w:rPr>
          <w:color w:val="EE0000"/>
          <w:highlight w:val="yellow"/>
        </w:rPr>
      </w:r>
      <w:r w:rsidR="00D36B78" w:rsidRPr="00735524">
        <w:rPr>
          <w:color w:val="EE0000"/>
          <w:highlight w:val="yellow"/>
        </w:rPr>
      </w:r>
      <w:r w:rsidR="00E13FBC" w:rsidRPr="00735524">
        <w:rPr>
          <w:color w:val="EE0000"/>
          <w:highlight w:val="yellow"/>
        </w:rPr>
      </w:r>
      <w:r w:rsidR="00D36B78" w:rsidRPr="00735524">
        <w:rPr>
          <w:color w:val="EE0000"/>
          <w:highlight w:val="yellow"/>
        </w:rPr>
      </w:r>
      <w:r w:rsidR="00D36B78" w:rsidRPr="00735524">
        <w:rPr>
          <w:color w:val="EE0000"/>
          <w:highlight w:val="yellow"/>
        </w:rPr>
      </w:r>
      <w:r w:rsidR="00735524" w:rsidRPr="00735524">
        <w:rPr>
          <w:color w:val="EE0000"/>
          <w:highlight w:val="yellow"/>
        </w:rPr>
      </w:r>
      <w:r w:rsidR="00735524" w:rsidRPr="00735524">
        <w:rPr>
          <w:noProof/>
          <w:color w:val="EE0000"/>
          <w:highlight w:val="yellow"/>
        </w:rPr>
      </w:r>
      <w:r w:rsidR="00735524" w:rsidRPr="00735524">
        <w:rPr>
          <w:noProof/>
          <w:color w:val="EE0000"/>
          <w:highlight w:val="yellow"/>
        </w:rPr>
      </w:r>
      <w:r w:rsidR="00D36B78" w:rsidRPr="00735524">
        <w:rPr>
          <w:color w:val="EE0000"/>
          <w:highlight w:val="yellow"/>
        </w:rPr>
      </w:r>
      <w:r w:rsidR="00D36B78" w:rsidRPr="00735524">
        <w:rPr>
          <w:color w:val="EE0000"/>
          <w:highlight w:val="yellow"/>
        </w:rPr>
      </w:r>
      <w:r w:rsidR="00E25960" w:rsidRPr="00735524">
        <w:rPr>
          <w:color w:val="EE0000"/>
          <w:highlight w:val="yellow"/>
        </w:rPr>
      </w:r>
      <w:r w:rsidR="00EC6222" w:rsidRPr="00735524">
        <w:rPr>
          <w:color w:val="EE0000"/>
          <w:highlight w:val="yellow"/>
        </w:rPr>
      </w:r>
      <w:r w:rsidR="00E25960" w:rsidRPr="00735524">
        <w:rPr>
          <w:color w:val="EE0000"/>
          <w:highlight w:val="yellow"/>
        </w:rPr>
      </w:r>
      <w:r w:rsidR="00202CEF" w:rsidRPr="00735524">
        <w:rPr>
          <w:color w:val="EE0000"/>
          <w:highlight w:val="yellow"/>
        </w:rPr>
      </w:r>
      <w:r w:rsidR="00E25960" w:rsidRPr="00735524">
        <w:rPr>
          <w:color w:val="EE0000"/>
          <w:highlight w:val="yellow"/>
        </w:rPr>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Escribir el caudal ambiental por las dos metodologías y el adoptado.</w:t>
      </w:r>
      <w:r w:rsidRPr="00735524">
        <w:rPr>
          <w:color w:val="EE0000"/>
          <w:highlight w:val="yellow"/>
          <w:vertAlign w:val="subscript"/>
        </w:rPr>
      </w:r>
      <w:r w:rsidRPr="00735524">
        <w:rPr>
          <w:color w:val="EE0000"/>
          <w:highlight w:val="yellow"/>
        </w:rPr>
      </w:r>
      <w:r w:rsidR="00480C19" w:rsidRPr="00735524">
        <w:rPr>
          <w:color w:val="EE0000"/>
          <w:highlight w:val="yellow"/>
        </w:rPr>
      </w:r>
      <w:r w:rsidR="00480C19" w:rsidRPr="00735524">
        <w:rPr>
          <w:color w:val="EE0000"/>
          <w:highlight w:val="yellow"/>
          <w:vertAlign w:val="subscript"/>
        </w:rPr>
      </w:r>
      <w:r w:rsidR="00480C19" w:rsidRPr="00735524">
        <w:rPr>
          <w:color w:val="EE0000"/>
          <w:highlight w:val="yellow"/>
        </w:rPr>
      </w:r>
      <w:r w:rsidR="00E96B0B" w:rsidRPr="00735524">
        <w:rPr>
          <w:color w:val="EE0000"/>
          <w:highlight w:val="yellow"/>
        </w:rPr>
      </w:r>
      <w:r w:rsidR="00735524">
        <w:rPr>
          <w:color w:val="EE0000"/>
        </w:rPr>
      </w:r>
      <w:r w:rsidR="00735524" w:rsidRPr="00735524">
        <w:rPr>
          <w:b/>
          <w:bCs/>
          <w:color w:val="EE0000"/>
          <w:highlight w:val="green"/>
        </w:rPr>
      </w:r>
      <w:r w:rsidR="00735524">
        <w:rPr>
          <w:b/>
          <w:bCs/>
          <w:color w:val="EE0000"/>
          <w:highlight w:val="green"/>
        </w:rPr>
      </w:r>
      <w:r w:rsidR="00735524" w:rsidRPr="00735524">
        <w:rPr>
          <w:b/>
          <w:bCs/>
          <w:color w:val="EE0000"/>
          <w:highlight w:val="green"/>
        </w:rPr>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M10_mapa_rezago.png</w:t>
      </w:r>
      <w:r>
        <w:rPr>
          <w:b/>
          <w:bCs/>
          <w:i/>
          <w:iCs/>
          <w:color w:val="EE0000"/>
          <w:highlight w:val="green"/>
        </w:rPr>
      </w:r>
      <w:r w:rsidRPr="00506394">
        <w:rPr>
          <w:b/>
          <w:bCs/>
          <w:i/>
          <w:iCs/>
          <w:color w:val="EE0000"/>
          <w:highlight w:val="green"/>
        </w:rPr>
      </w:r>
      <w:r>
        <w:rPr>
          <w:b/>
          <w:bCs/>
          <w:i/>
          <w:iCs/>
          <w:color w:val="EE0000"/>
          <w:highlight w:val="green"/>
        </w:rPr>
      </w:r>
      <w:r w:rsidRPr="00506394">
        <w:rPr>
          <w:b/>
          <w:bCs/>
          <w:i/>
          <w:iCs/>
          <w:color w:val="EE0000"/>
          <w:highlight w:val="green"/>
        </w:rPr>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por tramo; y el método de Muskingum-Cunge, que resuelve la misma ecuación pero deriva K y X de la hidráulica del tramo, a partir de su geometría, su pendiente y su resistencia. El método adoptado para los resultados del modelo es el de Muskingum, con K y X declarados por clase de pendiente del tramo; Muskingum-Cunge se calcula en paralelo y sus parámetros se reportan como contraste, de modo que la tabla de tránsito permite comparar el valor declarado con el que resultaría de la linealización.</w:t>
      </w:r>
    </w:p>
    <w:p w14:paraId="444E3500" w14:textId="67E6F807" w:rsidR="00640FA9" w:rsidRPr="00E13FBC" w:rsidRDefault="00022F19" w:rsidP="001A54D5">
      <w:r w:rsidRPr="00E13FBC">
        <w:t>El parámetro K puede tomarse como el tiempo que le toma a la onda recorrer la longitud total del tramo en estudio, y se obtiene aquí como el cociente entre su longitud y una celeridad de onda asignada según la clase de pendiente del tramo. X es una constante entre 0 y 0,5 que refleja cuánto atenúa el tramo la onda de creciente: valores cercanos a 0,5 la trasladan casi sin atenuarla y valores cercanos a 0 la asimilan al comportamiento de un embalse de nivel horizontal; también se asigna por clase de pendiente. La linealización de Cunge se calcula igualmente y su valor de X se reporta al lado del adoptado. Sobre la geometría disponible esa linealización arroja valores de X próximos a 0,5, es decir, traslación prácticamente sin atenuación, lo que superpone en el punto de entrega los picos de los tributarios; en ausencia de hidrogramas observados con que dirimirlo, se adoptan parámetros declarados y el contraste queda documentado.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La calibración de un modelo lluvia-escorrentía consiste en ajustar, dentro de su rango físicamente justificado, los parámetros que el modelo no puede medir directamente (el número de curva, los parámetros del tránsito de crecientes y el tiempo de rezago) hasta que el hidrograma simulado reproduzca el hidrograma observado en un punto de 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r/>
    </w:p>
    <w:p>
      <w:pPr/>
      <w:r>
        <w:t>En este estudio no se realizó una calibración del modelo. Sobre la corriente de interés no existen series de caudal medidas en el sitio de proyecto, de modo que no hay un hidrograma observado contra el cual ajustar los parámetros. Lo que sí es posible, y es lo que se presenta a continuación, es una VERIFICACIÓN: contrastar los caudales que el modelo produce contra los caudales observados en las estaciones limnimétricas disponibles dentro de la cuenca, sin modificar ningún parámetro para acercarse a ellos. La distinción no es de matiz. Si los parámetros se hubieran ajustado para reproducir estas cifras, la coincidencia posterior dejaría de ser evidencia de que el modelo es adecuado y pasaría a ser el resultado de haberla buscado.</w:t>
      </w:r>
    </w:p>
    <w:p>
      <w:pPr/>
      <w:r>
        <w:t>El contraste se hace sobre el caudal máximo instantáneo de cada periodo de retorno, y el dato disponible es el máximo de los caudales MEDIOS DIARIOS registrados. Como el pico instantáneo de un día siempre es mayor o igual que la media de ese día, el valor observado constituye una COTA INFERIOR del pico real. De ahí que la prueba sea de un solo lado: un caudal modelado por debajo de esa cota es demasiado bajo con certeza, mientras que uno por encima no queda demostrado correcto, únicamente no refutado. Sobre cada serie se ajusta además una distribución de frecuencia y se acompaña la banda de confianza correspondiente, que expresa hasta qué punto el número de años de registro permite afirmar algo sobre el periodo de retorno contrastado. Los periodos cuyo caudal sería una extrapolación de la distribución, y no una observación, no se verifican: contrastarlos compararía dos extrapolaciones.</w:t>
      </w:r>
    </w:p>
    <w:p>
      <w:pPr/>
      <w:r>
        <w:t>Las estaciones con menos años de registro de los que se exigen para verificar se contrastan como INDICATIVAS. Aportan cobertura sobre ramas de la cuenca que de otro modo quedarían sin ningún contraste, pero no cuentan para el veredicto ni sostienen por sí solas un cambio de parámetro: con pocos años, el ajuste de frecuencia lo decide un único año extremo. La condición de cada pareja se indica en la tabla.</w:t>
      </w:r>
    </w:p>
    <w:p>
      <w:pPr/>
      <w:r>
        <w:t>El resultado del contraste debe leerse teniendo en cuenta la REGULACIÓN AGUAS ARRIBA de las estaciones disponibles. Ambas registran una corriente que recibe la operación de un embalse situado aguas arriba de ellas, de modo que su serie de caudales medios diarios no representa la respuesta natural de la cuenca a la lluvia: incorpora las descargas de fondo, los vertimientos y las captaciones, que responden a criterios de operación y no a la creciente. En la estación de registro largo el caudal observado supera de forma sistemática al modelado en todos los periodos contrastados, lo que es coherente con una serie que contabiliza aportes que el modelo de creciente no simula, y no permite concluir que el modelo subestime la respuesta de la cuenca. En sentido contrario, tampoco puede tomarse como confirmación un contraste favorable sobre una serie regulada. Por esta razón la verificación se declara como acotamiento y no como validación, y no se ajustó ningún parámetro a partir de ella.</w:t>
      </w:r>
    </w:p>
    <w:p>
      <w:pPr/>
      <w:r>
        <w:t>Cuando un estudio no dispone de ninguna estación de caudal utilizable, la verificación externa no es posible y se recurre a comprobaciones de consistencia interna del propio modelo: que el caudal crezca de forma monótona con el periodo de retorno, que escale con el área de drenaje entre puntos anidados dentro del rango habitual en crecientes, y que el tiempo al pico guarde relación con el tiempo de concentración calculado. Estas comprobaciones acotan el resultado, pero no demuestran que el caudal sea correcto, y esa limitación debe declararse.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5-12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Verificación de crecientes contra caudal observado</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980"/>
        <w:gridCol w:w="980"/>
        <w:gridCol w:w="980"/>
        <w:gridCol w:w="980"/>
        <w:gridCol w:w="980"/>
        <w:gridCol w:w="980"/>
        <w:gridCol w:w="980"/>
        <w:gridCol w:w="980"/>
        <w:gridCol w:w="980"/>
      </w:tblGrid>
      <w:tr w:rsidR="005112B7" w:rsidRPr="00F110CF" w14:paraId="78DA2F3A" w14:textId="77777777" w:rsidTr="00531F48">
        <w:trPr>
          <w:trHeight w:val="20"/>
        </w:trPr>
        <w:tc>
          <w:tcPr>
            <w:tcW w:w="555"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Estación</w:t>
            </w:r>
          </w:p>
        </w:tc>
        <w:tc>
          <w:tcPr>
            <w:tcW w:w="555"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Años</w:t>
            </w:r>
          </w:p>
        </w:tc>
        <w:tc>
          <w:tcPr>
            <w:tcW w:w="555"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Contraste</w:t>
            </w:r>
          </w:p>
        </w:tc>
        <w:tc>
          <w:tcPr>
            <w:tcW w:w="555"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 (años)</w:t>
            </w:r>
          </w:p>
        </w:tc>
        <w:tc>
          <w:tcPr>
            <w:tcW w:w="555"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inferior del pico (m³/s)</w:t>
            </w:r>
          </w:p>
        </w:tc>
        <w:tc>
          <w:tcPr>
            <w:tcW w:w="555"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inferior (m³/s)</w:t>
            </w:r>
          </w:p>
        </w:tc>
        <w:tc>
          <w:tcPr>
            <w:tcW w:w="55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superior (m³/s)</w:t>
            </w:r>
          </w:p>
        </w:tc>
        <w:tc>
          <w:tcPr>
            <w:tcW w:w="555"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Pico modelado (m³/s)</w:t>
            </w:r>
          </w:p>
        </w:tc>
        <w:tc>
          <w:tcPr>
            <w:tcW w:w="555"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Holgura (%)</w:t>
            </w:r>
          </w:p>
        </w:tc>
      </w:tr>
      <w:tr w:rsidR="005112B7" w:rsidRPr="00F110CF" w14:paraId="5C7515D7" w14:textId="77777777" w:rsidTr="00EE524F">
        <w:trPr>
          <w:trHeight w:val="20"/>
        </w:trPr>
        <w:tc>
          <w:tcPr>
            <w:tcW w:w="555"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555"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Verificación de crecientes en la estación de mayor registro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M14c_verificacion_J24.png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Contraste indicativo en la estación de registro corto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M14c_verificacion_J29.png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Media móvil de 24 horas del hidrograma modelado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M14c_media_movil_24h.png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AD3BA2" w:rsidRPr="00AD3BA2" w14:paraId="70BFECCA" w14:textId="77777777" w:rsidTr="00AD3BA2">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AD3BA2" w:rsidRPr="00AD3BA2" w14:paraId="4E90F041"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3D4C63" w:rsidRPr="00AD3BA2" w14:paraId="6C74569B" w14:textId="77777777" w:rsidTr="003A19F0">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3D4C63" w:rsidRPr="00AD3BA2" w14:paraId="55D28DC3"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sobre la delimitación y caracterización de la cuenca, con su extensión.</w:t>
      </w:r>
      <w:r w:rsidRPr="007C6D4C">
        <w:rPr>
          <w:color w:val="EE0000"/>
          <w:highlight w:val="yellow"/>
          <w:vertAlign w:val="superscript"/>
        </w:rPr>
      </w:r>
      <w:r w:rsidRPr="007C6D4C">
        <w:rPr>
          <w:color w:val="EE0000"/>
          <w:highlight w:val="yellow"/>
        </w:rPr>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del balance hidrológico, con el caudal medio obtenido.</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Escribir la conclusión del caudal ambiental estimado.</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Escribir la conclusión sobre el análisis de crecientes, con el rango de caudales por periodo de retorno.</w:t>
      </w:r>
      <w:r w:rsidR="002A2BA2" w:rsidRPr="007C6D4C">
        <w:rPr>
          <w:color w:val="EE0000"/>
          <w:highlight w:val="yellow"/>
        </w:rPr>
      </w:r>
      <w:r w:rsidRPr="007C6D4C">
        <w:rPr>
          <w:color w:val="EE0000"/>
          <w:highlight w:val="yellow"/>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A417FC" w:rsidRPr="007C6D4C">
        <w:rPr>
          <w:color w:val="EE0000"/>
          <w:highlight w:val="yellow"/>
        </w:rPr>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