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30DD5" w14:textId="77777777" w:rsidR="004A7579" w:rsidRPr="004A7579" w:rsidRDefault="004A7579" w:rsidP="004A7579">
      <w:pPr>
        <w:rPr>
          <w:b/>
          <w:bCs/>
          <w:i/>
          <w:iCs/>
          <w:color w:val="000000" w:themeColor="text1"/>
          <w:highlight w:val="magenta"/>
        </w:rPr>
      </w:pPr>
      <w:r w:rsidRPr="004A7579">
        <w:rPr>
          <w:b/>
          <w:bCs/>
          <w:i/>
          <w:iCs/>
          <w:color w:val="000000" w:themeColor="text1"/>
          <w:highlight w:val="magenta"/>
        </w:rPr>
        <w:t>Describir de manera general de donde se ha tomado la información del tipo de suelo hidrológico.</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09C4EAA0" w14:textId="5B8E71B6" w:rsidR="003B1625" w:rsidRPr="00E13FBC" w:rsidRDefault="00FC6AD0" w:rsidP="00FC6AD0">
      <w:pPr>
        <w:pStyle w:val="Prrafodelista"/>
        <w:numPr>
          <w:ilvl w:val="0"/>
          <w:numId w:val="27"/>
        </w:numPr>
      </w:pPr>
      <w:r w:rsidRPr="00E13FBC">
        <w:t>Fórmula de Johnstone y Cross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0,4623 · L^0,5 · S^-0,25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Clark</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0,335 · (A / √S)^0,593</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Pilgrim y McDermott</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0,76 · A^0,38</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09C4EAA0" w14:textId="5B8E71B6" w:rsidR="003B1625" w:rsidRPr="00E13FBC" w:rsidRDefault="00FC6AD0" w:rsidP="00FC6AD0">
      <w:pPr>
        <w:pStyle w:val="Prrafodelista"/>
        <w:numPr>
          <w:ilvl w:val="0"/>
          <w:numId w:val="27"/>
        </w:numPr>
      </w:pPr>
      <w:r w:rsidRPr="00E13FBC">
        <w:t>Fórmula de Valencia y Zuluaga</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1,7694 · A^0,325 · L^-0,096 · S^-0,290</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retardo del SCS (NRCS Lag)</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tlag / 0,6,  con  tlag = (L^0,8 · (Sr + 1)^0,7) / (1900 · Y^0,5)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tlag = Tiempo de retardo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(pies).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Sr = Retención potencial máxima, Sr = 1000/CN - 10 (pulgadas).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CN = Número de curva de escorrentía, adimensional.</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Y = Pendiente media de la cuenca (%).</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Es la única de la matriz que necesita el número de curva, y por eso es la coherente con el método de transformación del SCS adoptado en el modelo. Está definida para cuencas menores de 800 ha.</w:t>
      </w:r>
    </w:p>
    <w:tbl>
      <w:tblPr>
        <w:tblStyle w:val="Tablaconcuadrcula1clara"/>
        <w:tblW w:type="auto" w:w="0"/>
        <w:tblLook w:firstColumn="1" w:firstRow="1" w:lastColumn="0" w:lastRow="0" w:noHBand="0" w:noVBand="1" w:val="04A0"/>
      </w:tblPr>
      <w:tblGrid>
        <w:gridCol w:w="2946"/>
        <w:gridCol w:w="2946"/>
        <w:gridCol w:w="2946"/>
      </w:tblGrid>
      <w:tr>
        <w:tc>
          <w:tcPr>
            <w:tcW w:type="dxa" w:w="2946"/>
          </w:tcPr>
          <w:p>
            <w:r>
              <w:t>Autor</w:t>
            </w:r>
          </w:p>
        </w:tc>
        <w:tc>
          <w:tcPr>
            <w:tcW w:type="dxa" w:w="2946"/>
          </w:tcPr>
          <w:p>
            <w:r>
              <w:t>Rango de área aplicable (km²)</w:t>
            </w:r>
          </w:p>
        </w:tc>
        <w:tc>
          <w:tcPr>
            <w:tcW w:type="dxa" w:w="2946"/>
          </w:tcPr>
          <w:p>
            <w:r>
              <w:t>Tipo de cuenca</w:t>
            </w:r>
          </w:p>
        </w:tc>
      </w:tr>
      <w:tr>
        <w:tc>
          <w:tcPr>
            <w:tcW w:type="dxa" w:w="2946"/>
          </w:tcPr>
          <w:p>
            <w:r>
              <w:t>Kirpich (1940)</w:t>
            </w:r>
          </w:p>
        </w:tc>
        <w:tc>
          <w:tcPr>
            <w:tcW w:type="dxa" w:w="2946"/>
          </w:tcPr>
          <w:p>
            <w:r>
              <w:t>0.004 a 0.45</w:t>
            </w:r>
          </w:p>
        </w:tc>
        <w:tc>
          <w:tcPr>
            <w:tcW w:type="dxa" w:w="2946"/>
          </w:tcPr>
          <w:p>
            <w:r>
              <w:t>Rural</w:t>
            </w:r>
          </w:p>
        </w:tc>
      </w:tr>
      <w:tr>
        <w:tc>
          <w:tcPr>
            <w:tcW w:type="dxa" w:w="2946"/>
          </w:tcPr>
          <w:p>
            <w:r>
              <w:t>California Culverts Practice (SCS-Ranser)</w:t>
            </w:r>
          </w:p>
        </w:tc>
        <w:tc>
          <w:tcPr>
            <w:tcW w:type="dxa" w:w="2946"/>
          </w:tcPr>
          <w:p>
            <w:r>
              <w:t>0.004 a 45.0</w:t>
            </w:r>
          </w:p>
        </w:tc>
        <w:tc>
          <w:tcPr>
            <w:tcW w:type="dxa" w:w="2946"/>
          </w:tcPr>
          <w:p>
            <w:r>
              <w:t>Montanosa</w:t>
            </w:r>
          </w:p>
        </w:tc>
      </w:tr>
      <w:tr>
        <w:tc>
          <w:tcPr>
            <w:tcW w:type="dxa" w:w="2946"/>
          </w:tcPr>
          <w:p>
            <w:r>
              <w:t>Temez (1978)</w:t>
            </w:r>
          </w:p>
        </w:tc>
        <w:tc>
          <w:tcPr>
            <w:tcW w:type="dxa" w:w="2946"/>
          </w:tcPr>
          <w:p>
            <w:r>
              <w:t>1.0 a 3000.0</w:t>
            </w:r>
          </w:p>
        </w:tc>
        <w:tc>
          <w:tcPr>
            <w:tcW w:type="dxa" w:w="2946"/>
          </w:tcPr>
          <w:p>
            <w:r>
              <w:t>Mixta</w:t>
            </w:r>
          </w:p>
        </w:tc>
      </w:tr>
      <w:tr>
        <w:tc>
          <w:tcPr>
            <w:tcW w:type="dxa" w:w="2946"/>
          </w:tcPr>
          <w:p>
            <w:r>
              <w:t>Giandotti (1934)</w:t>
            </w:r>
          </w:p>
        </w:tc>
        <w:tc>
          <w:tcPr>
            <w:tcW w:type="dxa" w:w="2946"/>
          </w:tcPr>
          <w:p>
            <w:r>
              <w:t>20.0 a 1000.0</w:t>
            </w:r>
          </w:p>
        </w:tc>
        <w:tc>
          <w:tcPr>
            <w:tcW w:type="dxa" w:w="2946"/>
          </w:tcPr>
          <w:p>
            <w:r>
              <w:t>Mixta</w:t>
            </w:r>
          </w:p>
        </w:tc>
      </w:tr>
      <w:tr>
        <w:tc>
          <w:tcPr>
            <w:tcW w:type="dxa" w:w="2946"/>
          </w:tcPr>
          <w:p>
            <w:r>
              <w:t>Ventura-Heras</w:t>
            </w:r>
          </w:p>
        </w:tc>
        <w:tc>
          <w:tcPr>
            <w:tcW w:type="dxa" w:w="2946"/>
          </w:tcPr>
          <w:p>
            <w:r>
              <w:t>1.0 a 1000.0</w:t>
            </w:r>
          </w:p>
        </w:tc>
        <w:tc>
          <w:tcPr>
            <w:tcW w:type="dxa" w:w="2946"/>
          </w:tcPr>
          <w:p>
            <w:r>
              <w:t>Rural</w:t>
            </w:r>
          </w:p>
        </w:tc>
      </w:tr>
      <w:tr>
        <w:tc>
          <w:tcPr>
            <w:tcW w:type="dxa" w:w="2946"/>
          </w:tcPr>
          <w:p>
            <w:r>
              <w:t>Passini</w:t>
            </w:r>
          </w:p>
        </w:tc>
        <w:tc>
          <w:tcPr>
            <w:tcW w:type="dxa" w:w="2946"/>
          </w:tcPr>
          <w:p>
            <w:r>
              <w:t>1.0 a 1000.0</w:t>
            </w:r>
          </w:p>
        </w:tc>
        <w:tc>
          <w:tcPr>
            <w:tcW w:type="dxa" w:w="2946"/>
          </w:tcPr>
          <w:p>
            <w:r>
              <w:t>Rural</w:t>
            </w:r>
          </w:p>
        </w:tc>
      </w:tr>
      <w:tr>
        <w:tc>
          <w:tcPr>
            <w:tcW w:type="dxa" w:w="2946"/>
          </w:tcPr>
          <w:p>
            <w:r>
              <w:t>Bransby Williams</w:t>
            </w:r>
          </w:p>
        </w:tc>
        <w:tc>
          <w:tcPr>
            <w:tcW w:type="dxa" w:w="2946"/>
          </w:tcPr>
          <w:p>
            <w:r>
              <w:t>0.01 a 130.0</w:t>
            </w:r>
          </w:p>
        </w:tc>
        <w:tc>
          <w:tcPr>
            <w:tcW w:type="dxa" w:w="2946"/>
          </w:tcPr>
          <w:p>
            <w:r>
              <w:t>Rural</w:t>
            </w:r>
          </w:p>
        </w:tc>
      </w:tr>
      <w:tr>
        <w:tc>
          <w:tcPr>
            <w:tcW w:type="dxa" w:w="2946"/>
          </w:tcPr>
          <w:p>
            <w:r>
              <w:t>Johnstone y Cross (1949)</w:t>
            </w:r>
          </w:p>
        </w:tc>
        <w:tc>
          <w:tcPr>
            <w:tcW w:type="dxa" w:w="2946"/>
          </w:tcPr>
          <w:p>
            <w:r>
              <w:t>65.0 a 4200.0</w:t>
            </w:r>
          </w:p>
        </w:tc>
        <w:tc>
          <w:tcPr>
            <w:tcW w:type="dxa" w:w="2946"/>
          </w:tcPr>
          <w:p>
            <w:r>
              <w:t>Llana</w:t>
            </w:r>
          </w:p>
        </w:tc>
      </w:tr>
      <w:tr>
        <w:tc>
          <w:tcPr>
            <w:tcW w:type="dxa" w:w="2946"/>
          </w:tcPr>
          <w:p>
            <w:r>
              <w:t>SCS Lag (NRCS)</w:t>
            </w:r>
          </w:p>
        </w:tc>
        <w:tc>
          <w:tcPr>
            <w:tcW w:type="dxa" w:w="2946"/>
          </w:tcPr>
          <w:p>
            <w:r>
              <w:t>0.0 a 8.0</w:t>
            </w:r>
          </w:p>
        </w:tc>
        <w:tc>
          <w:tcPr>
            <w:tcW w:type="dxa" w:w="2946"/>
          </w:tcPr>
          <w:p>
            <w:r>
              <w:t>Rural</w:t>
            </w:r>
          </w:p>
        </w:tc>
      </w:tr>
      <w:tr>
        <w:tc>
          <w:tcPr>
            <w:tcW w:type="dxa" w:w="2946"/>
          </w:tcPr>
          <w:p>
            <w:r>
              <w:t>Clark</w:t>
            </w:r>
          </w:p>
        </w:tc>
        <w:tc>
          <w:tcPr>
            <w:tcW w:type="dxa" w:w="2946"/>
          </w:tcPr>
          <w:p>
            <w:r>
              <w:t>0.5 a 300.0</w:t>
            </w:r>
          </w:p>
        </w:tc>
        <w:tc>
          <w:tcPr>
            <w:tcW w:type="dxa" w:w="2946"/>
          </w:tcPr>
          <w:p>
            <w:r>
              <w:t>Mixta</w:t>
            </w:r>
          </w:p>
        </w:tc>
      </w:tr>
      <w:tr>
        <w:tc>
          <w:tcPr>
            <w:tcW w:type="dxa" w:w="2946"/>
          </w:tcPr>
          <w:p>
            <w:r>
              <w:t>Pilgrim y McDermott</w:t>
            </w:r>
          </w:p>
        </w:tc>
        <w:tc>
          <w:tcPr>
            <w:tcW w:type="dxa" w:w="2946"/>
          </w:tcPr>
          <w:p>
            <w:r>
              <w:t>0.5 a 250.0</w:t>
            </w:r>
          </w:p>
        </w:tc>
        <w:tc>
          <w:tcPr>
            <w:tcW w:type="dxa" w:w="2946"/>
          </w:tcPr>
          <w:p>
            <w:r>
              <w:t>Rural</w:t>
            </w:r>
          </w:p>
        </w:tc>
      </w:tr>
      <w:tr>
        <w:tc>
          <w:tcPr>
            <w:tcW w:type="dxa" w:w="2946"/>
          </w:tcPr>
          <w:p>
            <w:r>
              <w:t>Valencia y Zuluaga</w:t>
            </w:r>
          </w:p>
        </w:tc>
        <w:tc>
          <w:tcPr>
            <w:tcW w:type="dxa" w:w="2946"/>
          </w:tcPr>
          <w:p>
            <w:r>
              <w:t>0.05 a 20.0</w:t>
            </w:r>
          </w:p>
        </w:tc>
        <w:tc>
          <w:tcPr>
            <w:tcW w:type="dxa" w:w="2946"/>
          </w:tcPr>
          <w:p>
            <w:r>
              <w:t>Montanosa</w:t>
            </w:r>
          </w:p>
        </w:tc>
      </w:tr>
      <w:tr>
        <w:tc>
          <w:tcPr>
            <w:tcW w:type="dxa" w:w="2946"/>
          </w:tcPr>
          <w:p>
            <w:r>
              <w:t>V. T. Chow</w:t>
            </w:r>
          </w:p>
        </w:tc>
        <w:tc>
          <w:tcPr>
            <w:tcW w:type="dxa" w:w="2946"/>
          </w:tcPr>
          <w:p>
            <w:r>
              <w:t>0.01 a 25.0</w:t>
            </w:r>
          </w:p>
        </w:tc>
        <w:tc>
          <w:tcPr>
            <w:tcW w:type="dxa" w:w="2946"/>
          </w:tcPr>
          <w:p>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1BE5656A" w14:textId="5C15D2CC" w:rsidR="0013301A" w:rsidRDefault="00024244" w:rsidP="0013301A">
      <w:pPr>
        <w:rPr>
          <w:b/>
          <w:bCs/>
        </w:rPr>
      </w:pPr>
      <w:r w:rsidRPr="00024244">
        <w:rPr>
          <w:b/>
          <w:bCs/>
          <w:highlight w:val="magenta"/>
        </w:rPr>
        <w:t>Escribir la teoría de la curva hipsométrica y para qué sirve.</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22F9C3AB" w14:textId="44DC5003" w:rsidR="005E41D2" w:rsidRPr="005E41D2" w:rsidRDefault="005E41D2" w:rsidP="004C53AC">
      <w:pPr>
        <w:rPr>
          <w:b/>
          <w:bCs/>
          <w:color w:val="000000" w:themeColor="text1"/>
        </w:rPr>
      </w:pPr>
      <w:r w:rsidRPr="005E41D2">
        <w:rPr>
          <w:b/>
          <w:bCs/>
          <w:color w:val="000000" w:themeColor="text1"/>
          <w:highlight w:val="magenta"/>
        </w:rPr>
        <w:t>Incluir texto teórico del análisis de dobles masas.</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467B360E" w14:textId="7BAC4CA8" w:rsidR="005E41D2" w:rsidRPr="005E41D2" w:rsidRDefault="005E41D2" w:rsidP="005E41D2">
      <w:pPr>
        <w:rPr>
          <w:b/>
          <w:bCs/>
          <w:color w:val="000000" w:themeColor="text1"/>
        </w:rPr>
      </w:pPr>
      <w:r w:rsidRPr="005E41D2">
        <w:rPr>
          <w:b/>
          <w:bCs/>
          <w:color w:val="000000" w:themeColor="text1"/>
          <w:highlight w:val="magenta"/>
        </w:rPr>
        <w:t xml:space="preserve">Incluir texto teórico del </w:t>
      </w:r>
      <w:r>
        <w:rPr>
          <w:b/>
          <w:bCs/>
          <w:color w:val="000000" w:themeColor="text1"/>
          <w:highlight w:val="magenta"/>
        </w:rPr>
        <w:t>análisis de datos anómalos</w:t>
      </w:r>
      <w:r w:rsidRPr="005E41D2">
        <w:rPr>
          <w:b/>
          <w:bCs/>
          <w:color w:val="000000" w:themeColor="text1"/>
          <w:highlight w:val="magenta"/>
        </w:rPr>
        <w:t>.</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2BB7C45A" w14:textId="2FF26931" w:rsidR="00BF3D5E" w:rsidRDefault="00BF3D5E" w:rsidP="00BF3D5E">
      <w:pPr>
        <w:rPr>
          <w:b/>
          <w:bCs/>
          <w:color w:val="000000" w:themeColor="text1"/>
        </w:rPr>
      </w:pPr>
      <w:r w:rsidRPr="005E41D2">
        <w:rPr>
          <w:b/>
          <w:bCs/>
          <w:color w:val="000000" w:themeColor="text1"/>
          <w:highlight w:val="magenta"/>
        </w:rPr>
        <w:t>Incluir texto teórico del análisis</w:t>
      </w:r>
      <w:r>
        <w:rPr>
          <w:b/>
          <w:bCs/>
          <w:color w:val="000000" w:themeColor="text1"/>
          <w:highlight w:val="magenta"/>
        </w:rPr>
        <w:t xml:space="preserve"> de validación</w:t>
      </w:r>
      <w:r w:rsidRPr="005E41D2">
        <w:rPr>
          <w:b/>
          <w:bCs/>
          <w:color w:val="000000" w:themeColor="text1"/>
          <w:highlight w:val="magenta"/>
        </w:rPr>
        <w:t xml:space="preserve"> </w:t>
      </w:r>
      <w:r>
        <w:rPr>
          <w:b/>
          <w:bCs/>
          <w:color w:val="000000" w:themeColor="text1"/>
          <w:highlight w:val="magenta"/>
        </w:rPr>
        <w:t>estadística realizado en el complemento de datos</w:t>
      </w:r>
      <w:r w:rsidRPr="005E41D2">
        <w:rPr>
          <w:b/>
          <w:bCs/>
          <w:color w:val="000000" w:themeColor="text1"/>
          <w:highlight w:val="magenta"/>
        </w:rPr>
        <w:t>.</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r>
              <w:rPr>
                <w:b/>
                <w:bCs/>
                <w:i/>
                <w:iCs/>
                <w:color w:val="EE0000"/>
                <w:highlight w:val="green"/>
              </w:rPr>
            </w:r>
            <w:r w:rsidRPr="00807387">
              <w:rPr>
                <w:b/>
                <w:bCs/>
                <w:i/>
                <w:iCs/>
                <w:color w:val="EE0000"/>
                <w:highlight w:val="green"/>
              </w:rPr>
            </w:r>
            <w:r w:rsidR="00A7550B" w:rsidRPr="00A7550B">
              <w:rPr>
                <w:b/>
                <w:bCs/>
                <w:i/>
                <w:iCs/>
                <w:color w:val="EE0000"/>
                <w:highlight w:val="green"/>
              </w:rPr>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94CDEDE" w14:textId="768AA579" w:rsidR="00983B87" w:rsidRPr="00983B87" w:rsidRDefault="00983B87" w:rsidP="00001E1F">
      <w:pPr>
        <w:rPr>
          <w:b/>
          <w:bCs/>
        </w:rPr>
      </w:pPr>
      <w:r w:rsidRPr="00983B87">
        <w:rPr>
          <w:b/>
          <w:bCs/>
          <w:highlight w:val="magenta"/>
        </w:rPr>
        <w:t>Explicar por qué se hizo la zonificación de pluviómetros para HEC HMS y cuál es el procedimiento</w:t>
      </w:r>
      <w:r w:rsidR="000D6A07">
        <w:rPr>
          <w:b/>
          <w:bCs/>
          <w:highlight w:val="magenta"/>
        </w:rPr>
        <w:t xml:space="preserve"> y paso de la precipitación de 24 horas a 3 horas</w:t>
      </w:r>
      <w:r w:rsidRPr="00983B87">
        <w:rPr>
          <w:b/>
          <w:bCs/>
          <w:highlight w:val="magenta"/>
        </w:rPr>
        <w:t>.</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78859638" w14:textId="45B22E0E" w:rsidR="00033DE2" w:rsidRPr="009A3E60" w:rsidRDefault="00033DE2" w:rsidP="00033DE2">
      <w:pPr>
        <w:rPr>
          <w:b/>
          <w:bCs/>
        </w:rPr>
      </w:pPr>
      <w:r>
        <w:rPr>
          <w:b/>
          <w:bCs/>
          <w:highlight w:val="magenta"/>
        </w:rPr>
        <w:t>Escribir procedimiento para procesar la información de temperatura de las estaciones</w:t>
      </w:r>
      <w:r w:rsidRPr="009A3E60">
        <w:rPr>
          <w:b/>
          <w:bCs/>
          <w:highlight w:val="magenta"/>
        </w:rPr>
        <w:t>.</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2E97DFD4" w14:textId="76406CBD"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16F1F1AC" w14:textId="77777777" w:rsidR="005E5EF5" w:rsidRPr="00E13FBC" w:rsidRDefault="005E5EF5" w:rsidP="005E5EF5">
      <w:pPr>
        <w:spacing w:before="0" w:after="0"/>
        <w:ind w:left="1416"/>
      </w:pPr>
      <w:r w:rsidRPr="00E13FBC">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6DAE8720" w14:textId="5282C5F7" w:rsidR="00F93D53" w:rsidRPr="009A3E60" w:rsidRDefault="00F93D53" w:rsidP="00F93D53">
      <w:pPr>
        <w:rPr>
          <w:b/>
          <w:bCs/>
        </w:rPr>
      </w:pPr>
      <w:r>
        <w:rPr>
          <w:b/>
          <w:bCs/>
          <w:highlight w:val="magenta"/>
        </w:rPr>
        <w:t>Agregar Introducción al numeral</w:t>
      </w:r>
      <w:r w:rsidRPr="009A3E60">
        <w:rPr>
          <w:b/>
          <w:bCs/>
          <w:highlight w:val="magenta"/>
        </w:rPr>
        <w:t>.</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14:imgLayer r:embed="rId29">
                              <a14:imgEffect>
                                <a14:sharpenSoften amount="25000"/>
                              </a14:imgEffect>
                            </a14:imgLayer>
                          </a14:imgProps>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y el método de Muskingum-Cunge, que resuelve la misma ecuación pero deriva K y X de la hidráulica del tramo en cada subtramo y cada paso de tiempo, sin necesidad de calibrarlos contra hidrogramas observados. El método adoptado para los resultados del modelo es Muskingum-Cunge; Muskingum se presenta como parametrización alterna, de parámetros constantes.</w:t>
      </w:r>
    </w:p>
    <w:p w14:paraId="444E3500" w14:textId="67E6F807" w:rsidR="00640FA9" w:rsidRPr="00E13FBC" w:rsidRDefault="00022F19" w:rsidP="001A54D5">
      <w:r w:rsidRPr="00E13FBC">
        <w:t>El parámetro K puede tomarse como el tiempo que le toma a la onda recorrer la longitud total del tramo en estudio. X es una constante entre 0 y 0,5 que refleja cuánto atenúa el tramo la onda de creciente: valores cercanos a 0,5 la trasladan casi sin atenuarla y valores cercanos a 0 la asimilan al comportamiento de un embalse de nivel horizontal. En ausencia de hidrogramas observados con que calibrarlos, K y X se obtienen aquí por linealización de Cunge en un caudal de referencia, a partir de la geometría, la pendiente y la resistencia hidráulica del tramo.</w:t>
      </w:r>
      <w:r w:rsidR="00DB5798" w:rsidRPr="00E13FBC"/>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79D34798" w14:textId="3463443C" w:rsidR="00CB7643" w:rsidRDefault="00CB7643" w:rsidP="00CB7643">
      <w:pPr>
        <w:rPr>
          <w:b/>
          <w:bCs/>
        </w:rPr>
      </w:pPr>
      <w:r>
        <w:rPr>
          <w:b/>
          <w:bCs/>
          <w:highlight w:val="magenta"/>
        </w:rPr>
        <w:t>Escribir la teoría de cómo se hace la calibración, variando los números de curva, tránsito de Muskingum-cunge y tiempo de rezago</w:t>
      </w:r>
      <w:r w:rsidRPr="00024244">
        <w:rPr>
          <w:b/>
          <w:bCs/>
          <w:highlight w:val="magenta"/>
        </w:rPr>
        <w:t>.</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