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11.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Escribir la localización del proyecto: municipio, sector y coordenadas del sitio de descarga.</w:t>
      </w:r>
      <w:r w:rsidR="00E553D3" w:rsidRPr="003A2108">
        <w:rPr>
          <w:color w:val="EE0000"/>
          <w:highlight w:val="yellow"/>
        </w:rPr>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Escribir el resultado de la consulta a la autoridad ambiental competente de la jurisdicción del proyecto.</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Describir la información topográfica y estructural recibida del contratante, o declarar que no se recibió.</w:t>
      </w:r>
      <w:r w:rsidR="00C118AD" w:rsidRPr="005E2097">
        <w:rPr>
          <w:highlight w:val="cyan"/>
        </w:rPr>
      </w:r>
      <w:r w:rsidR="00406B96" w:rsidRPr="005E2097">
        <w:rPr>
          <w:highlight w:val="cyan"/>
        </w:rPr>
      </w:r>
      <w:r w:rsidR="00406B96" w:rsidRPr="00E13FBC"/>
      <w:commentRangeEnd w:id="27"/>
      <w:r w:rsidR="005E2097">
        <w:rPr>
          <w:rStyle w:val="Refdecomentario"/>
          <w:sz w:val="22"/>
          <w:szCs w:val="22"/>
        </w:rPr>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Escribir la ubicación del cuerpo de agua en la zonificación hidrográfica del IDEAM, con su área, zona y subzona.</w:t>
      </w:r>
      <w:r w:rsidR="006747DC" w:rsidRPr="00E13FBC"/>
      <w:r w:rsidR="006747DC" w:rsidRPr="0082542F">
        <w:rPr>
          <w:color w:val="EE0000"/>
          <w:highlight w:val="yellow"/>
        </w:rPr>
      </w:r>
      <w:r w:rsidR="006747DC" w:rsidRPr="0082542F">
        <w:rPr>
          <w:color w:val="EE0000"/>
          <w:highlight w:val="yellow"/>
        </w:rPr>
      </w:r>
      <w:r w:rsidR="006747DC" w:rsidRPr="0082542F">
        <w:rPr>
          <w:color w:val="EE0000"/>
          <w:highlight w:val="yellow"/>
        </w:rPr>
      </w:r>
      <w:r w:rsidR="00E13FBC" w:rsidRPr="0082542F">
        <w:rPr>
          <w:color w:val="EE0000"/>
          <w:highlight w:val="yellow"/>
        </w:rPr>
      </w:r>
      <w:r w:rsidR="006747DC" w:rsidRPr="0082542F">
        <w:rPr>
          <w:color w:val="EE0000"/>
          <w:highlight w:val="yellow"/>
        </w:rPr>
      </w:r>
      <w:r w:rsidR="006747DC" w:rsidRPr="0082542F">
        <w:rPr>
          <w:color w:val="EE0000"/>
          <w:highlight w:val="yellow"/>
        </w:rPr>
      </w:r>
      <w:r w:rsidR="001D23B0" w:rsidRPr="0082542F">
        <w:rPr>
          <w:color w:val="EE0000"/>
          <w:highlight w:val="yellow"/>
        </w:rPr>
      </w:r>
      <w:r w:rsidR="001D23B0" w:rsidRPr="0082542F">
        <w:rPr>
          <w:noProof/>
          <w:color w:val="EE0000"/>
          <w:highlight w:val="yellow"/>
        </w:rPr>
      </w:r>
      <w:r w:rsidR="001D23B0" w:rsidRPr="0082542F">
        <w:rPr>
          <w:noProof/>
          <w:color w:val="EE0000"/>
          <w:highlight w:val="yellow"/>
        </w:rPr>
      </w:r>
      <w:r w:rsidR="006747DC" w:rsidRPr="0082542F">
        <w:rPr>
          <w:color w:val="EE0000"/>
          <w:highlight w:val="yellow"/>
        </w:rPr>
      </w:r>
      <w:r w:rsidR="006747DC" w:rsidRPr="0082542F">
        <w:rPr>
          <w:color w:val="EE0000"/>
          <w:highlight w:val="yellow"/>
        </w:rPr>
      </w:r>
      <w:r w:rsidR="00EC6222" w:rsidRPr="0082542F">
        <w:rPr>
          <w:color w:val="EE0000"/>
          <w:highlight w:val="yellow"/>
        </w:rPr>
      </w:r>
      <w:r w:rsidR="006747DC" w:rsidRPr="0082542F">
        <w:rPr>
          <w:color w:val="EE0000"/>
          <w:highlight w:val="yellow"/>
        </w:rPr>
      </w:r>
      <w:r w:rsidR="001A63F3" w:rsidRPr="0082542F">
        <w:rPr>
          <w:color w:val="EE0000"/>
          <w:highlight w:val="yellow"/>
        </w:rPr>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lastRenderedPageBreak/>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lastRenderedPageBreak/>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619F7" w14:textId="77777777" w:rsidR="005954B7" w:rsidRDefault="00000000">
      <w:r>
        <w:t>El grupo hidrológico del suelo, que el método del número de curva exige, se obtiene del producto HYSOGs250m (Ross et al., 2018, Global Hydrologic Soil Groups, ORNL DAAC), un ráster global a escala 1:250.000 que asigna directamente el grupo del Servicio de Conservación de Suelos (A, B, C o D) a cada celda, incluidas las combinaciones duales que dependen de si el suelo está drenado. Es un producto de origen global y no un levantamiento de campo, de modo que su resolución condiciona la escala a la que puede leerse el resultado dentro de la cuenca.</w:t>
      </w:r>
    </w:p>
    <w:p w14:paraId="1E05E4FA" w14:textId="45729CF1" w:rsidR="004A7579" w:rsidRPr="00E13FBC" w:rsidRDefault="004A7579" w:rsidP="004A7579">
      <w:pPr>
        <w:pStyle w:val="Descripcin"/>
        <w:keepNext/>
        <w:ind w:left="360"/>
      </w:pPr>
      <w:bookmarkStart w:id="93" w:name="_Ref238384611"/>
      <w:bookmarkStart w:id="94" w:name="_Toc238403787"/>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lastRenderedPageBreak/>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lastRenderedPageBreak/>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38273B1D" w14:textId="77777777" w:rsidR="003B1625" w:rsidRPr="00E13FBC" w:rsidRDefault="00FC6AD0" w:rsidP="00FC6AD0">
      <w:pPr>
        <w:pStyle w:val="Prrafodelista"/>
        <w:numPr>
          <w:ilvl w:val="0"/>
          <w:numId w:val="27"/>
        </w:numPr>
      </w:pPr>
      <w:r w:rsidRPr="00E13FBC">
        <w:t>Fórmula de Johnstone y Cross</w:t>
      </w:r>
    </w:p>
    <w:p w14:paraId="5413A9C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0,4623 · L^0,5 · S^-0,25</w:t>
      </w:r>
    </w:p>
    <w:p w14:paraId="0AB066C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69F469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39B31C0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27389961" w14:textId="77777777" w:rsidR="003B1625" w:rsidRPr="00E13FBC" w:rsidRDefault="00FC6AD0" w:rsidP="00FC6AD0">
      <w:pPr>
        <w:pStyle w:val="Prrafodelista"/>
        <w:numPr>
          <w:ilvl w:val="0"/>
          <w:numId w:val="27"/>
        </w:numPr>
      </w:pPr>
      <w:r w:rsidRPr="00E13FBC">
        <w:t>Fórmula de Clark</w:t>
      </w:r>
    </w:p>
    <w:p w14:paraId="4160EA37"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0,335 · (A / √S)^0,593</w:t>
      </w:r>
    </w:p>
    <w:p w14:paraId="4A698F1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65ADA10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7F89875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5186E05A" w14:textId="77777777" w:rsidR="003B1625" w:rsidRPr="00E13FBC" w:rsidRDefault="00FC6AD0" w:rsidP="00FC6AD0">
      <w:pPr>
        <w:pStyle w:val="Prrafodelista"/>
        <w:numPr>
          <w:ilvl w:val="0"/>
          <w:numId w:val="27"/>
        </w:numPr>
      </w:pPr>
      <w:r w:rsidRPr="00E13FBC">
        <w:t>Fórmula de Pilgrim y McDermott</w:t>
      </w:r>
    </w:p>
    <w:p w14:paraId="3E59C598"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0,76 · A^0,38</w:t>
      </w:r>
    </w:p>
    <w:p w14:paraId="13A4C6B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40C3CDEC"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210BA18E" w14:textId="77777777" w:rsidR="003B1625" w:rsidRPr="00E13FBC" w:rsidRDefault="00FC6AD0" w:rsidP="00FC6AD0">
      <w:pPr>
        <w:pStyle w:val="Prrafodelista"/>
        <w:numPr>
          <w:ilvl w:val="0"/>
          <w:numId w:val="27"/>
        </w:numPr>
      </w:pPr>
      <w:r w:rsidRPr="00E13FBC">
        <w:t>Fórmula de Valencia y Zuluaga</w:t>
      </w:r>
    </w:p>
    <w:p w14:paraId="564191E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1,7694 · A^0,325 · L^-0,096 · S^-0,290</w:t>
      </w:r>
    </w:p>
    <w:p w14:paraId="3121125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04CCF3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627AD59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01A1A206"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0848E274" w14:textId="77777777" w:rsidR="003B1625" w:rsidRPr="00E13FBC" w:rsidRDefault="00FC6AD0" w:rsidP="00FC6AD0">
      <w:pPr>
        <w:pStyle w:val="Prrafodelista"/>
        <w:numPr>
          <w:ilvl w:val="0"/>
          <w:numId w:val="27"/>
        </w:numPr>
      </w:pPr>
      <w:r w:rsidRPr="00E13FBC">
        <w:t>Fórmula de retardo del SCS (NRCS Lag)</w:t>
      </w:r>
    </w:p>
    <w:p w14:paraId="6F242ABE"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tlag / 0,6,  con  tlag = (L^0,8 · (Sr + 1)^0,7) / (1900 · Y^0,5)</w:t>
      </w:r>
    </w:p>
    <w:p w14:paraId="68ACBA1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78864C9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tlag = Tiempo de retardo (hr).</w:t>
      </w:r>
    </w:p>
    <w:p w14:paraId="558A4D6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(pies).</w:t>
      </w:r>
    </w:p>
    <w:p w14:paraId="1F06CFD1"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Sr = Retención potencial máxima, Sr = 1000/CN - 10 (pulgadas).</w:t>
      </w:r>
    </w:p>
    <w:p w14:paraId="1BD88A9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CN = Número de curva de escorrentía, adimensional.</w:t>
      </w:r>
    </w:p>
    <w:p w14:paraId="3926BED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Y = Pendiente media de la cuenca (%).</w:t>
      </w:r>
    </w:p>
    <w:p w14:paraId="3556642B"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Es la única de la matriz que necesita el número de curva, y por eso es la coherente con el método de transformación del SCS adoptado en el modelo. Está definida para cuencas menores de 800 ha.</w:t>
      </w:r>
    </w:p>
    <w:tbl>
      <w:tblPr>
        <w:tblStyle w:val="Tablaconcuadrcula1clara"/>
        <w:tblW w:w="0" w:type="auto"/>
        <w:tblLook w:val="04A0" w:firstRow="1" w:lastRow="0" w:firstColumn="1" w:lastColumn="0" w:noHBand="0" w:noVBand="1"/>
      </w:tblPr>
      <w:tblGrid>
        <w:gridCol w:w="2943"/>
        <w:gridCol w:w="2942"/>
        <w:gridCol w:w="2943"/>
      </w:tblGrid>
      <w:tr w:rsidR="005954B7" w14:paraId="707F9578" w14:textId="77777777" w:rsidTr="00595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A6A5865" w14:textId="77777777" w:rsidR="005954B7" w:rsidRDefault="00000000">
            <w:r>
              <w:t>Autor</w:t>
            </w:r>
          </w:p>
        </w:tc>
        <w:tc>
          <w:tcPr>
            <w:tcW w:w="2946" w:type="dxa"/>
          </w:tcPr>
          <w:p w14:paraId="4CCDDEBA" w14:textId="77777777" w:rsidR="005954B7" w:rsidRDefault="00000000">
            <w:pPr>
              <w:cnfStyle w:val="100000000000" w:firstRow="1" w:lastRow="0" w:firstColumn="0" w:lastColumn="0" w:oddVBand="0" w:evenVBand="0" w:oddHBand="0" w:evenHBand="0" w:firstRowFirstColumn="0" w:firstRowLastColumn="0" w:lastRowFirstColumn="0" w:lastRowLastColumn="0"/>
            </w:pPr>
            <w:r>
              <w:t>Rango de área aplicable (km²)</w:t>
            </w:r>
          </w:p>
        </w:tc>
        <w:tc>
          <w:tcPr>
            <w:tcW w:w="2946" w:type="dxa"/>
          </w:tcPr>
          <w:p w14:paraId="10E65CB7" w14:textId="77777777" w:rsidR="005954B7" w:rsidRDefault="00000000">
            <w:pPr>
              <w:cnfStyle w:val="100000000000" w:firstRow="1" w:lastRow="0" w:firstColumn="0" w:lastColumn="0" w:oddVBand="0" w:evenVBand="0" w:oddHBand="0" w:evenHBand="0" w:firstRowFirstColumn="0" w:firstRowLastColumn="0" w:lastRowFirstColumn="0" w:lastRowLastColumn="0"/>
            </w:pPr>
            <w:r>
              <w:t>Tipo de cuenca</w:t>
            </w:r>
          </w:p>
        </w:tc>
      </w:tr>
      <w:tr w:rsidR="005954B7" w14:paraId="72F66678"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961740" w14:textId="77777777" w:rsidR="005954B7" w:rsidRDefault="00000000">
            <w:r>
              <w:t>Kirpich (1940)</w:t>
            </w:r>
          </w:p>
        </w:tc>
        <w:tc>
          <w:tcPr>
            <w:tcW w:w="2946" w:type="dxa"/>
          </w:tcPr>
          <w:p w14:paraId="3E06D96D"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0.45</w:t>
            </w:r>
          </w:p>
        </w:tc>
        <w:tc>
          <w:tcPr>
            <w:tcW w:w="2946" w:type="dxa"/>
          </w:tcPr>
          <w:p w14:paraId="27D00902"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3FF5A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1C5F424" w14:textId="77777777" w:rsidR="005954B7" w:rsidRDefault="00000000">
            <w:r>
              <w:t>California Culverts Practice (SCS-Ranser)</w:t>
            </w:r>
          </w:p>
        </w:tc>
        <w:tc>
          <w:tcPr>
            <w:tcW w:w="2946" w:type="dxa"/>
          </w:tcPr>
          <w:p w14:paraId="5233EE4E"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45.0</w:t>
            </w:r>
          </w:p>
        </w:tc>
        <w:tc>
          <w:tcPr>
            <w:tcW w:w="2946" w:type="dxa"/>
          </w:tcPr>
          <w:p w14:paraId="2D4A0F76"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60127B9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BF4AE6" w14:textId="77777777" w:rsidR="005954B7" w:rsidRDefault="00000000">
            <w:r>
              <w:lastRenderedPageBreak/>
              <w:t>Temez (1978)</w:t>
            </w:r>
          </w:p>
        </w:tc>
        <w:tc>
          <w:tcPr>
            <w:tcW w:w="2946" w:type="dxa"/>
          </w:tcPr>
          <w:p w14:paraId="6AA94D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3000.0</w:t>
            </w:r>
          </w:p>
        </w:tc>
        <w:tc>
          <w:tcPr>
            <w:tcW w:w="2946" w:type="dxa"/>
          </w:tcPr>
          <w:p w14:paraId="7C1C2DB5"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7DC9B409"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01BBC4D" w14:textId="77777777" w:rsidR="005954B7" w:rsidRDefault="00000000">
            <w:r>
              <w:t>Giandotti (1934)</w:t>
            </w:r>
          </w:p>
        </w:tc>
        <w:tc>
          <w:tcPr>
            <w:tcW w:w="2946" w:type="dxa"/>
          </w:tcPr>
          <w:p w14:paraId="0313A028" w14:textId="77777777" w:rsidR="005954B7" w:rsidRDefault="00000000">
            <w:pPr>
              <w:cnfStyle w:val="000000000000" w:firstRow="0" w:lastRow="0" w:firstColumn="0" w:lastColumn="0" w:oddVBand="0" w:evenVBand="0" w:oddHBand="0" w:evenHBand="0" w:firstRowFirstColumn="0" w:firstRowLastColumn="0" w:lastRowFirstColumn="0" w:lastRowLastColumn="0"/>
            </w:pPr>
            <w:r>
              <w:t>20.0 a 1000.0</w:t>
            </w:r>
          </w:p>
        </w:tc>
        <w:tc>
          <w:tcPr>
            <w:tcW w:w="2946" w:type="dxa"/>
          </w:tcPr>
          <w:p w14:paraId="22F3CB44"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63C8554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E0CC74A" w14:textId="77777777" w:rsidR="005954B7" w:rsidRDefault="00000000">
            <w:r>
              <w:t>Ventura-Heras</w:t>
            </w:r>
          </w:p>
        </w:tc>
        <w:tc>
          <w:tcPr>
            <w:tcW w:w="2946" w:type="dxa"/>
          </w:tcPr>
          <w:p w14:paraId="0B462B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1E0C954C"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5C230C91"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177D833B" w14:textId="77777777" w:rsidR="005954B7" w:rsidRDefault="00000000">
            <w:r>
              <w:t>Passini</w:t>
            </w:r>
          </w:p>
        </w:tc>
        <w:tc>
          <w:tcPr>
            <w:tcW w:w="2946" w:type="dxa"/>
          </w:tcPr>
          <w:p w14:paraId="45202582"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7D4BB31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8C0FF9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7A5F6F5" w14:textId="77777777" w:rsidR="005954B7" w:rsidRDefault="00000000">
            <w:r>
              <w:t>Bransby Williams</w:t>
            </w:r>
          </w:p>
        </w:tc>
        <w:tc>
          <w:tcPr>
            <w:tcW w:w="2946" w:type="dxa"/>
          </w:tcPr>
          <w:p w14:paraId="44FFFE81"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130.0</w:t>
            </w:r>
          </w:p>
        </w:tc>
        <w:tc>
          <w:tcPr>
            <w:tcW w:w="2946" w:type="dxa"/>
          </w:tcPr>
          <w:p w14:paraId="2BD36B1D"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09BBA0"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F1B2032" w14:textId="77777777" w:rsidR="005954B7" w:rsidRDefault="00000000">
            <w:r>
              <w:t>Johnstone y Cross (1949)</w:t>
            </w:r>
          </w:p>
        </w:tc>
        <w:tc>
          <w:tcPr>
            <w:tcW w:w="2946" w:type="dxa"/>
          </w:tcPr>
          <w:p w14:paraId="5EAF0929" w14:textId="77777777" w:rsidR="005954B7" w:rsidRDefault="00000000">
            <w:pPr>
              <w:cnfStyle w:val="000000000000" w:firstRow="0" w:lastRow="0" w:firstColumn="0" w:lastColumn="0" w:oddVBand="0" w:evenVBand="0" w:oddHBand="0" w:evenHBand="0" w:firstRowFirstColumn="0" w:firstRowLastColumn="0" w:lastRowFirstColumn="0" w:lastRowLastColumn="0"/>
            </w:pPr>
            <w:r>
              <w:t>65.0 a 4200.0</w:t>
            </w:r>
          </w:p>
        </w:tc>
        <w:tc>
          <w:tcPr>
            <w:tcW w:w="2946" w:type="dxa"/>
          </w:tcPr>
          <w:p w14:paraId="7BFF526B" w14:textId="77777777" w:rsidR="005954B7" w:rsidRDefault="00000000">
            <w:pPr>
              <w:cnfStyle w:val="000000000000" w:firstRow="0" w:lastRow="0" w:firstColumn="0" w:lastColumn="0" w:oddVBand="0" w:evenVBand="0" w:oddHBand="0" w:evenHBand="0" w:firstRowFirstColumn="0" w:firstRowLastColumn="0" w:lastRowFirstColumn="0" w:lastRowLastColumn="0"/>
            </w:pPr>
            <w:r>
              <w:t>Llana</w:t>
            </w:r>
          </w:p>
        </w:tc>
      </w:tr>
      <w:tr w:rsidR="005954B7" w14:paraId="5917941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96F9A34" w14:textId="77777777" w:rsidR="005954B7" w:rsidRDefault="00000000">
            <w:r>
              <w:t>SCS Lag (NRCS)</w:t>
            </w:r>
          </w:p>
        </w:tc>
        <w:tc>
          <w:tcPr>
            <w:tcW w:w="2946" w:type="dxa"/>
          </w:tcPr>
          <w:p w14:paraId="597B95C1" w14:textId="77777777" w:rsidR="005954B7" w:rsidRDefault="00000000">
            <w:pPr>
              <w:cnfStyle w:val="000000000000" w:firstRow="0" w:lastRow="0" w:firstColumn="0" w:lastColumn="0" w:oddVBand="0" w:evenVBand="0" w:oddHBand="0" w:evenHBand="0" w:firstRowFirstColumn="0" w:firstRowLastColumn="0" w:lastRowFirstColumn="0" w:lastRowLastColumn="0"/>
            </w:pPr>
            <w:r>
              <w:t>0.0 a 8.0</w:t>
            </w:r>
          </w:p>
        </w:tc>
        <w:tc>
          <w:tcPr>
            <w:tcW w:w="2946" w:type="dxa"/>
          </w:tcPr>
          <w:p w14:paraId="752CF749"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67BAE3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89A329D" w14:textId="77777777" w:rsidR="005954B7" w:rsidRDefault="00000000">
            <w:r>
              <w:t>Clark</w:t>
            </w:r>
          </w:p>
        </w:tc>
        <w:tc>
          <w:tcPr>
            <w:tcW w:w="2946" w:type="dxa"/>
          </w:tcPr>
          <w:p w14:paraId="4E94AA91"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300.0</w:t>
            </w:r>
          </w:p>
        </w:tc>
        <w:tc>
          <w:tcPr>
            <w:tcW w:w="2946" w:type="dxa"/>
          </w:tcPr>
          <w:p w14:paraId="38606E7E"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1FA09F45"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1D84B87" w14:textId="77777777" w:rsidR="005954B7" w:rsidRDefault="00000000">
            <w:r>
              <w:t>Pilgrim y McDermott</w:t>
            </w:r>
          </w:p>
        </w:tc>
        <w:tc>
          <w:tcPr>
            <w:tcW w:w="2946" w:type="dxa"/>
          </w:tcPr>
          <w:p w14:paraId="51D64D10"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250.0</w:t>
            </w:r>
          </w:p>
        </w:tc>
        <w:tc>
          <w:tcPr>
            <w:tcW w:w="2946" w:type="dxa"/>
          </w:tcPr>
          <w:p w14:paraId="2557428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39F28B56"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00AEC8F" w14:textId="77777777" w:rsidR="005954B7" w:rsidRDefault="00000000">
            <w:r>
              <w:t>Valencia y Zuluaga</w:t>
            </w:r>
          </w:p>
        </w:tc>
        <w:tc>
          <w:tcPr>
            <w:tcW w:w="2946" w:type="dxa"/>
          </w:tcPr>
          <w:p w14:paraId="6E2229A0" w14:textId="77777777" w:rsidR="005954B7" w:rsidRDefault="00000000">
            <w:pPr>
              <w:cnfStyle w:val="000000000000" w:firstRow="0" w:lastRow="0" w:firstColumn="0" w:lastColumn="0" w:oddVBand="0" w:evenVBand="0" w:oddHBand="0" w:evenHBand="0" w:firstRowFirstColumn="0" w:firstRowLastColumn="0" w:lastRowFirstColumn="0" w:lastRowLastColumn="0"/>
            </w:pPr>
            <w:r>
              <w:t>0.05 a 20.0</w:t>
            </w:r>
          </w:p>
        </w:tc>
        <w:tc>
          <w:tcPr>
            <w:tcW w:w="2946" w:type="dxa"/>
          </w:tcPr>
          <w:p w14:paraId="2FA3CCBF"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52BB6C57"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28D834D1" w14:textId="77777777" w:rsidR="005954B7" w:rsidRDefault="00000000">
            <w:r>
              <w:t>V. T. Chow</w:t>
            </w:r>
          </w:p>
        </w:tc>
        <w:tc>
          <w:tcPr>
            <w:tcW w:w="2946" w:type="dxa"/>
          </w:tcPr>
          <w:p w14:paraId="096EEFD9"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25.0</w:t>
            </w:r>
          </w:p>
        </w:tc>
        <w:tc>
          <w:tcPr>
            <w:tcW w:w="2946" w:type="dxa"/>
          </w:tcPr>
          <w:p w14:paraId="7FF41AF7"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7B38341F" w14:textId="77777777" w:rsidR="005954B7" w:rsidRDefault="00000000">
      <w:r>
        <w:t>La curva hipsométrica representa la fracción del área de la cuenca que se encuentra por encima de cada cota, normalizada entre 0 y 1 en ambos ejes, en la forma que la definió Strahler. Su forma describe la etapa erosiva de la cuenca: una curva convexa, con la mayor parte del área en las cotas altas, corresponde a una cuenca joven en desequilibrio; una curva cóncava, con la mayor parte del área en las cotas bajas, corresponde a una cuenca erosionada; y una forma intermedia, en S, corresponde a una cuenca madura. La integral de la curva resume esa lectura en un solo número: valores por encima de 0,60 se asocian a cuencas jóvenes, entre 0,35 y 0,60 a cuencas maduras, y por debajo de 0,35 a cuencas erosionadas.</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t>Escribir cuáles estaciones tienen las peores correlaciones y se descartan.</w:t>
      </w:r>
      <w:r w:rsidR="009B6611" w:rsidRPr="005E41D2">
        <w:rPr>
          <w:color w:val="EE0000"/>
          <w:highlight w:val="yellow"/>
        </w:rPr>
      </w:r>
      <w:r w:rsidR="001D4303" w:rsidRPr="005E41D2">
        <w:rPr>
          <w:color w:val="EE0000"/>
          <w:highlight w:val="yellow"/>
        </w:rPr>
      </w:r>
      <w:r w:rsidR="006B3E8A" w:rsidRPr="005E41D2">
        <w:rPr>
          <w:color w:val="EE0000"/>
          <w:highlight w:val="yellow"/>
        </w:rPr>
      </w:r>
      <w:r w:rsidR="009B6611" w:rsidRPr="005E41D2">
        <w:rPr>
          <w:color w:val="EE0000"/>
          <w:highlight w:val="yellow"/>
        </w:rPr>
      </w:r>
      <w:r w:rsidRPr="005E41D2">
        <w:rPr>
          <w:color w:val="EE0000"/>
          <w:highlight w:val="yellow"/>
        </w:rPr>
      </w:r>
      <w:r w:rsidR="006B3E8A" w:rsidRPr="005E41D2">
        <w:rPr>
          <w:color w:val="EE0000"/>
          <w:highlight w:val="yellow"/>
        </w:rPr>
      </w:r>
      <w:r w:rsidR="00347773" w:rsidRPr="005E41D2">
        <w:rPr>
          <w:color w:val="EE0000"/>
          <w:highlight w:val="yellow"/>
        </w:rPr>
      </w:r>
      <w:r w:rsidRPr="005E41D2">
        <w:rPr>
          <w:color w:val="EE0000"/>
          <w:highlight w:val="yellow"/>
        </w:rPr>
      </w:r>
      <w:r w:rsidR="00347773" w:rsidRPr="005E41D2">
        <w:rPr>
          <w:color w:val="EE0000"/>
          <w:highlight w:val="yellow"/>
        </w:rPr>
      </w:r>
      <w:r w:rsidRPr="005E41D2">
        <w:rPr>
          <w:color w:val="EE0000"/>
          <w:highlight w:val="yellow"/>
        </w:rPr>
      </w:r>
    </w:p>
    <w:p w14:paraId="36348665" w14:textId="77777777" w:rsidR="005954B7" w:rsidRDefault="00000000">
      <w:r>
        <w:t>El análisis de dobles masas compara la serie acumulada de cada estación contra la serie acumulada de un patrón construido con las estaciones vecinas, en el mismo periodo. Mientras la relación entre las dos series se mantenga estable, la curva de dobles masas es una línea recta; un cambio de pendiente indica que la estación empezó a registrar en una escala distinta de la del patrón, por un cambio de instrumento, de ubicación o de operador. El tramo anterior al quiebre se corrige multiplicándolo por la razón entre las dos pendientes, de modo que quede en la misma escala que el tramo reciente, que es el que refleja las condiciones actuales de la estación.</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1814915B" w14:textId="77777777" w:rsidR="005954B7" w:rsidRDefault="00000000">
      <w:r>
        <w:t>La detección de datos anómalos se hace mes a mes y no sobre la serie completa: en un régimen de lluvias bimodal, un solo rango de referencia para los doce meses marcaría como anómala toda una temporada húmeda, porque la comparación tiene que hacerse contra el mismo mes calendario en los demás años. El método adoptado es el rango intercuartílico (IQR): se calculan el primer y el tercer cuartil de los valores históricos de cada mes y se marcan como anómalos los que caen fuera de los límites que resultan de extender ese rango un múltiplo declarado. Un dato marcado no se descarta automáticamente: queda señalado para que el consultor decida su tratamiento.</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lastRenderedPageBreak/>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Escribir la conclusión sobre las estaciones excluidas y su motivo.</w:t>
      </w:r>
      <w:r w:rsidR="00E35384" w:rsidRPr="00E13FBC"/>
      <w:r w:rsidRPr="00E13FBC"/>
      <w:r w:rsidR="004B3F46" w:rsidRPr="00E13FBC"/>
      <w:r w:rsidRPr="00E13FBC"/>
      <w:r w:rsidR="004B3F46" w:rsidRPr="00E13FBC"/>
      <w:r w:rsidRPr="00E13FBC"/>
      <w:r w:rsidR="004B3F46" w:rsidRPr="00E13FBC"/>
      <w:r w:rsidRPr="00E13FBC"/>
      <w:r w:rsidR="00812BD1" w:rsidRPr="00E13FBC"/>
      <w:r w:rsidRPr="00E13FBC"/>
      <w:r w:rsidR="00812BD1" w:rsidRPr="00E13FBC"/>
      <w:r w:rsidRPr="00E13FBC"/>
      <w:r w:rsidR="00812BD1" w:rsidRPr="00E13FBC"/>
      <w:r w:rsidRPr="00E13FBC"/>
      <w:r w:rsidR="007E317A" w:rsidRPr="00E13FBC"/>
      <w:r w:rsidR="00812BD1" w:rsidRPr="00E13FBC"/>
      <w:r w:rsidRPr="00E13FBC"/>
      <w:r w:rsidR="007E317A" w:rsidRPr="00E13FBC"/>
      <w:r w:rsidR="00812BD1" w:rsidRPr="00E13FBC"/>
      <w:r w:rsidR="007E317A" w:rsidRPr="00E13FBC"/>
      <w:r w:rsidR="003A4FB9" w:rsidRPr="00E13FBC"/>
    </w:p>
    <w:p w14:paraId="25689295" w14:textId="77777777" w:rsidR="00BF3D5E" w:rsidRDefault="00BF3D5E" w:rsidP="00BF3D5E">
      <w:r>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lastRenderedPageBreak/>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68192088" w14:textId="77777777" w:rsidR="005954B7" w:rsidRDefault="00000000">
      <w:r>
        <w:t>El complemento de los datos faltantes se hace por regresión lineal simple contra la estación vecina mejor correlacionada que tenga dato disponible en ese periodo, de modo que cada valor completado se apoye en la mejor información disponible y no en un promedio que diluya la relación entre estaciones. La validez del método se comprueba por validación cruzada: se retira de la serie una muestra de datos conocidos, se estiman con el mismo procedimiento de complemento y se compara el valor estimado contra el valor real retirado, lo que permite cuantificar el error del complemento sobre datos cuyo valor verdadero sí se conoce.</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lastRenderedPageBreak/>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 xml:space="preserve">Este método consiste en el trazado de líneas de igual precipitación llamadas isoyetas utilizando los datos puntuales reportados por las estaciones meteorológicas. Comúnmente estas líneas se dibujan observando la orografía de la región y los planos obtenidos mediante </w:t>
      </w:r>
      <w:r w:rsidRPr="00E13FBC">
        <w:lastRenderedPageBreak/>
        <w:t>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Analizar la distribución espacial de la precipitación por fase ENSO de la Ilustración 4-5 a la 4-8.</w:t>
      </w:r>
      <w:r w:rsidRPr="00807387">
        <w:rPr>
          <w:color w:val="EE0000"/>
          <w:highlight w:val="yellow"/>
        </w:rPr>
      </w:r>
      <w:r w:rsidRPr="00807387">
        <w:rPr>
          <w:color w:val="EE0000"/>
          <w:highlight w:val="yellow"/>
        </w:rPr>
      </w:r>
      <w:r w:rsidR="00E13FBC" w:rsidRPr="00807387">
        <w:rPr>
          <w:color w:val="EE0000"/>
          <w:highlight w:val="yellow"/>
        </w:rPr>
      </w:r>
      <w:r w:rsidRPr="00807387">
        <w:rPr>
          <w:color w:val="EE0000"/>
          <w:highlight w:val="yellow"/>
        </w:rPr>
      </w:r>
      <w:r w:rsidRPr="00807387">
        <w:rPr>
          <w:color w:val="EE0000"/>
          <w:highlight w:val="yellow"/>
        </w:rPr>
      </w:r>
      <w:r w:rsidR="00F0339F" w:rsidRPr="00F0339F">
        <w:rPr>
          <w:color w:val="EE0000"/>
          <w:highlight w:val="yellow"/>
        </w:rPr>
      </w:r>
      <w:r w:rsidR="00F0339F" w:rsidRPr="00F0339F">
        <w:rPr>
          <w:noProof/>
          <w:color w:val="EE0000"/>
          <w:highlight w:val="yellow"/>
        </w:rPr>
      </w:r>
      <w:r w:rsidR="00F0339F" w:rsidRPr="00F0339F">
        <w:rPr>
          <w:noProof/>
          <w:color w:val="EE0000"/>
          <w:highlight w:val="yellow"/>
        </w:rPr>
      </w:r>
      <w:r w:rsidRPr="00807387">
        <w:rPr>
          <w:color w:val="EE0000"/>
          <w:highlight w:val="yellow"/>
        </w:rPr>
      </w:r>
      <w:r w:rsidRPr="00807387">
        <w:rPr>
          <w:color w:val="EE0000"/>
          <w:highlight w:val="yellow"/>
        </w:rPr>
      </w:r>
      <w:r w:rsidRPr="00807387">
        <w:rPr>
          <w:color w:val="EE0000"/>
          <w:highlight w:val="yellow"/>
        </w:rPr>
      </w:r>
      <w:r w:rsidRPr="00807387">
        <w:rPr>
          <w:color w:val="EE0000"/>
          <w:highlight w:val="yellow"/>
        </w:rPr>
      </w:r>
      <w:r w:rsidR="00E13FBC" w:rsidRPr="00807387">
        <w:rPr>
          <w:color w:val="EE0000"/>
          <w:highlight w:val="yellow"/>
        </w:rPr>
      </w:r>
      <w:r w:rsidRPr="00807387">
        <w:rPr>
          <w:color w:val="EE0000"/>
          <w:highlight w:val="yellow"/>
        </w:rPr>
      </w:r>
      <w:r w:rsidRPr="00807387">
        <w:rPr>
          <w:color w:val="EE0000"/>
          <w:highlight w:val="yellow"/>
        </w:rPr>
      </w:r>
      <w:r w:rsidR="00F0339F" w:rsidRPr="00F0339F">
        <w:rPr>
          <w:color w:val="EE0000"/>
          <w:highlight w:val="yellow"/>
        </w:rPr>
      </w:r>
      <w:r w:rsidR="00F0339F" w:rsidRPr="00F0339F">
        <w:rPr>
          <w:noProof/>
          <w:color w:val="EE0000"/>
          <w:highlight w:val="yellow"/>
        </w:rPr>
      </w:r>
      <w:r w:rsidR="00F0339F" w:rsidRPr="00F0339F">
        <w:rPr>
          <w:noProof/>
          <w:color w:val="EE0000"/>
          <w:highlight w:val="yellow"/>
        </w:rPr>
      </w:r>
      <w:r w:rsidRPr="00807387">
        <w:rPr>
          <w:color w:val="EE0000"/>
          <w:highlight w:val="yellow"/>
        </w:rPr>
      </w:r>
      <w:r w:rsidRPr="00807387">
        <w:rPr>
          <w:color w:val="EE0000"/>
          <w:highlight w:val="yellow"/>
        </w:rPr>
      </w:r>
      <w:r w:rsidR="00F24BB1" w:rsidRPr="00807387">
        <w:rPr>
          <w:color w:val="EE0000"/>
          <w:highlight w:val="yellow"/>
        </w:rPr>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Escribir las proyecciones departamentales de cambio de temperatura y precipitación aplicables al proyecto.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Escribir el sentido del cambio proyectado y si el factor se aplica al hietograma.</w:t>
      </w:r>
      <w:r w:rsidRPr="00E13FBC"/>
      <w:r w:rsidRPr="00E13FBC"/>
      <w:r w:rsidRPr="00E13FBC"/>
      <w:r w:rsidR="00EB2B1C" w:rsidRPr="00E13FBC"/>
      <w:r w:rsidR="00EB2B1C">
        <w:rPr>
          <w:noProof/>
        </w:rPr>
      </w:r>
      <w:r w:rsidR="00EB2B1C">
        <w:rPr>
          <w:noProof/>
        </w:rPr>
      </w:r>
      <w:r w:rsidRPr="00E13FBC"/>
      <w:r w:rsidRPr="00E13FBC"/>
      <w:r w:rsidRPr="00EB2B1C">
        <w:rPr>
          <w:color w:val="EE0000"/>
          <w:highlight w:val="yellow"/>
        </w:rPr>
      </w:r>
    </w:p>
    <w:p w14:paraId="10D57987" w14:textId="694F71EF" w:rsidR="00EB2B1C" w:rsidRPr="00E13FBC" w:rsidRDefault="00EB2B1C" w:rsidP="00EB2B1C">
      <w:pPr>
        <w:pStyle w:val="Descripcin"/>
        <w:keepNext/>
      </w:pPr>
      <w:bookmarkStart w:id="176" w:name="_Toc238403843"/>
      <w:r w:rsidRPr="00E13FBC">
        <w:t xml:space="preserve">Gráfico </w:t>
      </w:r>
      <w:fldSimple w:instr=" STYLEREF 1 \s ">
        <w:r>
          <w:rPr>
            <w:noProof/>
          </w:rPr>
          <w:t>4</w:t>
        </w:r>
      </w:fldSimple>
      <w:r w:rsidRPr="00E13FBC">
        <w:noBreakHyphen/>
      </w:r>
      <w:fldSimple w:instr=" SEQ Gráfico \* ARABIC \s 1 ">
        <w:r>
          <w:rPr>
            <w:noProof/>
          </w:rPr>
          <w:t>13</w:t>
        </w:r>
      </w:fldSimple>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701DE65" w14:textId="77777777" w:rsidR="005954B7" w:rsidRDefault="00000000">
      <w:r>
        <w:t xml:space="preserve">La zonificación agrupa las subcuencas en un número reducido de zonas pluviométricas, cada una representada por un único hietograma. Es necesaria porque en HEC-HMS cada hietograma distinto exige su propio pluviómetro: asignar una serie de diseño distinta a cada subcuenca y cada periodo de retorno multiplicaría el número de series hasta un punto que ningún consultor puede mantener ni revisar, mientras que agrupar subcuencas cuya lámina </w:t>
      </w:r>
      <w:r>
        <w:lastRenderedPageBreak/>
        <w:t>de diseño no difiere más de un umbral declarado reduce esa cantidad a un número manejable sin perder la variación espacial de la lluvia dentro de la cuenca. La lámina de cada zona se calcula como el promedio ponderado por área de las subcuencas que la componen, para que una subcuenca grande no pese lo mismo que una pequeña.</w:t>
      </w:r>
    </w:p>
    <w:p w14:paraId="0DBD8C21" w14:textId="77777777" w:rsidR="005954B7" w:rsidRDefault="00000000">
      <w:r>
        <w:t>El paso de la precipitación máxima en 24 horas a la duración de diseño de 3 horas se resuelve con tres hipótesis, calculadas en paralelo y sin que ninguna se adopte por defecto: la primera asigna la lámina completa de 24 horas a la duración de diseño, y es la más conservadora; la segunda integra la curva IDF adoptada sobre esa duración; y la tercera aplica un factor de escala declarado sobre la lámina de 24 horas. Las tres se calculan porque la diferencia entre ellas es la que permite decidir con criterio cuál adoptar, y esa decisión debe quedar registrada.</w:t>
      </w:r>
    </w:p>
    <w:p w14:paraId="286A2543" w14:textId="58530F25" w:rsidR="00983B87" w:rsidRPr="00E13FBC" w:rsidRDefault="00983B87" w:rsidP="00983B87">
      <w:pPr>
        <w:pStyle w:val="Descripcin"/>
        <w:keepNext/>
      </w:pPr>
      <w:bookmarkStart w:id="180" w:name="_Toc238403810"/>
      <w:r w:rsidRPr="00E13FBC">
        <w:t xml:space="preserve">Ilustración </w:t>
      </w:r>
      <w:fldSimple w:instr=" STYLEREF 1 \s ">
        <w:r>
          <w:rPr>
            <w:noProof/>
          </w:rPr>
          <w:t>4</w:t>
        </w:r>
      </w:fldSimple>
      <w:r>
        <w:noBreakHyphen/>
      </w:r>
      <w:fldSimple w:instr=" SEQ Ilustración \* ARABIC \s 1 ">
        <w:r>
          <w:rPr>
            <w:noProof/>
          </w:rPr>
          <w:t>19</w:t>
        </w:r>
      </w:fldSimple>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fldSimple w:instr=" STYLEREF 1 \s ">
        <w:r>
          <w:rPr>
            <w:noProof/>
          </w:rPr>
          <w:t>4</w:t>
        </w:r>
      </w:fldSimple>
      <w:r>
        <w:noBreakHyphen/>
      </w:r>
      <w:fldSimple w:instr=" SEQ Ilustración \* ARABIC \s 1 ">
        <w:r>
          <w:rPr>
            <w:noProof/>
          </w:rPr>
          <w:t>20</w:t>
        </w:r>
      </w:fldSimple>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fldSimple w:instr=" STYLEREF 1 \s ">
        <w:r>
          <w:rPr>
            <w:noProof/>
          </w:rPr>
          <w:t>4</w:t>
        </w:r>
      </w:fldSimple>
      <w:r w:rsidRPr="00E13FBC">
        <w:noBreakHyphen/>
      </w:r>
      <w:fldSimple w:instr=" SEQ Gráfico \* ARABIC \s 1 ">
        <w:r>
          <w:rPr>
            <w:noProof/>
          </w:rPr>
          <w:t>14</w:t>
        </w:r>
      </w:fldSimple>
      <w:r w:rsidRPr="00E13FBC">
        <w:t xml:space="preserve">. </w:t>
      </w:r>
      <w:r>
        <w:t>Análisis de 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fldSimple w:instr=" STYLEREF 1 \s ">
        <w:r>
          <w:rPr>
            <w:noProof/>
          </w:rPr>
          <w:t>5</w:t>
        </w:r>
      </w:fldSimple>
      <w:r>
        <w:noBreakHyphen/>
      </w:r>
      <w:fldSimple w:instr=" SEQ Ilustración \* ARABIC \s 1 ">
        <w:r>
          <w:rPr>
            <w:noProof/>
          </w:rPr>
          <w:t>5</w:t>
        </w:r>
      </w:fldSimple>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lastRenderedPageBreak/>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fldSimple w:instr=" STYLEREF 1 \s ">
        <w:r>
          <w:rPr>
            <w:noProof/>
          </w:rPr>
          <w:t>4</w:t>
        </w:r>
      </w:fldSimple>
      <w:r w:rsidRPr="00E13FBC">
        <w:noBreakHyphen/>
      </w:r>
      <w:fldSimple w:instr=" SEQ Gráfico \* ARABIC \s 1 ">
        <w:r>
          <w:rPr>
            <w:noProof/>
          </w:rPr>
          <w:t>15</w:t>
        </w:r>
      </w:fldSimple>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fldSimple w:instr=" STYLEREF 1 \s ">
        <w:r>
          <w:rPr>
            <w:noProof/>
          </w:rPr>
          <w:t>4</w:t>
        </w:r>
      </w:fldSimple>
      <w:r w:rsidRPr="00E13FBC">
        <w:noBreakHyphen/>
      </w:r>
      <w:fldSimple w:instr=" SEQ Gráfico \* ARABIC \s 1 ">
        <w:r>
          <w:rPr>
            <w:noProof/>
          </w:rPr>
          <w:t>22</w:t>
        </w:r>
      </w:fldSimple>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del Grafico 4-16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 xml:space="preserve">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w:t>
      </w:r>
      <w:r w:rsidRPr="00E13FBC">
        <w:lastRenderedPageBreak/>
        <w:t>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A continuación, se presentan tres ejercicios realizados para la construcción de curvas IDF a partir de diferentes metodologías, con el fin de determinar criterios de similitud o 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lastRenderedPageBreak/>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lastRenderedPageBreak/>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lastRenderedPageBreak/>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 xml:space="preserve">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w:t>
      </w:r>
      <w:r w:rsidR="008E67F9" w:rsidRPr="00033DE2">
        <w:rPr>
          <w:color w:val="EE0000"/>
          <w:highlight w:val="yellow"/>
        </w:rPr>
        <w:lastRenderedPageBreak/>
        <w:t>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fldSimple w:instr=" STYLEREF 1 \s ">
        <w:r>
          <w:rPr>
            <w:noProof/>
          </w:rPr>
          <w:t>5</w:t>
        </w:r>
      </w:fldSimple>
      <w:r w:rsidRPr="00E13FBC">
        <w:noBreakHyphen/>
      </w:r>
      <w:fldSimple w:instr=" SEQ Gráfico \* ARABIC \s 1 ">
        <w:r>
          <w:rPr>
            <w:noProof/>
          </w:rPr>
          <w:t>3</w:t>
        </w:r>
      </w:fldSimple>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5AB024AB" w14:textId="77777777" w:rsidR="005954B7" w:rsidRDefault="00000000">
      <w:r>
        <w:t>El procesamiento de la información de temperatura parte de las estaciones con registros de temperatura máxima y mínima diaria dentro del área de influencia. Con esos datos se calcula la temperatura media mensual de cada estación y se ajusta, por mínimos cuadrados, un gradiente altitudinal propio del estudio, en la forma T = a + b·h, con h la elevación de la estación. El ajuste se reporta con el intervalo de confianza de su pendiente y no solo con el coeficiente de determinación, porque con pocas estaciones y un rango de elevación estrecho el R² puede salir alto sin que la pendiente esté bien determinada, y es la pendiente la que se extrapola sobre las partes altas de la cuenca donde no hay estación. El gradiente se contrasta contra valores de referencia de la región antes de adoptarse.</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fldSimple w:instr=" STYLEREF 1 \s ">
        <w:r>
          <w:rPr>
            <w:noProof/>
          </w:rPr>
          <w:t>5</w:t>
        </w:r>
      </w:fldSimple>
      <w:r w:rsidRPr="00E13FBC">
        <w:noBreakHyphen/>
      </w:r>
      <w:fldSimple w:instr=" SEQ Gráfico \* ARABIC \s 1 ">
        <w:r>
          <w:rPr>
            <w:noProof/>
          </w:rPr>
          <w:t>5</w:t>
        </w:r>
      </w:fldSimple>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lastRenderedPageBreak/>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fldSimple w:instr=" STYLEREF 1 \s ">
        <w:r>
          <w:rPr>
            <w:noProof/>
          </w:rPr>
          <w:t>5</w:t>
        </w:r>
      </w:fldSimple>
      <w:r w:rsidRPr="00E13FBC">
        <w:noBreakHyphen/>
      </w:r>
      <w:fldSimple w:instr=" SEQ Gráfico \* ARABIC \s 1 ">
        <w:r>
          <w:rPr>
            <w:noProof/>
          </w:rPr>
          <w:t>6</w:t>
        </w:r>
      </w:fldSimple>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fldSimple w:instr=" STYLEREF 1 \s ">
        <w:r>
          <w:rPr>
            <w:noProof/>
          </w:rPr>
          <w:t>5</w:t>
        </w:r>
      </w:fldSimple>
      <w:r w:rsidRPr="00E13FBC">
        <w:noBreakHyphen/>
      </w:r>
      <w:fldSimple w:instr=" SEQ Gráfico \* ARABIC \s 1 ">
        <w:r>
          <w:rPr>
            <w:noProof/>
          </w:rPr>
          <w:t>7</w:t>
        </w:r>
      </w:fldSimple>
      <w:r w:rsidRPr="00E13FBC">
        <w:t xml:space="preserve">. </w:t>
      </w:r>
      <w:r>
        <w:t>Gradiente 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fldSimple w:instr=" STYLEREF 1 \s ">
        <w:r>
          <w:rPr>
            <w:noProof/>
          </w:rPr>
          <w:t>5</w:t>
        </w:r>
      </w:fldSimple>
      <w:r w:rsidRPr="00E13FBC">
        <w:noBreakHyphen/>
      </w:r>
      <w:fldSimple w:instr=" SEQ Gráfico \* ARABIC \s 1 ">
        <w:r>
          <w:rPr>
            <w:noProof/>
          </w:rPr>
          <w:t>8</w:t>
        </w:r>
      </w:fldSimple>
      <w:r w:rsidRPr="00E13FBC">
        <w:t xml:space="preserve">. </w:t>
      </w:r>
      <w:r>
        <w:t>Isoterma 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fldSimple w:instr=" STYLEREF 1 \s ">
        <w:r>
          <w:rPr>
            <w:noProof/>
          </w:rPr>
          <w:t>5</w:t>
        </w:r>
      </w:fldSimple>
      <w:r w:rsidRPr="00E13FBC">
        <w:noBreakHyphen/>
      </w:r>
      <w:fldSimple w:instr=" SEQ Gráfico \* ARABIC \s 1 ">
        <w:r>
          <w:rPr>
            <w:noProof/>
          </w:rPr>
          <w:t>10</w:t>
        </w:r>
      </w:fldSimple>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La evapotranspiración es la máxima cantidad de agua que puede evaporarse desde el suelo completamente cubierto por vegetación desarrollado en óptimas condiciones y sin limitaciones en la disponibilidad de agua, este proceso es la combinación de dos tipos de 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lastRenderedPageBreak/>
        <w:t>Para la estación que cuenta con datos de temperatura mensual completados en la totalidad de meses del año se realizó el cálculo de este parámetro a nivel mensual el cual se presenta en el Anexo 4.</w:t>
      </w:r>
    </w:p>
    <w:p w14:paraId="4445FAF6" w14:textId="77777777"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fldSimple w:instr=" STYLEREF 1 \s ">
        <w:r w:rsidR="00DD6B9B">
          <w:rPr>
            <w:noProof/>
          </w:rPr>
          <w:t>5</w:t>
        </w:r>
      </w:fldSimple>
      <w:r w:rsidRPr="00E13FBC">
        <w:noBreakHyphen/>
      </w:r>
      <w:fldSimple w:instr=" SEQ Gráfico \* ARABIC \s 1 ">
        <w:r w:rsidR="00DD6B9B">
          <w:rPr>
            <w:noProof/>
          </w:rPr>
          <w:t>11</w:t>
        </w:r>
      </w:fldSimple>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fldSimple w:instr=" STYLEREF 1 \s ">
        <w:r>
          <w:rPr>
            <w:noProof/>
          </w:rPr>
          <w:t>5</w:t>
        </w:r>
      </w:fldSimple>
      <w:r w:rsidRPr="00E13FBC">
        <w:noBreakHyphen/>
      </w:r>
      <w:fldSimple w:instr=" SEQ Gráfico \* ARABIC \s 1 ">
        <w:r>
          <w:rPr>
            <w:noProof/>
          </w:rPr>
          <w:t>12</w:t>
        </w:r>
      </w:fldSimple>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fldSimple w:instr=" STYLEREF 1 \s ">
        <w:r>
          <w:rPr>
            <w:noProof/>
          </w:rPr>
          <w:t>5</w:t>
        </w:r>
      </w:fldSimple>
      <w:r>
        <w:noBreakHyphen/>
      </w:r>
      <w:fldSimple w:instr=" SEQ Ilustración \* ARABIC \s 1 ">
        <w:r>
          <w:rPr>
            <w:noProof/>
          </w:rPr>
          <w:t>1</w:t>
        </w:r>
      </w:fldSimple>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65F16C84" w14:textId="77777777" w:rsidR="005E5EF5" w:rsidRPr="00E13FBC" w:rsidRDefault="005E5EF5" w:rsidP="005E5EF5">
      <w:pPr>
        <w:spacing w:before="0" w:after="0"/>
        <w:ind w:left="1416"/>
      </w:pPr>
      <w:r w:rsidRPr="00E13FBC">
        <w:lastRenderedPageBreak/>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fldSimple w:instr=" STYLEREF 1 \s ">
        <w:r>
          <w:rPr>
            <w:noProof/>
          </w:rPr>
          <w:t>5</w:t>
        </w:r>
      </w:fldSimple>
      <w:r w:rsidRPr="00E13FBC">
        <w:noBreakHyphen/>
      </w:r>
      <w:fldSimple w:instr=" SEQ Gráfico \* ARABIC \s 1 ">
        <w:r>
          <w:rPr>
            <w:noProof/>
          </w:rPr>
          <w:t>14</w:t>
        </w:r>
      </w:fldSimple>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fldSimple w:instr=" STYLEREF 1 \s ">
        <w:r>
          <w:rPr>
            <w:noProof/>
          </w:rPr>
          <w:t>5</w:t>
        </w:r>
      </w:fldSimple>
      <w:r w:rsidRPr="00E13FBC">
        <w:noBreakHyphen/>
      </w:r>
      <w:fldSimple w:instr=" SEQ Gráfico \* ARABIC \s 1 ">
        <w:r>
          <w:rPr>
            <w:noProof/>
          </w:rPr>
          <w:t>15</w:t>
        </w:r>
      </w:fldSimple>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fldSimple w:instr=" STYLEREF 1 \s ">
        <w:r>
          <w:rPr>
            <w:noProof/>
          </w:rPr>
          <w:t>5</w:t>
        </w:r>
      </w:fldSimple>
      <w:r w:rsidRPr="00E13FBC">
        <w:noBreakHyphen/>
      </w:r>
      <w:fldSimple w:instr=" SEQ Gráfico \* ARABIC \s 1 ">
        <w:r>
          <w:rPr>
            <w:noProof/>
          </w:rPr>
          <w:t>16</w:t>
        </w:r>
      </w:fldSimple>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5-16 y conclusiones del método seleccionado</w:t>
      </w:r>
      <w:r w:rsidRPr="00994560">
        <w:rPr>
          <w:b/>
          <w:bCs/>
          <w:color w:val="EE0000"/>
          <w:highlight w:val="green"/>
        </w:rPr>
        <w:t>.</w:t>
      </w:r>
    </w:p>
    <w:p w14:paraId="1AAE95C0" w14:textId="30D6956F" w:rsidR="00420F8D" w:rsidRPr="00E13FBC" w:rsidRDefault="00420F8D" w:rsidP="005E5EF5">
      <w:r w:rsidRPr="00E13FBC">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Analizar Gráfico 5-17.</w:t>
      </w:r>
      <w:r>
        <w:rPr>
          <w:b/>
          <w:bCs/>
          <w:color w:val="EE0000"/>
          <w:highlight w:val="green"/>
        </w:rPr>
      </w:r>
      <w:r w:rsidRPr="00994560">
        <w:rPr>
          <w:b/>
          <w:bCs/>
          <w:color w:val="EE0000"/>
          <w:highlight w:val="green"/>
        </w:rPr>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lastRenderedPageBreak/>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fldSimple w:instr=" STYLEREF 1 \s ">
        <w:r>
          <w:rPr>
            <w:noProof/>
          </w:rPr>
          <w:t>5</w:t>
        </w:r>
      </w:fldSimple>
      <w:r>
        <w:noBreakHyphen/>
      </w:r>
      <w:fldSimple w:instr=" SEQ Ilustración \* ARABIC \s 1 ">
        <w:r>
          <w:rPr>
            <w:noProof/>
          </w:rPr>
          <w:t>2</w:t>
        </w:r>
      </w:fldSimple>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79DCE488" w14:textId="77777777" w:rsidR="005954B7" w:rsidRDefault="00000000">
      <w:r>
        <w:t>Se presentan a continuación los resultados del balance hídrico a largo plazo, obtenidos de aplicar el método adoptado a la información hidroclimatológica caracterizada en los numerales anteriores.</w:t>
      </w:r>
    </w:p>
    <w:p w14:paraId="30A20143" w14:textId="1C807DA2" w:rsidR="00F93D53" w:rsidRPr="00E13FBC" w:rsidRDefault="00F93D53" w:rsidP="00F93D53">
      <w:pPr>
        <w:pStyle w:val="Descripcin"/>
        <w:keepNext/>
      </w:pPr>
      <w:bookmarkStart w:id="255" w:name="_Toc238403874"/>
      <w:r w:rsidRPr="00E13FBC">
        <w:t xml:space="preserve">Gráfico </w:t>
      </w:r>
      <w:fldSimple w:instr=" STYLEREF 1 \s ">
        <w:r>
          <w:rPr>
            <w:noProof/>
          </w:rPr>
          <w:t>5</w:t>
        </w:r>
      </w:fldSimple>
      <w:r w:rsidRPr="00E13FBC">
        <w:noBreakHyphen/>
      </w:r>
      <w:fldSimple w:instr=" SEQ Gráfico \* ARABIC \s 1 ">
        <w:r>
          <w:rPr>
            <w:noProof/>
          </w:rPr>
          <w:t>18</w:t>
        </w:r>
      </w:fldSimple>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fldSimple w:instr=" STYLEREF 1 \s ">
        <w:r>
          <w:rPr>
            <w:noProof/>
          </w:rPr>
          <w:t>5</w:t>
        </w:r>
      </w:fldSimple>
      <w:r w:rsidRPr="00E13FBC">
        <w:noBreakHyphen/>
      </w:r>
      <w:fldSimple w:instr=" SEQ Gráfico \* ARABIC \s 1 ">
        <w:r>
          <w:rPr>
            <w:noProof/>
          </w:rPr>
          <w:t>19</w:t>
        </w:r>
      </w:fldSimple>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lastRenderedPageBreak/>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fldSimple w:instr=" STYLEREF 1 \s ">
        <w:r>
          <w:rPr>
            <w:noProof/>
          </w:rPr>
          <w:t>5</w:t>
        </w:r>
      </w:fldSimple>
      <w:r w:rsidRPr="00E13FBC">
        <w:noBreakHyphen/>
      </w:r>
      <w:fldSimple w:instr=" SEQ Gráfico \* ARABIC \s 1 ">
        <w:r>
          <w:rPr>
            <w:noProof/>
          </w:rPr>
          <w:t>20</w:t>
        </w:r>
      </w:fldSimple>
      <w:r w:rsidRPr="00E13FBC">
        <w:t xml:space="preserve">. </w:t>
      </w:r>
      <w:r>
        <w:t>Balance por 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fldSimple w:instr=" STYLEREF 1 \s ">
        <w:r>
          <w:rPr>
            <w:noProof/>
          </w:rPr>
          <w:t>5</w:t>
        </w:r>
      </w:fldSimple>
      <w:r w:rsidRPr="00E13FBC">
        <w:noBreakHyphen/>
      </w:r>
      <w:fldSimple w:instr=" SEQ Gráfico \* ARABIC \s 1 ">
        <w:r>
          <w:rPr>
            <w:noProof/>
          </w:rPr>
          <w:t>21</w:t>
        </w:r>
      </w:fldSimple>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fldSimple w:instr=" STYLEREF 1 \s ">
        <w:r>
          <w:rPr>
            <w:noProof/>
          </w:rPr>
          <w:t>5</w:t>
        </w:r>
      </w:fldSimple>
      <w:r>
        <w:noBreakHyphen/>
      </w:r>
      <w:fldSimple w:instr=" SEQ Ilustración \* ARABIC \s 1 ">
        <w:r>
          <w:rPr>
            <w:noProof/>
          </w:rPr>
          <w:t>3</w:t>
        </w:r>
      </w:fldSimple>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fldSimple w:instr=" STYLEREF 1 \s ">
        <w:r>
          <w:rPr>
            <w:noProof/>
          </w:rPr>
          <w:t>5</w:t>
        </w:r>
      </w:fldSimple>
      <w:r>
        <w:noBreakHyphen/>
      </w:r>
      <w:fldSimple w:instr=" SEQ Ilustración \* ARABIC \s 1 ">
        <w:r>
          <w:rPr>
            <w:noProof/>
          </w:rPr>
          <w:t>4</w:t>
        </w:r>
      </w:fldSimple>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Escribir el caudal promedio mensual obtenido para la corriente de estudio.</w:t>
      </w:r>
      <w:r w:rsidR="00362BC5" w:rsidRPr="00D65C04">
        <w:rPr>
          <w:color w:val="EE0000"/>
          <w:highlight w:val="yellow"/>
        </w:rPr>
      </w:r>
      <w:r w:rsidRPr="00D65C04">
        <w:rPr>
          <w:color w:val="EE0000"/>
          <w:highlight w:val="yellow"/>
        </w:rPr>
      </w:r>
      <w:r w:rsidR="00AC5374" w:rsidRPr="00D65C04">
        <w:rPr>
          <w:color w:val="EE0000"/>
          <w:highlight w:val="yellow"/>
        </w:rPr>
      </w:r>
      <w:r w:rsidRPr="00D65C04">
        <w:rPr>
          <w:color w:val="EE0000"/>
          <w:highlight w:val="yellow"/>
        </w:rPr>
      </w:r>
    </w:p>
    <w:p w14:paraId="45AE0785" w14:textId="77777777" w:rsidR="00A056DD" w:rsidRPr="00E13FBC" w:rsidRDefault="00A056DD" w:rsidP="00A056DD">
      <w:pPr>
        <w:pStyle w:val="Ttulo3"/>
        <w:numPr>
          <w:ilvl w:val="2"/>
          <w:numId w:val="35"/>
        </w:numPr>
      </w:pPr>
      <w:bookmarkStart w:id="265" w:name="_Toc238403757"/>
      <w:bookmarkStart w:id="266" w:name="_Ref161065877"/>
      <w:bookmarkStart w:id="267" w:name="_Ref161065886"/>
      <w:r w:rsidRPr="00E13FBC">
        <w:t>Rendimiento Hídrico</w:t>
      </w:r>
      <w:bookmarkEnd w:id="265"/>
    </w:p>
    <w:p w14:paraId="4063613E" w14:textId="77777777" w:rsidR="00A056DD" w:rsidRDefault="00A056DD" w:rsidP="00A056DD">
      <w:pPr>
        <w:rPr>
          <w:color w:val="EE0000"/>
          <w:highlight w:val="yellow"/>
        </w:rPr>
      </w:pPr>
      <w:r w:rsidRPr="00A056DD">
        <w:rPr>
          <w:color w:val="EE0000"/>
          <w:highlight w:val="yellow"/>
        </w:rPr>
        <w:t>Escribir la oferta hídrica de la subzona según el Estudio Nacional del Agua, con su área y sus rendimientos.</w:t>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p>
    <w:p w14:paraId="32D291CF" w14:textId="5979C2C7" w:rsidR="004065E3" w:rsidRPr="00E13FBC" w:rsidRDefault="004065E3" w:rsidP="004065E3">
      <w:pPr>
        <w:pStyle w:val="Descripcin"/>
        <w:keepNext/>
      </w:pPr>
      <w:bookmarkStart w:id="268" w:name="_Toc238403817"/>
      <w:r w:rsidRPr="00E13FBC">
        <w:t xml:space="preserve">Ilustración </w:t>
      </w:r>
      <w:fldSimple w:instr=" STYLEREF 1 \s ">
        <w:r>
          <w:rPr>
            <w:noProof/>
          </w:rPr>
          <w:t>5</w:t>
        </w:r>
      </w:fldSimple>
      <w:r>
        <w:noBreakHyphen/>
      </w:r>
      <w:fldSimple w:instr=" SEQ Ilustración \* ARABIC \s 1 ">
        <w:r>
          <w:rPr>
            <w:noProof/>
          </w:rPr>
          <w:t>5</w:t>
        </w:r>
      </w:fldSimple>
      <w:r w:rsidRPr="00E13FBC">
        <w:t xml:space="preserve">. </w:t>
      </w:r>
      <w:r>
        <w:t>Mapa Rendimiento Hídrico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fldSimple w:instr=" STYLEREF 1 \s ">
        <w:r w:rsidR="00D62CEB">
          <w:rPr>
            <w:noProof/>
          </w:rPr>
          <w:t>5</w:t>
        </w:r>
      </w:fldSimple>
      <w:r w:rsidRPr="00E13FBC">
        <w:noBreakHyphen/>
      </w:r>
      <w:fldSimple w:instr=" SEQ Gráfico \* ARABIC \s 1 ">
        <w:r w:rsidR="00D62CEB">
          <w:rPr>
            <w:noProof/>
          </w:rPr>
          <w:t>23</w:t>
        </w:r>
      </w:fldSimple>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6"/>
      <w:bookmarkEnd w:id="267"/>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5-24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Escribir el índice de retención y regulación hídrica obtenido y su clasificación.</w:t>
      </w:r>
      <w:r w:rsidR="00D36B78" w:rsidRPr="00735524">
        <w:rPr>
          <w:color w:val="EE0000"/>
          <w:highlight w:val="yellow"/>
        </w:rPr>
      </w:r>
      <w:r w:rsidR="00D36B78" w:rsidRPr="00735524">
        <w:rPr>
          <w:color w:val="EE0000"/>
          <w:highlight w:val="yellow"/>
        </w:rPr>
      </w:r>
      <w:r w:rsidR="00D36B78" w:rsidRPr="00735524">
        <w:rPr>
          <w:color w:val="EE0000"/>
          <w:highlight w:val="yellow"/>
        </w:rPr>
      </w:r>
      <w:r w:rsidR="00E13FBC" w:rsidRPr="00735524">
        <w:rPr>
          <w:color w:val="EE0000"/>
          <w:highlight w:val="yellow"/>
        </w:rPr>
      </w:r>
      <w:r w:rsidR="00D36B78" w:rsidRPr="00735524">
        <w:rPr>
          <w:color w:val="EE0000"/>
          <w:highlight w:val="yellow"/>
        </w:rPr>
      </w:r>
      <w:r w:rsidR="00D36B78" w:rsidRPr="00735524">
        <w:rPr>
          <w:color w:val="EE0000"/>
          <w:highlight w:val="yellow"/>
        </w:rPr>
      </w:r>
      <w:r w:rsidR="00735524" w:rsidRPr="00735524">
        <w:rPr>
          <w:color w:val="EE0000"/>
          <w:highlight w:val="yellow"/>
        </w:rPr>
      </w:r>
      <w:r w:rsidR="00735524" w:rsidRPr="00735524">
        <w:rPr>
          <w:noProof/>
          <w:color w:val="EE0000"/>
          <w:highlight w:val="yellow"/>
        </w:rPr>
      </w:r>
      <w:r w:rsidR="00735524" w:rsidRPr="00735524">
        <w:rPr>
          <w:noProof/>
          <w:color w:val="EE0000"/>
          <w:highlight w:val="yellow"/>
        </w:rPr>
      </w:r>
      <w:r w:rsidR="00D36B78" w:rsidRPr="00735524">
        <w:rPr>
          <w:color w:val="EE0000"/>
          <w:highlight w:val="yellow"/>
        </w:rPr>
      </w:r>
      <w:r w:rsidR="00D36B78" w:rsidRPr="00735524">
        <w:rPr>
          <w:color w:val="EE0000"/>
          <w:highlight w:val="yellow"/>
        </w:rPr>
      </w:r>
      <w:r w:rsidR="00E25960" w:rsidRPr="00735524">
        <w:rPr>
          <w:color w:val="EE0000"/>
          <w:highlight w:val="yellow"/>
        </w:rPr>
      </w:r>
      <w:r w:rsidR="00EC6222" w:rsidRPr="00735524">
        <w:rPr>
          <w:color w:val="EE0000"/>
          <w:highlight w:val="yellow"/>
        </w:rPr>
      </w:r>
      <w:r w:rsidR="00E25960" w:rsidRPr="00735524">
        <w:rPr>
          <w:color w:val="EE0000"/>
          <w:highlight w:val="yellow"/>
        </w:rPr>
      </w:r>
      <w:r w:rsidR="00202CEF" w:rsidRPr="00735524">
        <w:rPr>
          <w:color w:val="EE0000"/>
          <w:highlight w:val="yellow"/>
        </w:rPr>
      </w:r>
      <w:r w:rsidR="00E25960" w:rsidRPr="00735524">
        <w:rPr>
          <w:color w:val="EE0000"/>
          <w:highlight w:val="yellow"/>
        </w:rPr>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Escribir el caudal ambiental por las dos metodologías y el adoptado.</w:t>
      </w:r>
      <w:r w:rsidRPr="00735524">
        <w:rPr>
          <w:color w:val="EE0000"/>
          <w:highlight w:val="yellow"/>
          <w:vertAlign w:val="subscript"/>
        </w:rPr>
      </w:r>
      <w:r w:rsidRPr="00735524">
        <w:rPr>
          <w:color w:val="EE0000"/>
          <w:highlight w:val="yellow"/>
        </w:rPr>
      </w:r>
      <w:r w:rsidR="00480C19" w:rsidRPr="00735524">
        <w:rPr>
          <w:color w:val="EE0000"/>
          <w:highlight w:val="yellow"/>
        </w:rPr>
      </w:r>
      <w:r w:rsidR="00480C19" w:rsidRPr="00735524">
        <w:rPr>
          <w:color w:val="EE0000"/>
          <w:highlight w:val="yellow"/>
          <w:vertAlign w:val="subscript"/>
        </w:rPr>
      </w:r>
      <w:r w:rsidR="00480C19" w:rsidRPr="00735524">
        <w:rPr>
          <w:color w:val="EE0000"/>
          <w:highlight w:val="yellow"/>
        </w:rPr>
      </w:r>
      <w:r w:rsidR="00E96B0B" w:rsidRPr="00735524">
        <w:rPr>
          <w:color w:val="EE0000"/>
          <w:highlight w:val="yellow"/>
        </w:rPr>
      </w:r>
      <w:r w:rsidR="00735524">
        <w:rPr>
          <w:color w:val="EE0000"/>
        </w:rPr>
      </w:r>
      <w:r w:rsidR="00735524" w:rsidRPr="00735524">
        <w:rPr>
          <w:b/>
          <w:bCs/>
          <w:color w:val="EE0000"/>
          <w:highlight w:val="green"/>
        </w:rPr>
      </w:r>
      <w:r w:rsidR="00735524">
        <w:rPr>
          <w:b/>
          <w:bCs/>
          <w:color w:val="EE0000"/>
          <w:highlight w:val="green"/>
        </w:rPr>
      </w:r>
      <w:r w:rsidR="00735524" w:rsidRPr="00735524">
        <w:rPr>
          <w:b/>
          <w:bCs/>
          <w:color w:val="EE0000"/>
          <w:highlight w:val="green"/>
        </w:rPr>
      </w:r>
    </w:p>
    <w:p w14:paraId="5C9589D6" w14:textId="7831A3AF" w:rsidR="00735524" w:rsidRPr="00E13FBC" w:rsidRDefault="00735524" w:rsidP="00735524">
      <w:pPr>
        <w:pStyle w:val="Descripcin"/>
        <w:keepNext/>
      </w:pPr>
      <w:bookmarkStart w:id="280" w:name="_Toc238403882"/>
      <w:r w:rsidRPr="00E13FBC">
        <w:t xml:space="preserve">Gráfico </w:t>
      </w:r>
      <w:fldSimple w:instr=" STYLEREF 1 \s ">
        <w:r>
          <w:rPr>
            <w:noProof/>
          </w:rPr>
          <w:t>5</w:t>
        </w:r>
      </w:fldSimple>
      <w:r w:rsidRPr="00E13FBC">
        <w:noBreakHyphen/>
      </w:r>
      <w:fldSimple w:instr=" SEQ Gráfico \* ARABIC \s 1 ">
        <w:r>
          <w:rPr>
            <w:noProof/>
          </w:rPr>
          <w:t>25</w:t>
        </w:r>
      </w:fldSimple>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29"/>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fldSimple w:instr=" STYLEREF 1 \s ">
        <w:r>
          <w:rPr>
            <w:noProof/>
          </w:rPr>
          <w:t>5</w:t>
        </w:r>
      </w:fldSimple>
      <w:r w:rsidRPr="00E13FBC">
        <w:noBreakHyphen/>
      </w:r>
      <w:fldSimple w:instr=" SEQ Gráfico \* ARABIC \s 1 ">
        <w:r>
          <w:rPr>
            <w:noProof/>
          </w:rPr>
          <w:t>27</w:t>
        </w:r>
      </w:fldSimple>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fldSimple w:instr=" STYLEREF 1 \s ">
        <w:r>
          <w:rPr>
            <w:noProof/>
          </w:rPr>
          <w:t>5</w:t>
        </w:r>
      </w:fldSimple>
      <w:r>
        <w:noBreakHyphen/>
      </w:r>
      <w:fldSimple w:instr=" SEQ Ilustración \* ARABIC \s 1 ">
        <w:r>
          <w:rPr>
            <w:noProof/>
          </w:rPr>
          <w:t>10</w:t>
        </w:r>
      </w:fldSimple>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Analizar 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0"/>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por tramo; y el método de Muskingum-Cunge, que resuelve la misma ecuación pero deriva K y X de la hidráulica del tramo, a partir de su geometría, su pendiente y su resistencia. El método adoptado para los resultados del modelo es el de Muskingum, con K y X declarados por clase de pendiente del tramo; Muskingum-Cunge se calcula en paralelo y sus parámetros se reportan como contraste, de modo que la tabla de tránsito permite comparar el valor declarado con el que resultaría de la linealización.</w:t>
      </w:r>
    </w:p>
    <w:p w14:paraId="444E3500" w14:textId="67E6F807" w:rsidR="00640FA9" w:rsidRPr="00E13FBC" w:rsidRDefault="00022F19" w:rsidP="001A54D5">
      <w:r w:rsidRPr="00E13FBC">
        <w:t>El parámetro K puede tomarse como el tiempo que le toma a la onda recorrer la longitud total del tramo en estudio, y se obtiene aquí como el cociente entre su longitud y una celeridad de onda asignada según la clase de pendiente del tramo. X es una constante entre 0 y 0,5 que refleja cuánto atenúa el tramo la onda de creciente: valores cercanos a 0,5 la trasladan casi sin atenuarla y valores cercanos a 0 la asimilan al comportamiento de un embalse de nivel horizontal; también se asigna por clase de pendiente. La linealización de Cunge se calcula igualmente y su valor de X se reporta al lado del adoptado. Sobre la geometría disponible esa linealización arroja valores de X próximos a 0,5, es decir, traslación prácticamente sin atenuación, lo que superpone en el punto de entrega los picos de los tributarios; en ausencia de hidrogramas observados con que dirimirlo, se adoptan parámetros declarados y el contraste queda documentado.</w:t>
      </w:r>
    </w:p>
    <w:p w14:paraId="413DBF84" w14:textId="71273923" w:rsidR="00DB5798" w:rsidRPr="00E13FBC" w:rsidRDefault="00650EE5" w:rsidP="001A54D5">
      <w:r w:rsidRPr="00E13FBC">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lastRenderedPageBreak/>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5-11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Curva de almacenamiento y descarga del embalse</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1471"/>
        <w:gridCol w:w="1471"/>
        <w:gridCol w:w="1471"/>
        <w:gridCol w:w="1471"/>
        <w:gridCol w:w="1471"/>
        <w:gridCol w:w="1471"/>
      </w:tblGrid>
      <w:tr w:rsidR="005112B7" w:rsidRPr="00F110CF" w14:paraId="78DA2F3A" w14:textId="77777777" w:rsidTr="00531F48">
        <w:trPr>
          <w:trHeight w:val="20"/>
        </w:trPr>
        <w:tc>
          <w:tcPr>
            <w:tcW w:w="833"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Embalse</w:t>
            </w:r>
          </w:p>
        </w:tc>
        <w:tc>
          <w:tcPr>
            <w:tcW w:w="833"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(m.s.n.m.)</w:t>
            </w:r>
          </w:p>
        </w:tc>
        <w:tc>
          <w:tcPr>
            <w:tcW w:w="833"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(miles de m³)</w:t>
            </w:r>
          </w:p>
        </w:tc>
        <w:tc>
          <w:tcPr>
            <w:tcW w:w="833"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(hm³)</w:t>
            </w:r>
          </w:p>
        </w:tc>
        <w:tc>
          <w:tcPr>
            <w:tcW w:w="833"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Lámina sobre la cresta (m)</w:t>
            </w:r>
          </w:p>
        </w:tc>
        <w:tc>
          <w:tcPr>
            <w:tcW w:w="833"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Descarga (m³/s)</w:t>
            </w:r>
          </w:p>
        </w:tc>
      </w:tr>
      <w:tr w:rsidR="005112B7" w:rsidRPr="00F110CF" w14:paraId="5C7515D7" w14:textId="77777777" w:rsidTr="00EE524F">
        <w:trPr>
          <w:trHeight w:val="20"/>
        </w:trPr>
        <w:tc>
          <w:tcPr>
            <w:tcW w:w="833"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833"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EAAB, INCOHISA, 2024.</w:t>
      </w:r>
      <w:commentRangeEnd w:id="4"/>
      <w:r w:rsidR="005E2097" w:rsidRPr="00E13FBC">
        <w:rPr>
          <w:rStyle w:val="Refdecomentario"/>
          <w:sz w:val="18"/>
          <w:szCs w:val="18"/>
        </w:rPr>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1"/>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322775E9" w14:textId="77777777" w:rsidR="005954B7" w:rsidRDefault="00000000">
      <w:r>
        <w:t>La calibración de un modelo lluvia-escorrentía consiste en ajustar, dentro de su rango físicamente justificado, los parámetros que el modelo no puede medir directamente (el número de curva, los parámetros del tránsito de crecientes y el tiempo de rezago) hasta que el hidrograma simulado reproduzca el hidrograma observado en un punto de control. La comparación se hace con métricas objetivas, como el coeficiente de Nash-Sutcliffe, el error cuadrático medio y el sesgo porcentual (PBIAS), y no solo por inspección visual. La calibración exige series de caudal observadas en el punto de control o cerca de él; sin series limnigráficas o limnimétricas utilizables, el modelo se deja sin calibrar y los parámetros quedan en los valores que la caracterización morfométrica y la doctrina adoptada determinan, lo que debe declararse explícitamente en el informe.</w:t>
      </w:r>
      <w:r/>
    </w:p>
    <w:p>
      <w:pPr/>
      <w:r>
        <w:t>En este estudio no se realizó una calibración del modelo. Sobre la corriente de interés no existen series de caudal medidas en el sitio de proyecto, de modo que no hay un hidrograma observado contra el cual ajustar los parámetros. Lo que sí es posible, y es lo que se presenta a continuación, es una VERIFICACIÓN: contrastar los caudales que el modelo produce contra los caudales observados en las estaciones limnimétricas disponibles dentro de la cuenca, sin modificar ningún parámetro para acercarse a ellos. La distinción no es de matiz. Si los parámetros se hubieran ajustado para reproducir estas cifras, la coincidencia posterior dejaría de ser evidencia de que el modelo es adecuado y pasaría a ser el resultado de haberla buscado.</w:t>
      </w:r>
    </w:p>
    <w:p>
      <w:pPr/>
      <w:r>
        <w:t>El contraste se hace sobre el caudal máximo instantáneo de cada periodo de retorno, y el dato disponible es el máximo de los caudales MEDIOS DIARIOS registrados. Como el pico instantáneo de un día siempre es mayor o igual que la media de ese día, el valor observado constituye una COTA INFERIOR del pico real. De ahí que la prueba sea de un solo lado: un caudal modelado por debajo de esa cota es demasiado bajo con certeza, mientras que uno por encima no queda demostrado correcto, únicamente no refutado. Sobre cada serie se ajusta además una distribución de frecuencia y se acompaña la banda de confianza correspondiente, que expresa hasta qué punto el número de años de registro permite afirmar algo sobre el periodo de retorno contrastado. Los periodos cuyo caudal sería una extrapolación de la distribución, y no una observación, no se verifican: contrastarlos compararía dos extrapolaciones.</w:t>
      </w:r>
    </w:p>
    <w:p>
      <w:pPr/>
      <w:r>
        <w:t>Las estaciones con menos años de registro de los que se exigen para verificar se contrastan como INDICATIVAS. Aportan cobertura sobre ramas de la cuenca que de otro modo quedarían sin ningún contraste, pero no cuentan para el veredicto ni sostienen por sí solas un cambio de parámetro: con pocos años, el ajuste de frecuencia lo decide un único año extremo. La condición de cada pareja se indica en la tabla.</w:t>
      </w:r>
    </w:p>
    <w:p>
      <w:pPr/>
      <w:r>
        <w:t>El resultado del contraste debe leerse teniendo en cuenta la REGULACIÓN AGUAS ARRIBA de las estaciones disponibles. Ambas registran una corriente que recibe la operación de un embalse situado aguas arriba de ellas, de modo que su serie de caudales medios diarios no representa la respuesta natural de la cuenca a la lluvia: incorpora las descargas de fondo, los vertimientos y las captaciones, que responden a criterios de operación y no a la creciente. En la estación de registro largo el caudal observado supera de forma sistemática al modelado en todos los periodos contrastados, lo que es coherente con una serie que contabiliza aportes que el modelo de creciente no simula, y no permite concluir que el modelo subestime la respuesta de la cuenca. En sentido contrario, tampoco puede tomarse como confirmación un contraste favorable sobre una serie regulada. Por esta razón la verificación se declara como acotamiento y no como validación, y no se ajustó ningún parámetro a partir de ella.</w:t>
      </w:r>
    </w:p>
    <w:p>
      <w:pPr/>
      <w:r>
        <w:t>Cuando un estudio no dispone de ninguna estación de caudal utilizable, la verificación externa no es posible y se recurre a comprobaciones de consistencia interna del propio modelo: que el caudal crezca de forma monótona con el periodo de retorno, que escale con el área de drenaje entre puntos anidados dentro del rango habitual en crecientes, y que el tiempo al pico guarde relación con el tiempo de concentración calculado. Estas comprobaciones acotan el resultado, pero no demuestran que el caudal sea correcto, y esa limitación debe declararse.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5-12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Verificación de crecientes contra caudal observado</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980"/>
        <w:gridCol w:w="980"/>
        <w:gridCol w:w="980"/>
        <w:gridCol w:w="980"/>
        <w:gridCol w:w="980"/>
        <w:gridCol w:w="980"/>
        <w:gridCol w:w="980"/>
        <w:gridCol w:w="980"/>
        <w:gridCol w:w="980"/>
      </w:tblGrid>
      <w:tr w:rsidR="005112B7" w:rsidRPr="00F110CF" w14:paraId="78DA2F3A" w14:textId="77777777" w:rsidTr="00531F48">
        <w:trPr>
          <w:trHeight w:val="20"/>
        </w:trPr>
        <w:tc>
          <w:tcPr>
            <w:tcW w:w="555"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Estación</w:t>
            </w:r>
          </w:p>
        </w:tc>
        <w:tc>
          <w:tcPr>
            <w:tcW w:w="555"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Años</w:t>
            </w:r>
          </w:p>
        </w:tc>
        <w:tc>
          <w:tcPr>
            <w:tcW w:w="555"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Contraste</w:t>
            </w:r>
          </w:p>
        </w:tc>
        <w:tc>
          <w:tcPr>
            <w:tcW w:w="555"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 (años)</w:t>
            </w:r>
          </w:p>
        </w:tc>
        <w:tc>
          <w:tcPr>
            <w:tcW w:w="555"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inferior del pico (m³/s)</w:t>
            </w:r>
          </w:p>
        </w:tc>
        <w:tc>
          <w:tcPr>
            <w:tcW w:w="555"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inferior (m³/s)</w:t>
            </w:r>
          </w:p>
        </w:tc>
        <w:tc>
          <w:tcPr>
            <w:tcW w:w="55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superior (m³/s)</w:t>
            </w:r>
          </w:p>
        </w:tc>
        <w:tc>
          <w:tcPr>
            <w:tcW w:w="555"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Pico modelado (m³/s)</w:t>
            </w:r>
          </w:p>
        </w:tc>
        <w:tc>
          <w:tcPr>
            <w:tcW w:w="555"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Holgura (%)</w:t>
            </w:r>
          </w:p>
        </w:tc>
      </w:tr>
      <w:tr w:rsidR="005112B7" w:rsidRPr="00F110CF" w14:paraId="5C7515D7" w14:textId="77777777" w:rsidTr="00EE524F">
        <w:trPr>
          <w:trHeight w:val="20"/>
        </w:trPr>
        <w:tc>
          <w:tcPr>
            <w:tcW w:w="555"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555"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Verificación de crecientes en la estación de mayor registro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M14c_verificacion_J24.png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Contraste indicativo en la estación de registro corto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M14c_verificacion_J29.png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Media móvil de 24 horas del hidrograma modelado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M14c_media_movil_24h.png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2"/>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3"/>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4"/>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5"/>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17C6564B" w14:textId="55C7A388"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003D4C63">
        <w:rPr>
          <w:b/>
          <w:bCs/>
          <w:i/>
          <w:iCs/>
          <w:color w:val="EE0000"/>
          <w:highlight w:val="green"/>
        </w:rPr>
        <w:t>1 de resultados sin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0F7D263D" w:rsidR="007811DA" w:rsidRPr="00E13FBC" w:rsidRDefault="007811DA" w:rsidP="007811DA">
      <w:pPr>
        <w:pStyle w:val="Descripcin"/>
        <w:keepNext/>
      </w:pPr>
      <w:bookmarkStart w:id="318" w:name="_Ref160534028"/>
      <w:bookmarkStart w:id="319"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18"/>
      <w:r w:rsidRPr="00E13FBC">
        <w:t>. Qmax Vs. Periodo de Retorno</w:t>
      </w:r>
      <w:bookmarkEnd w:id="319"/>
      <w:r w:rsidR="003D4C63">
        <w:t xml:space="preserve"> (sin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AD3BA2" w:rsidRPr="00AD3BA2" w14:paraId="70BFECCA" w14:textId="77777777" w:rsidTr="00AD3BA2">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AD3BA2" w:rsidRPr="00AD3BA2" w14:paraId="4E90F041"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r/>
          </w:p>
        </w:tc>
      </w:tr>
    </w:tbl>
    <w:p w14:paraId="408ADC43" w14:textId="77777777" w:rsidR="007811DA" w:rsidRPr="00E13FBC" w:rsidRDefault="007811DA" w:rsidP="007811DA">
      <w:pPr>
        <w:pStyle w:val="Fuente"/>
      </w:pPr>
      <w:r w:rsidRPr="00E13FBC">
        <w:t>Fuente: INCOHISA, 2024.</w:t>
      </w:r>
    </w:p>
    <w:p w14:paraId="6B5C7429" w14:textId="5B545C67" w:rsidR="004B6044" w:rsidRPr="00E13FBC" w:rsidRDefault="004B6044" w:rsidP="004B6044">
      <w:pPr>
        <w:pStyle w:val="Descripcin"/>
        <w:keepNext/>
      </w:pPr>
      <w:bookmarkStart w:id="320" w:name="_Ref160533866"/>
      <w:bookmarkStart w:id="321"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0"/>
      <w:r w:rsidRPr="00E13FBC">
        <w:t>. Hidrograma de Creciente Sitio de Proyecto</w:t>
      </w:r>
      <w:bookmarkEnd w:id="321"/>
      <w:r w:rsidR="003D4C63">
        <w:t xml:space="preserve"> (sin cambio climático)</w:t>
      </w:r>
    </w:p>
    <w:p w14:paraId="359E850E" w14:textId="69AE94B4" w:rsidR="00AD3BA2" w:rsidRPr="00506394" w:rsidRDefault="00AD3BA2" w:rsidP="00AD3BA2">
      <w:pPr>
        <w:pStyle w:val="Sinespaciado"/>
        <w:rPr>
          <w:b/>
          <w:bCs/>
          <w:i/>
          <w:iCs/>
          <w:color w:val="EE0000"/>
        </w:rPr>
      </w:pPr>
      <w:r w:rsidRPr="00AD3BA2">
        <w:rPr>
          <w:b/>
          <w:bCs/>
          <w:i/>
          <w:iCs/>
          <w:color w:val="EE0000"/>
          <w:highlight w:val="green"/>
        </w:rPr>
        <w:t>Colocar Figura: M14_hidrograma_Sink-1_referencia.png</w:t>
      </w:r>
      <w:r w:rsidR="003D4C63">
        <w:rPr>
          <w:b/>
          <w:bCs/>
          <w:i/>
          <w:iCs/>
          <w:color w:val="EE0000"/>
          <w:highlight w:val="green"/>
        </w:rPr>
      </w:r>
      <w:r w:rsidRPr="00AD3BA2">
        <w:rPr>
          <w:b/>
          <w:bCs/>
          <w:i/>
          <w:iCs/>
          <w:color w:val="EE0000"/>
          <w:highlight w:val="green"/>
        </w:rPr>
      </w:r>
    </w:p>
    <w:p w14:paraId="73D07B35" w14:textId="77777777" w:rsidR="00A45D1E" w:rsidRPr="00E13FBC" w:rsidRDefault="00A45D1E" w:rsidP="00A45D1E">
      <w:pPr>
        <w:pStyle w:val="Fuente"/>
      </w:pPr>
      <w:r w:rsidRPr="00E13FBC">
        <w:t>Fuente: INCOHISA, 2024.</w:t>
      </w:r>
    </w:p>
    <w:p w14:paraId="137BE331" w14:textId="404EA597"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Qmax Vs. Periodo de Retorno</w:t>
      </w:r>
      <w:r>
        <w:t xml:space="preserve"> (sin cambio climático)</w:t>
      </w:r>
    </w:p>
    <w:p w14:paraId="393116D1"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M14_qmax_vs_periodo_referencia.png</w:t>
      </w:r>
    </w:p>
    <w:p w14:paraId="0A92F2D5" w14:textId="77777777" w:rsidR="003D4C63" w:rsidRDefault="003D4C63" w:rsidP="003D4C63">
      <w:pPr>
        <w:pStyle w:val="Fuente"/>
      </w:pPr>
      <w:r w:rsidRPr="00E13FBC">
        <w:t>Fuente: INCOHISA, 2024.</w:t>
      </w:r>
    </w:p>
    <w:p w14:paraId="1D583C72" w14:textId="5A46C720" w:rsidR="003D4C63" w:rsidRPr="00506394" w:rsidRDefault="003D4C63" w:rsidP="003D4C63">
      <w:pPr>
        <w:rPr>
          <w:b/>
          <w:bCs/>
          <w:i/>
          <w:iCs/>
          <w:color w:val="EE0000"/>
        </w:rPr>
      </w:pPr>
      <w:r w:rsidRPr="00506394">
        <w:rPr>
          <w:b/>
          <w:bCs/>
          <w:i/>
          <w:iCs/>
          <w:color w:val="EE0000"/>
          <w:highlight w:val="green"/>
        </w:rPr>
        <w:t xml:space="preserve">Completar la Tabla </w:t>
      </w:r>
      <w:r>
        <w:rPr>
          <w:b/>
          <w:bCs/>
          <w:i/>
          <w:iCs/>
          <w:color w:val="EE0000"/>
          <w:highlight w:val="green"/>
        </w:rPr>
        <w:t>5-1</w:t>
      </w:r>
      <w:r>
        <w:rPr>
          <w:b/>
          <w:bCs/>
          <w:i/>
          <w:iCs/>
          <w:color w:val="EE0000"/>
          <w:highlight w:val="green"/>
        </w:rPr>
        <w:t>2</w:t>
      </w:r>
      <w:r>
        <w:rPr>
          <w:b/>
          <w:bCs/>
          <w:i/>
          <w:iCs/>
          <w:color w:val="EE0000"/>
          <w:highlight w:val="green"/>
        </w:rPr>
        <w:t xml:space="preserve"> de resultados </w:t>
      </w:r>
      <w:r>
        <w:rPr>
          <w:b/>
          <w:bCs/>
          <w:i/>
          <w:iCs/>
          <w:color w:val="EE0000"/>
          <w:highlight w:val="green"/>
        </w:rPr>
        <w:t>con</w:t>
      </w:r>
      <w:r>
        <w:rPr>
          <w:b/>
          <w:bCs/>
          <w:i/>
          <w:iCs/>
          <w:color w:val="EE0000"/>
          <w:highlight w:val="green"/>
        </w:rPr>
        <w:t xml:space="preserve">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7A5F9D22" w14:textId="4E752B72" w:rsidR="003D4C63" w:rsidRPr="00E13FBC" w:rsidRDefault="003D4C63" w:rsidP="003D4C63">
      <w:pPr>
        <w:pStyle w:val="Descripcin"/>
        <w:keepNext/>
      </w:pPr>
      <w:r w:rsidRPr="00E13FBC">
        <w:lastRenderedPageBreak/>
        <w:t xml:space="preserve">Tabla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Tabla \* ARABIC \s 1 </w:instrText>
      </w:r>
      <w:r>
        <w:fldChar w:fldCharType="separate"/>
      </w:r>
      <w:r>
        <w:rPr>
          <w:noProof/>
        </w:rPr>
        <w:t>12</w:t>
      </w:r>
      <w:r>
        <w:rPr>
          <w:noProof/>
        </w:rPr>
        <w:fldChar w:fldCharType="end"/>
      </w:r>
      <w:r w:rsidRPr="00E13FBC">
        <w:t>. Qmax Vs. Periodo de Retorno</w:t>
      </w:r>
      <w:r>
        <w:t xml:space="preserve"> (</w:t>
      </w:r>
      <w:r>
        <w:t>con</w:t>
      </w:r>
      <w:r>
        <w:t xml:space="preserve">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3D4C63" w:rsidRPr="00AD3BA2" w14:paraId="6C74569B" w14:textId="77777777" w:rsidTr="003A19F0">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411C0EE6"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3D4C63" w:rsidRPr="00AD3BA2" w14:paraId="2FC6C0BE"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462B7C55"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D4DA4D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76B8BAE4"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7E6BC48"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59D1EEF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65C89D1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3D4C63" w:rsidRPr="00AD3BA2" w14:paraId="55D28DC3"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76DD0FB6"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9B0BF64"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B25FD"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CDD1967"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09244AA1"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504FBD88"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r/>
          </w:p>
        </w:tc>
      </w:tr>
    </w:tbl>
    <w:p w14:paraId="099565E8" w14:textId="77777777" w:rsidR="003D4C63" w:rsidRPr="00E13FBC" w:rsidRDefault="003D4C63" w:rsidP="003D4C63">
      <w:pPr>
        <w:pStyle w:val="Fuente"/>
      </w:pPr>
      <w:r w:rsidRPr="00E13FBC">
        <w:t>Fuente: INCOHISA, 2024.</w:t>
      </w:r>
    </w:p>
    <w:p w14:paraId="4373369E" w14:textId="695CF755"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Hidrograma de Creciente Sitio de Proyecto</w:t>
      </w:r>
      <w:r>
        <w:t xml:space="preserve"> (</w:t>
      </w:r>
      <w:r>
        <w:t>con</w:t>
      </w:r>
      <w:r>
        <w:t xml:space="preserve"> cambio climático)</w:t>
      </w:r>
    </w:p>
    <w:p w14:paraId="36033439" w14:textId="77777777" w:rsidR="003D4C63" w:rsidRPr="00506394" w:rsidRDefault="003D4C63" w:rsidP="003D4C63">
      <w:pPr>
        <w:pStyle w:val="Sinespaciado"/>
        <w:rPr>
          <w:b/>
          <w:bCs/>
          <w:i/>
          <w:iCs/>
          <w:color w:val="EE0000"/>
        </w:rPr>
      </w:pPr>
      <w:r w:rsidRPr="00AD3BA2">
        <w:rPr>
          <w:b/>
          <w:bCs/>
          <w:i/>
          <w:iCs/>
          <w:color w:val="EE0000"/>
          <w:highlight w:val="green"/>
        </w:rPr>
        <w:t>Colocar Figura: M14_hidrograma_Sink-1.png</w:t>
      </w:r>
      <w:r>
        <w:rPr>
          <w:b/>
          <w:bCs/>
          <w:i/>
          <w:iCs/>
          <w:color w:val="EE0000"/>
          <w:highlight w:val="green"/>
        </w:rPr>
      </w:r>
      <w:r w:rsidRPr="00AD3BA2">
        <w:rPr>
          <w:b/>
          <w:bCs/>
          <w:i/>
          <w:iCs/>
          <w:color w:val="EE0000"/>
          <w:highlight w:val="green"/>
        </w:rPr>
      </w:r>
    </w:p>
    <w:p w14:paraId="33F74CF8" w14:textId="77777777" w:rsidR="003D4C63" w:rsidRPr="00E13FBC" w:rsidRDefault="003D4C63" w:rsidP="003D4C63">
      <w:pPr>
        <w:pStyle w:val="Fuente"/>
      </w:pPr>
      <w:r w:rsidRPr="00E13FBC">
        <w:t>Fuente: INCOHISA, 2024.</w:t>
      </w:r>
    </w:p>
    <w:p w14:paraId="31508CE7" w14:textId="181CE15E"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31</w:t>
      </w:r>
      <w:r>
        <w:rPr>
          <w:noProof/>
        </w:rPr>
        <w:fldChar w:fldCharType="end"/>
      </w:r>
      <w:r w:rsidRPr="00E13FBC">
        <w:t>. Qmax Vs. Periodo de Retorno</w:t>
      </w:r>
      <w:r>
        <w:t xml:space="preserve"> (</w:t>
      </w:r>
      <w:r>
        <w:t>con</w:t>
      </w:r>
      <w:r>
        <w:t xml:space="preserve"> cambio climático)</w:t>
      </w:r>
    </w:p>
    <w:p w14:paraId="7A3A4657"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M14_qmax_vs_periodo.png</w:t>
      </w:r>
    </w:p>
    <w:p w14:paraId="28A9824D" w14:textId="77777777" w:rsidR="003D4C63" w:rsidRDefault="003D4C63" w:rsidP="003D4C63">
      <w:pPr>
        <w:pStyle w:val="Fuente"/>
      </w:pPr>
      <w:r w:rsidRPr="00E13FBC">
        <w:t>Fuente: INCOHISA, 2024.</w:t>
      </w:r>
    </w:p>
    <w:p w14:paraId="07DF64EA" w14:textId="2812E4A5" w:rsidR="003D4C63" w:rsidRPr="00E13FBC" w:rsidRDefault="003D4C63" w:rsidP="003D4C63">
      <w:pPr>
        <w:pStyle w:val="Descripcin"/>
        <w:keepNext/>
      </w:pPr>
      <w:bookmarkStart w:id="322" w:name="_Ref160533957"/>
      <w:bookmarkStart w:id="323" w:name="_Toc238403884"/>
      <w:r w:rsidRPr="00E13FBC">
        <w:t>Gráfico 5-32. Comparación Caudales e Influencia Cambio Climático</w:t>
      </w:r>
      <w:r/>
      <w:r/>
      <w:r/>
      <w:r>
        <w:rPr>
          <w:noProof/>
        </w:rPr>
      </w:r>
      <w:r>
        <w:rPr>
          <w:noProof/>
        </w:rPr>
      </w:r>
      <w:r w:rsidRPr="00E13FBC"/>
      <w:r/>
      <w:r/>
      <w:r/>
      <w:r>
        <w:rPr>
          <w:noProof/>
        </w:rPr>
      </w:r>
      <w:r>
        <w:rPr>
          <w:noProof/>
        </w:rPr>
      </w:r>
      <w:bookmarkEnd w:id="322"/>
      <w:r w:rsidRPr="00E13FBC"/>
      <w:bookmarkEnd w:id="323"/>
      <w:r/>
    </w:p>
    <w:p w14:paraId="202F2B85" w14:textId="0C826498" w:rsidR="003D4C63" w:rsidRPr="00506394" w:rsidRDefault="003D4C63" w:rsidP="003D4C63">
      <w:pPr>
        <w:pStyle w:val="Sinespaciado"/>
        <w:rPr>
          <w:b/>
          <w:bCs/>
          <w:i/>
          <w:iCs/>
          <w:color w:val="EE0000"/>
        </w:rPr>
      </w:pPr>
      <w:r w:rsidRPr="00AD3BA2">
        <w:rPr>
          <w:b/>
          <w:bCs/>
          <w:i/>
          <w:iCs/>
          <w:color w:val="EE0000"/>
          <w:highlight w:val="green"/>
        </w:rPr>
        <w:t>Colocar Figura: M14_escenarios_cc.png</w:t>
      </w:r>
      <w:r>
        <w:rPr>
          <w:b/>
          <w:bCs/>
          <w:i/>
          <w:iCs/>
          <w:color w:val="EE0000"/>
          <w:highlight w:val="green"/>
        </w:rPr>
      </w:r>
      <w:r w:rsidRPr="00AD3BA2">
        <w:rPr>
          <w:b/>
          <w:bCs/>
          <w:i/>
          <w:iCs/>
          <w:color w:val="EE0000"/>
          <w:highlight w:val="green"/>
        </w:rPr>
      </w:r>
    </w:p>
    <w:p w14:paraId="4CA53DDF" w14:textId="77777777" w:rsidR="003D4C63" w:rsidRDefault="003D4C63" w:rsidP="003D4C63">
      <w:pPr>
        <w:pStyle w:val="Fuente"/>
      </w:pPr>
      <w:r w:rsidRPr="00E13FBC">
        <w:t>Fuente: INCOHISA, 2024.</w:t>
      </w:r>
    </w:p>
    <w:p>
      <w:pPr/>
      <w:r>
        <w:t>Los resultados se presentan en dos escenarios. El escenario de referencia se obtiene con la lluvia de diseño derivada directamente de los registros históricos de las estaciones, sin ninguna corrección; el escenario de diseño aplica sobre esa misma lluvia el factor de cambio climático que corresponde al periodo de retorno y a la ventana de proyección adoptada. Los dos se calculan con el mismo modelo, la misma distribución temporal de la tormenta, los mismos números de curva y el mismo tránsito: la única diferencia entre ellos es la lámina de precipitación.</w:t>
      </w:r>
    </w:p>
    <w:p>
      <w:pPr/>
      <w:r>
        <w:t>El incremento del caudal no es proporcional al incremento de la lluvia, y esa es la razón de calcular el segundo escenario en lugar de escalar el primero. El método del número de curva descuenta una abstracción inicial antes de que se produzca escorrentía, de modo que la fracción de la lluvia que se convierte en caudal aumenta con la magnitud del evento: un mismo porcentaje adicional de precipitación produce un porcentaje mayor de caudal, y ese efecto es más acentuado en las crecientes frecuentes, donde la lluvia total es pequeña frente al umbral de pérdidas, que en las extraordinarias. En consecuencia, el aporte relativo del factor de cambio climático disminuye a medida que crece el periodo de retorno, aunque su aporte absoluto aumente.</w:t>
      </w:r>
    </w:p>
    <w:p>
      <w:pPr/>
      <w:r>
        <w:t>El escenario de diseño, con el factor aplicado, es el que se adopta para el dimensionamiento hidráulico de las obras, en aplicación de la regla condicional que incorpora la proyección climática únicamente cuando es de incremento. El escenario de referencia no constituye una alternativa de diseño entre las que elegir: se presenta para separar explícitamente la parte del caudal que proviene del registro observado de la parte que proviene de la proyección, y así permitir que una revisión posterior evalúe por separado el modelo hidrológico y la hipótesis climática que se le superpone.</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Escribir la conclusión sobre la delimitación y caracterización de la cuenca, con su extensión.</w:t>
      </w:r>
      <w:r w:rsidRPr="007C6D4C">
        <w:rPr>
          <w:color w:val="EE0000"/>
          <w:highlight w:val="yellow"/>
          <w:vertAlign w:val="superscript"/>
        </w:rPr>
      </w:r>
      <w:r w:rsidRPr="007C6D4C">
        <w:rPr>
          <w:color w:val="EE0000"/>
          <w:highlight w:val="yellow"/>
        </w:rPr>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Escribir la conclusión del caudal ambiental estimado.</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Escribir la conclusión sobre el análisis de crecientes, con el rango de caudales por periodo de retorno.</w:t>
      </w:r>
      <w:r w:rsidR="002A2BA2" w:rsidRPr="007C6D4C">
        <w:rPr>
          <w:color w:val="EE0000"/>
          <w:highlight w:val="yellow"/>
        </w:rPr>
      </w:r>
      <w:r w:rsidRPr="007C6D4C">
        <w:rPr>
          <w:color w:val="EE0000"/>
          <w:highlight w:val="yellow"/>
        </w:rPr>
      </w:r>
      <w:r w:rsidR="002A2BA2" w:rsidRPr="007C6D4C">
        <w:rPr>
          <w:color w:val="EE0000"/>
          <w:highlight w:val="yellow"/>
        </w:rPr>
      </w:r>
      <w:r w:rsidR="002A2BA2" w:rsidRPr="007C6D4C">
        <w:rPr>
          <w:color w:val="EE0000"/>
          <w:highlight w:val="yellow"/>
          <w:vertAlign w:val="superscript"/>
        </w:rPr>
      </w:r>
      <w:r w:rsidR="002A2BA2" w:rsidRPr="007C6D4C">
        <w:rPr>
          <w:color w:val="EE0000"/>
          <w:highlight w:val="yellow"/>
        </w:rPr>
      </w:r>
      <w:r w:rsidR="002A2BA2" w:rsidRPr="007C6D4C">
        <w:rPr>
          <w:color w:val="EE0000"/>
          <w:highlight w:val="yellow"/>
          <w:vertAlign w:val="superscript"/>
        </w:rPr>
      </w:r>
      <w:r w:rsidR="002A2BA2" w:rsidRPr="007C6D4C">
        <w:rPr>
          <w:color w:val="EE0000"/>
          <w:highlight w:val="yellow"/>
        </w:rPr>
      </w:r>
      <w:r w:rsidR="00A417FC" w:rsidRPr="007C6D4C">
        <w:rPr>
          <w:color w:val="EE0000"/>
          <w:highlight w:val="yellow"/>
        </w:rPr>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6"/>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0F713" w14:textId="77777777" w:rsidR="00F139F2" w:rsidRDefault="00F139F2" w:rsidP="00475C15">
      <w:pPr>
        <w:spacing w:before="0" w:after="0"/>
      </w:pPr>
      <w:r>
        <w:separator/>
      </w:r>
    </w:p>
  </w:endnote>
  <w:endnote w:type="continuationSeparator" w:id="0">
    <w:p w14:paraId="0A531A88" w14:textId="77777777" w:rsidR="00F139F2" w:rsidRDefault="00F139F2"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8DFA" w14:textId="77777777" w:rsidR="00F139F2" w:rsidRDefault="00F139F2" w:rsidP="00475C15">
      <w:pPr>
        <w:spacing w:before="0" w:after="0"/>
      </w:pPr>
      <w:r>
        <w:separator/>
      </w:r>
    </w:p>
  </w:footnote>
  <w:footnote w:type="continuationSeparator" w:id="0">
    <w:p w14:paraId="2A2790DE" w14:textId="77777777" w:rsidR="00F139F2" w:rsidRDefault="00F139F2"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4C63"/>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4B7"/>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37BA"/>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39F2"/>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82</Pages>
  <Words>23265</Words>
  <Characters>127263</Characters>
  <Application>Microsoft Office Word</Application>
  <DocSecurity>0</DocSecurity>
  <Lines>6698</Lines>
  <Paragraphs>2640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5</cp:revision>
  <cp:lastPrinted>2024-06-13T21:31:00Z</cp:lastPrinted>
  <dcterms:created xsi:type="dcterms:W3CDTF">2026-08-23T23:54:00Z</dcterms:created>
  <dcterms:modified xsi:type="dcterms:W3CDTF">2026-09-03T13:53:00Z</dcterms:modified>
</cp:coreProperties>
</file>