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E5B4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kern w:val="0"/>
          <w:sz w:val="36"/>
          <w:szCs w:val="36"/>
        </w:rPr>
      </w:pPr>
      <w:r w:rsidRPr="002C4E19">
        <w:rPr>
          <w:rFonts w:ascii="Arial" w:hAnsi="Arial" w:cs="Arial"/>
          <w:b/>
          <w:bCs/>
          <w:kern w:val="0"/>
          <w:sz w:val="36"/>
          <w:szCs w:val="36"/>
        </w:rPr>
        <w:t>POP – PROCEDIMENTO OPERACIONAL PADRÃO</w:t>
      </w:r>
    </w:p>
    <w:p w14:paraId="4A5FF70B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kern w:val="0"/>
          <w:sz w:val="36"/>
          <w:szCs w:val="36"/>
        </w:rPr>
      </w:pPr>
      <w:r w:rsidRPr="002C4E19">
        <w:rPr>
          <w:rFonts w:ascii="Arial" w:hAnsi="Arial" w:cs="Arial"/>
          <w:b/>
          <w:bCs/>
          <w:kern w:val="0"/>
          <w:sz w:val="36"/>
          <w:szCs w:val="36"/>
        </w:rPr>
        <w:t>CRÉDITO &amp; COBRANÇA – SKAL ENGENHARIA</w:t>
      </w:r>
    </w:p>
    <w:p w14:paraId="392C7977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kern w:val="0"/>
          <w:sz w:val="36"/>
          <w:szCs w:val="36"/>
        </w:rPr>
      </w:pPr>
    </w:p>
    <w:p w14:paraId="3D969C43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5E9533DE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Versão: 1.0 – Revisão Final</w:t>
      </w:r>
    </w:p>
    <w:p w14:paraId="1CF3A172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Elaborado por: Jorge Guilherme Costa Ferreira – Gerente Financeiro</w:t>
      </w:r>
    </w:p>
    <w:p w14:paraId="0360B8DD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kern w:val="0"/>
        </w:rPr>
      </w:pPr>
    </w:p>
    <w:p w14:paraId="1BE5CED0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kern w:val="0"/>
        </w:rPr>
      </w:pPr>
    </w:p>
    <w:p w14:paraId="3F861357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kern w:val="0"/>
        </w:rPr>
      </w:pPr>
    </w:p>
    <w:p w14:paraId="53A3132C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kern w:val="0"/>
        </w:rPr>
      </w:pPr>
    </w:p>
    <w:p w14:paraId="132FD004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kern w:val="0"/>
        </w:rPr>
      </w:pPr>
    </w:p>
    <w:p w14:paraId="7436B5D7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kern w:val="0"/>
        </w:rPr>
      </w:pPr>
    </w:p>
    <w:p w14:paraId="45C6479F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0B0646D4" w14:textId="67704130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ind w:firstLine="1560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Documento elaborado para implantação completa do processo de crédito e cobrança</w:t>
      </w:r>
      <w:r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da SKAL Engenharia, incluindo política de crédito, cobrança preventiva e reativa, bloqueio</w:t>
      </w:r>
      <w:r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automático, notificação prévia de negativação, negativação a partir de 30 dias, protesto</w:t>
      </w:r>
      <w:r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em cartório, encaminhamento jurídico e integração informacional com representantes.</w:t>
      </w:r>
    </w:p>
    <w:p w14:paraId="15A4391D" w14:textId="017A9976" w:rsidR="002C4E19" w:rsidRDefault="002C4E19" w:rsidP="002C4E19">
      <w:pPr>
        <w:autoSpaceDE w:val="0"/>
        <w:autoSpaceDN w:val="0"/>
        <w:adjustRightInd w:val="0"/>
        <w:spacing w:after="0" w:line="360" w:lineRule="auto"/>
        <w:ind w:firstLine="1560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Válido em todo o território nacional, observando a legislação brasileira e as práticas</w:t>
      </w:r>
      <w:r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aplicáveis ao Estado do Piauí.</w:t>
      </w:r>
    </w:p>
    <w:p w14:paraId="5C7D0977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ind w:firstLine="1560"/>
        <w:jc w:val="both"/>
        <w:rPr>
          <w:rFonts w:ascii="Arial" w:hAnsi="Arial" w:cs="Arial"/>
          <w:kern w:val="0"/>
        </w:rPr>
      </w:pPr>
    </w:p>
    <w:p w14:paraId="2BC03D05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ind w:firstLine="1560"/>
        <w:jc w:val="both"/>
        <w:rPr>
          <w:rFonts w:ascii="Arial" w:hAnsi="Arial" w:cs="Arial"/>
          <w:kern w:val="0"/>
        </w:rPr>
      </w:pPr>
    </w:p>
    <w:p w14:paraId="38A6B3AD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ind w:firstLine="1560"/>
        <w:jc w:val="both"/>
        <w:rPr>
          <w:rFonts w:ascii="Arial" w:hAnsi="Arial" w:cs="Arial"/>
          <w:kern w:val="0"/>
        </w:rPr>
      </w:pPr>
    </w:p>
    <w:p w14:paraId="53826C6B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ind w:firstLine="1560"/>
        <w:jc w:val="both"/>
        <w:rPr>
          <w:rFonts w:ascii="Arial" w:hAnsi="Arial" w:cs="Arial"/>
          <w:kern w:val="0"/>
        </w:rPr>
      </w:pPr>
    </w:p>
    <w:p w14:paraId="30295D33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ind w:firstLine="1560"/>
        <w:jc w:val="both"/>
        <w:rPr>
          <w:rFonts w:ascii="Arial" w:hAnsi="Arial" w:cs="Arial"/>
          <w:kern w:val="0"/>
        </w:rPr>
      </w:pPr>
    </w:p>
    <w:p w14:paraId="38EAF841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ind w:firstLine="1560"/>
        <w:jc w:val="both"/>
        <w:rPr>
          <w:rFonts w:ascii="Arial" w:hAnsi="Arial" w:cs="Arial"/>
          <w:kern w:val="0"/>
        </w:rPr>
      </w:pPr>
    </w:p>
    <w:p w14:paraId="7B71E7EB" w14:textId="22C63635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br/>
      </w:r>
      <w:r w:rsidRPr="002C4E19">
        <w:rPr>
          <w:rFonts w:ascii="Arial" w:hAnsi="Arial" w:cs="Arial"/>
          <w:b/>
          <w:bCs/>
          <w:kern w:val="0"/>
        </w:rPr>
        <w:t>TERESINA – PIAUÍ</w:t>
      </w:r>
    </w:p>
    <w:p w14:paraId="4191BC57" w14:textId="2C684474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>NOV - 2025</w:t>
      </w:r>
    </w:p>
    <w:p w14:paraId="7DD91507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ind w:firstLine="1560"/>
        <w:jc w:val="both"/>
        <w:rPr>
          <w:rFonts w:ascii="Arial" w:hAnsi="Arial" w:cs="Arial"/>
          <w:kern w:val="0"/>
        </w:rPr>
      </w:pPr>
    </w:p>
    <w:p w14:paraId="500F4221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45CD153D" w14:textId="2027B7F8" w:rsidR="002C4E19" w:rsidRDefault="002C4E19">
      <w:pPr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b/>
          <w:bCs/>
          <w:kern w:val="0"/>
        </w:rPr>
        <w:br w:type="page"/>
      </w:r>
    </w:p>
    <w:p w14:paraId="582FD9D0" w14:textId="732989A1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lastRenderedPageBreak/>
        <w:t xml:space="preserve">1 </w:t>
      </w:r>
      <w:r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OBJETIVO</w:t>
      </w:r>
    </w:p>
    <w:p w14:paraId="158148FB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22953AB0" w14:textId="694A96C0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ind w:firstLine="1418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Estabelecer, de forma minuciosa e padronizada, o procedimento operacional padrão</w:t>
      </w:r>
      <w:r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(POP) para análise de crédito, concessão e controle de limites, faturamento, cobrança</w:t>
      </w:r>
      <w:r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preventiva, cobrança reativa, bloqueio automático, notificação prévia, negativação,</w:t>
      </w:r>
      <w:r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protesto e judicialização de títulos, garantindo segurança financeira, rastreabilidade e</w:t>
      </w:r>
      <w:r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conformidade legal.</w:t>
      </w:r>
    </w:p>
    <w:p w14:paraId="72E482E6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51F92E8E" w14:textId="3B545E48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 xml:space="preserve">2 </w:t>
      </w:r>
      <w:r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ESCOPO</w:t>
      </w:r>
    </w:p>
    <w:p w14:paraId="6B2FF5C7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114552CD" w14:textId="6F277C75" w:rsidR="002C4E19" w:rsidRDefault="002C4E19" w:rsidP="002C4E19">
      <w:pPr>
        <w:autoSpaceDE w:val="0"/>
        <w:autoSpaceDN w:val="0"/>
        <w:adjustRightInd w:val="0"/>
        <w:spacing w:after="0" w:line="360" w:lineRule="auto"/>
        <w:ind w:firstLine="1418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Este POP aplica-se a todas as operações de vendas a prazo da SKAL Engenharia com</w:t>
      </w:r>
      <w:r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clientes lojistas, construtoras, cooperativas de construção, arquitetos e grandes clientes</w:t>
      </w:r>
      <w:r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particulares, alcançando os setores de Cobrança, Financeiro, Análise de Crédito, Diretoria</w:t>
      </w:r>
      <w:r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Financeira, Jurídico e Comercial, bem como a comunicação com Representantes</w:t>
      </w:r>
      <w:r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Comerciais.</w:t>
      </w:r>
    </w:p>
    <w:p w14:paraId="06549E1C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2B864250" w14:textId="0A9EE821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 xml:space="preserve">3 </w:t>
      </w:r>
      <w:r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RESPONSABILIDADES</w:t>
      </w:r>
    </w:p>
    <w:p w14:paraId="44A21962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58AAC79C" w14:textId="4AB4A2ED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 xml:space="preserve">ETAPA </w:t>
      </w:r>
      <w:r>
        <w:rPr>
          <w:rFonts w:ascii="Arial" w:hAnsi="Arial" w:cs="Arial"/>
          <w:b/>
          <w:bCs/>
          <w:kern w:val="0"/>
        </w:rPr>
        <w:tab/>
      </w:r>
      <w:r>
        <w:rPr>
          <w:rFonts w:ascii="Arial" w:hAnsi="Arial" w:cs="Arial"/>
          <w:b/>
          <w:bCs/>
          <w:kern w:val="0"/>
        </w:rPr>
        <w:tab/>
      </w:r>
      <w:r>
        <w:rPr>
          <w:rFonts w:ascii="Arial" w:hAnsi="Arial" w:cs="Arial"/>
          <w:b/>
          <w:bCs/>
          <w:kern w:val="0"/>
        </w:rPr>
        <w:tab/>
      </w:r>
      <w:r>
        <w:rPr>
          <w:rFonts w:ascii="Arial" w:hAnsi="Arial" w:cs="Arial"/>
          <w:b/>
          <w:bCs/>
          <w:kern w:val="0"/>
        </w:rPr>
        <w:tab/>
      </w:r>
      <w:r>
        <w:rPr>
          <w:rFonts w:ascii="Arial" w:hAnsi="Arial" w:cs="Arial"/>
          <w:b/>
          <w:bCs/>
          <w:kern w:val="0"/>
        </w:rPr>
        <w:tab/>
      </w:r>
      <w:r w:rsidRPr="002C4E19">
        <w:rPr>
          <w:rFonts w:ascii="Arial" w:hAnsi="Arial" w:cs="Arial"/>
          <w:b/>
          <w:bCs/>
          <w:kern w:val="0"/>
        </w:rPr>
        <w:t>RESPONSÁVEL DIRETO</w:t>
      </w:r>
    </w:p>
    <w:p w14:paraId="2AB88FA1" w14:textId="66EC447C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 xml:space="preserve">Cadastro de clientes </w:t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 w:rsidRPr="002C4E19">
        <w:rPr>
          <w:rFonts w:ascii="Arial" w:hAnsi="Arial" w:cs="Arial"/>
          <w:kern w:val="0"/>
        </w:rPr>
        <w:t>Assistente de Cobrança</w:t>
      </w:r>
    </w:p>
    <w:p w14:paraId="056AD2CE" w14:textId="1ED05FFC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 xml:space="preserve">Análise e política de crédito </w:t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 w:rsidRPr="002C4E19">
        <w:rPr>
          <w:rFonts w:ascii="Arial" w:hAnsi="Arial" w:cs="Arial"/>
          <w:kern w:val="0"/>
        </w:rPr>
        <w:t>Analista Sênior de Crédito / Gerente Financeiro</w:t>
      </w:r>
    </w:p>
    <w:p w14:paraId="6E25EEF7" w14:textId="3EC8287C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 xml:space="preserve">Definição de limites e prazos </w:t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 w:rsidRPr="002C4E19">
        <w:rPr>
          <w:rFonts w:ascii="Arial" w:hAnsi="Arial" w:cs="Arial"/>
          <w:kern w:val="0"/>
        </w:rPr>
        <w:t>Analista Sênior de Crédito</w:t>
      </w:r>
    </w:p>
    <w:p w14:paraId="404D7A88" w14:textId="7729685B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 xml:space="preserve">Faturamento </w:t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 w:rsidRPr="002C4E19">
        <w:rPr>
          <w:rFonts w:ascii="Arial" w:hAnsi="Arial" w:cs="Arial"/>
          <w:kern w:val="0"/>
        </w:rPr>
        <w:t>Setor Fiscal/Faturamento</w:t>
      </w:r>
    </w:p>
    <w:p w14:paraId="77629689" w14:textId="05D4543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 xml:space="preserve">Cobrança preventiva (D-5 a D0) </w:t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 w:rsidRPr="002C4E19">
        <w:rPr>
          <w:rFonts w:ascii="Arial" w:hAnsi="Arial" w:cs="Arial"/>
          <w:kern w:val="0"/>
        </w:rPr>
        <w:t>Assistente de Cobrança</w:t>
      </w:r>
    </w:p>
    <w:p w14:paraId="1C35EB86" w14:textId="21ADF62D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 xml:space="preserve">Cobrança reativa (D1 a D21) </w:t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 w:rsidRPr="002C4E19">
        <w:rPr>
          <w:rFonts w:ascii="Arial" w:hAnsi="Arial" w:cs="Arial"/>
          <w:kern w:val="0"/>
        </w:rPr>
        <w:t>Assistente de Cobrança</w:t>
      </w:r>
    </w:p>
    <w:p w14:paraId="5B9940EE" w14:textId="068FF801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 xml:space="preserve">Bloqueio automático (D21) </w:t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 w:rsidRPr="002C4E19">
        <w:rPr>
          <w:rFonts w:ascii="Arial" w:hAnsi="Arial" w:cs="Arial"/>
          <w:kern w:val="0"/>
        </w:rPr>
        <w:t xml:space="preserve">Sistema TOTVS RM (configurado </w:t>
      </w:r>
      <w:r>
        <w:rPr>
          <w:rFonts w:ascii="Arial" w:hAnsi="Arial" w:cs="Arial"/>
          <w:kern w:val="0"/>
        </w:rPr>
        <w:t>pelo sistema)</w:t>
      </w:r>
    </w:p>
    <w:p w14:paraId="215CCEB8" w14:textId="369539E9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 xml:space="preserve">Notificação prévia (D21) </w:t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 w:rsidRPr="002C4E19">
        <w:rPr>
          <w:rFonts w:ascii="Arial" w:hAnsi="Arial" w:cs="Arial"/>
          <w:kern w:val="0"/>
        </w:rPr>
        <w:t>Assistente de Cobrança (disparo automatizado)</w:t>
      </w:r>
    </w:p>
    <w:p w14:paraId="00731DAC" w14:textId="15DB804E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 xml:space="preserve">Cobrança avançada (D21 a D29) </w:t>
      </w:r>
      <w:r>
        <w:rPr>
          <w:rFonts w:ascii="Arial" w:hAnsi="Arial" w:cs="Arial"/>
          <w:kern w:val="0"/>
        </w:rPr>
        <w:tab/>
      </w:r>
      <w:r w:rsidRPr="002C4E19">
        <w:rPr>
          <w:rFonts w:ascii="Arial" w:hAnsi="Arial" w:cs="Arial"/>
          <w:kern w:val="0"/>
        </w:rPr>
        <w:t>Analista Sênior de Crédito</w:t>
      </w:r>
    </w:p>
    <w:p w14:paraId="5B460522" w14:textId="57B3FD79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 xml:space="preserve">Renegociação de dívidas </w:t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 w:rsidRPr="002C4E19">
        <w:rPr>
          <w:rFonts w:ascii="Arial" w:hAnsi="Arial" w:cs="Arial"/>
          <w:kern w:val="0"/>
        </w:rPr>
        <w:t>Analista Sênior, com aval do Gerente Financeiro</w:t>
      </w:r>
    </w:p>
    <w:p w14:paraId="283FC54B" w14:textId="2800E095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 xml:space="preserve">Negativação (D30) </w:t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 w:rsidRPr="002C4E19">
        <w:rPr>
          <w:rFonts w:ascii="Arial" w:hAnsi="Arial" w:cs="Arial"/>
          <w:kern w:val="0"/>
        </w:rPr>
        <w:t>Analista Sênior de Crédito</w:t>
      </w:r>
    </w:p>
    <w:p w14:paraId="31808851" w14:textId="5CD97641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Análise e protesto cartório (D60 a D75) Analista Sênior + Diretor Financeiro</w:t>
      </w:r>
    </w:p>
    <w:p w14:paraId="2AFA5C80" w14:textId="1D9A7E25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 xml:space="preserve">Encaminhamento jurídico (D90+) </w:t>
      </w:r>
      <w:r>
        <w:rPr>
          <w:rFonts w:ascii="Arial" w:hAnsi="Arial" w:cs="Arial"/>
          <w:kern w:val="0"/>
        </w:rPr>
        <w:tab/>
      </w:r>
      <w:r w:rsidRPr="002C4E19">
        <w:rPr>
          <w:rFonts w:ascii="Arial" w:hAnsi="Arial" w:cs="Arial"/>
          <w:kern w:val="0"/>
        </w:rPr>
        <w:t>Departamento Jurídico</w:t>
      </w:r>
    </w:p>
    <w:p w14:paraId="61BB6281" w14:textId="7A456444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 xml:space="preserve">Relatórios a representantes </w:t>
      </w:r>
      <w:r>
        <w:rPr>
          <w:rFonts w:ascii="Arial" w:hAnsi="Arial" w:cs="Arial"/>
          <w:kern w:val="0"/>
        </w:rPr>
        <w:tab/>
      </w:r>
      <w:r>
        <w:rPr>
          <w:rFonts w:ascii="Arial" w:hAnsi="Arial" w:cs="Arial"/>
          <w:kern w:val="0"/>
        </w:rPr>
        <w:tab/>
      </w:r>
      <w:r w:rsidRPr="002C4E19">
        <w:rPr>
          <w:rFonts w:ascii="Arial" w:hAnsi="Arial" w:cs="Arial"/>
          <w:kern w:val="0"/>
        </w:rPr>
        <w:t>Setor Financeiro/Cobrança</w:t>
      </w:r>
    </w:p>
    <w:p w14:paraId="4297B8C5" w14:textId="77777777" w:rsidR="005524B4" w:rsidRDefault="005524B4">
      <w:pPr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b/>
          <w:bCs/>
          <w:kern w:val="0"/>
        </w:rPr>
        <w:br w:type="page"/>
      </w:r>
    </w:p>
    <w:p w14:paraId="6CBEDE0E" w14:textId="4CAA76AD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lastRenderedPageBreak/>
        <w:t xml:space="preserve">4 </w:t>
      </w:r>
      <w:r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POLÍTICA DE CRÉDITO</w:t>
      </w:r>
    </w:p>
    <w:p w14:paraId="5481A5C2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7159AE34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 política de crédito define critérios objetivos para concessão de limite e prazo, com</w:t>
      </w:r>
    </w:p>
    <w:p w14:paraId="187CE91E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base na classificação de risco do cliente:</w:t>
      </w:r>
    </w:p>
    <w:p w14:paraId="5FC60946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0B07F0DA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1457F0">
        <w:rPr>
          <w:rFonts w:ascii="Arial" w:hAnsi="Arial" w:cs="Arial"/>
          <w:b/>
          <w:bCs/>
          <w:kern w:val="0"/>
        </w:rPr>
        <w:t>Classificação de risco e diretrizes gerais:</w:t>
      </w:r>
    </w:p>
    <w:p w14:paraId="6C9EF9E3" w14:textId="77777777" w:rsidR="001457F0" w:rsidRPr="001457F0" w:rsidRDefault="001457F0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4AAFA393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Risco A – Baixo risco: histórico ótimo, sem restrições; limite mais elevado e prazos</w:t>
      </w:r>
    </w:p>
    <w:p w14:paraId="4F232A13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de até 35 dias;</w:t>
      </w:r>
    </w:p>
    <w:p w14:paraId="1311F56B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Risco B – Médio risco: histórico bom, atrasos pontuais; limite intermediário e prazos</w:t>
      </w:r>
    </w:p>
    <w:p w14:paraId="3300CD88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de até 28 dias;</w:t>
      </w:r>
    </w:p>
    <w:p w14:paraId="40D9B512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c) Risco C – Alto risco: atrasos recorrentes; limite reduzido, prazos de até 21 dias e</w:t>
      </w:r>
    </w:p>
    <w:p w14:paraId="7B044522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exigência de entradas ou garantias;</w:t>
      </w:r>
    </w:p>
    <w:p w14:paraId="6DDD2222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d) Risco D – Risco severo: histórico ruim, restrições ou inadimplência significativa;</w:t>
      </w:r>
    </w:p>
    <w:p w14:paraId="57736B0F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vendas somente à vista ou com garantias especiais.</w:t>
      </w:r>
    </w:p>
    <w:p w14:paraId="0B9A46D5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01DF1045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Os limites de crédito e prazos devem ser revisados periodicamente, considerando</w:t>
      </w:r>
    </w:p>
    <w:p w14:paraId="657FD72B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desempenho de pagamento, volume de compras e condições de mercado.</w:t>
      </w:r>
    </w:p>
    <w:p w14:paraId="54CE68EE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746E7DFD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>5 FLUXOGRAMA GERAL DO PROCESSO</w:t>
      </w:r>
    </w:p>
    <w:p w14:paraId="406A14AC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4DE43CEF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O fluxograma abaixo representa visualmente o fluxo macro do processo de crédito e</w:t>
      </w:r>
    </w:p>
    <w:p w14:paraId="48027790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cobrança, desde o cadastro até a etapa jurídica.</w:t>
      </w:r>
    </w:p>
    <w:p w14:paraId="012915C6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21B1A7E1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>6 DESCRIÇÃO DETALHADA DAS ETAPAS</w:t>
      </w:r>
    </w:p>
    <w:p w14:paraId="299D2724" w14:textId="77777777" w:rsidR="005524B4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65CE8DD2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3782310A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>6.1 Cadastro de Clientes</w:t>
      </w:r>
    </w:p>
    <w:p w14:paraId="51DFADEA" w14:textId="0FD74A0A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O cadastro de clientes é obrigatório para qualquer operação a prazo. O Assistente de</w:t>
      </w:r>
      <w:r w:rsidR="005524B4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Cobrança é responsável por receber, conferir e registrar os dados no TOTVS RM.</w:t>
      </w:r>
    </w:p>
    <w:p w14:paraId="015CC93E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0D1FCB45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Para Pessoa Jurídica, exigir no mínimo:</w:t>
      </w:r>
    </w:p>
    <w:p w14:paraId="17C5C0B4" w14:textId="77777777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Contrato social e última alteração;</w:t>
      </w:r>
    </w:p>
    <w:p w14:paraId="187E7A6E" w14:textId="77777777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Cartão CNPJ;</w:t>
      </w:r>
    </w:p>
    <w:p w14:paraId="472B9AEA" w14:textId="77777777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lastRenderedPageBreak/>
        <w:t>c) RG e CPF dos sócios;</w:t>
      </w:r>
    </w:p>
    <w:p w14:paraId="6EE2CB63" w14:textId="77777777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d) Comprovante de endereço;</w:t>
      </w:r>
    </w:p>
    <w:p w14:paraId="0DA180A4" w14:textId="77777777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e) Referências comerciais;</w:t>
      </w:r>
    </w:p>
    <w:p w14:paraId="07D0C7CF" w14:textId="77777777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f) Balanço e DRE, quando aplicável;</w:t>
      </w:r>
    </w:p>
    <w:p w14:paraId="6F8DF476" w14:textId="77777777" w:rsid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g) Ficha cadastral própria, assinada.</w:t>
      </w:r>
    </w:p>
    <w:p w14:paraId="39CDC45F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33E84FC6" w14:textId="69924C9A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 xml:space="preserve">6.2 </w:t>
      </w:r>
      <w:r w:rsidR="005524B4"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Análise de Crédito</w:t>
      </w:r>
    </w:p>
    <w:p w14:paraId="7FDD22DB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724930F9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 análise é realizada pelo Analista Sênior de Crédito, que deve combinar informações</w:t>
      </w:r>
    </w:p>
    <w:p w14:paraId="7CE8BCAF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internas e externas para definir o limite e o prazo:</w:t>
      </w:r>
    </w:p>
    <w:p w14:paraId="18ADF45E" w14:textId="77777777" w:rsidR="00210D3E" w:rsidRDefault="00210D3E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</w:p>
    <w:p w14:paraId="079B8C13" w14:textId="775BD2AB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Histórico de pagamentos na empresa;</w:t>
      </w:r>
    </w:p>
    <w:p w14:paraId="75596A2C" w14:textId="77777777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Score interno de crédito;</w:t>
      </w:r>
    </w:p>
    <w:p w14:paraId="024B1FCF" w14:textId="77777777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c) Consultas em Serasa, Boa Vista e similares;</w:t>
      </w:r>
    </w:p>
    <w:p w14:paraId="17100B90" w14:textId="77777777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d) Referências comerciais;</w:t>
      </w:r>
    </w:p>
    <w:p w14:paraId="5D98521A" w14:textId="77777777" w:rsid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e) Capacidade financeira e estrutura do cliente.</w:t>
      </w:r>
    </w:p>
    <w:p w14:paraId="461BB498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3792A888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O resultado da análise deve ser registrado no TOTVS RM com: limite, prazo padrão,</w:t>
      </w:r>
    </w:p>
    <w:p w14:paraId="10583144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classificação de risco e quaisquer condições especiais exigidas.</w:t>
      </w:r>
    </w:p>
    <w:p w14:paraId="4E913283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2266B899" w14:textId="41572386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 xml:space="preserve">6.3 </w:t>
      </w:r>
      <w:r w:rsidR="005524B4">
        <w:rPr>
          <w:rFonts w:ascii="Arial" w:hAnsi="Arial" w:cs="Arial"/>
          <w:b/>
          <w:bCs/>
          <w:kern w:val="0"/>
        </w:rPr>
        <w:t>–</w:t>
      </w:r>
      <w:r>
        <w:rPr>
          <w:rFonts w:ascii="Arial" w:hAnsi="Arial" w:cs="Arial"/>
          <w:b/>
          <w:bCs/>
          <w:kern w:val="0"/>
        </w:rPr>
        <w:t xml:space="preserve"> </w:t>
      </w:r>
      <w:r w:rsidRPr="002C4E19">
        <w:rPr>
          <w:rFonts w:ascii="Arial" w:hAnsi="Arial" w:cs="Arial"/>
          <w:b/>
          <w:bCs/>
          <w:kern w:val="0"/>
        </w:rPr>
        <w:t>Faturamento</w:t>
      </w:r>
    </w:p>
    <w:p w14:paraId="78CB567B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59C49694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O faturamento somente pode ocorrer se o cliente estiver aprovado e com limite</w:t>
      </w:r>
    </w:p>
    <w:p w14:paraId="65D1932A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disponível. O TOTVS RM deve impedir automaticamente faturamentos que extrapolem o</w:t>
      </w:r>
    </w:p>
    <w:p w14:paraId="3407A593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limite ou com cliente bloqueado.</w:t>
      </w:r>
    </w:p>
    <w:p w14:paraId="3D229E03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2467C0C9" w14:textId="77777777" w:rsidR="002C4E19" w:rsidRPr="001457F0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1457F0">
        <w:rPr>
          <w:rFonts w:ascii="Arial" w:hAnsi="Arial" w:cs="Arial"/>
          <w:b/>
          <w:bCs/>
          <w:kern w:val="0"/>
        </w:rPr>
        <w:t>Procedimento de faturamento:</w:t>
      </w:r>
    </w:p>
    <w:p w14:paraId="482C1C43" w14:textId="77777777" w:rsidR="00210D3E" w:rsidRDefault="00210D3E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</w:p>
    <w:p w14:paraId="3B5BA454" w14:textId="64847291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Conferir a situação do cliente e limite;</w:t>
      </w:r>
    </w:p>
    <w:p w14:paraId="45BC0507" w14:textId="77777777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Emitir NF-e conforme pedido;</w:t>
      </w:r>
    </w:p>
    <w:p w14:paraId="5919C791" w14:textId="77777777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c) Emitir boleto com data de vencimento de acordo com a política de crédito;</w:t>
      </w:r>
    </w:p>
    <w:p w14:paraId="4D09E057" w14:textId="77777777" w:rsidR="002C4E19" w:rsidRP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d) Enviar NF-e, boleto e demonstrativo por e-mail e, quando possível, por WhatsApp;</w:t>
      </w:r>
    </w:p>
    <w:p w14:paraId="0EF03B35" w14:textId="77777777" w:rsidR="002C4E19" w:rsidRDefault="002C4E19" w:rsidP="005524B4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e) Registrar no RM data e forma de envio.</w:t>
      </w:r>
    </w:p>
    <w:p w14:paraId="17CF5AF3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311C0C50" w14:textId="5F450C48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lastRenderedPageBreak/>
        <w:t xml:space="preserve">7 </w:t>
      </w:r>
      <w:r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FLUXO VISUAL DA COBRANÇA</w:t>
      </w:r>
    </w:p>
    <w:p w14:paraId="350D3F96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1C112B69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 seguir apresenta-se o fluxograma visual da linha do tempo da cobrança, com os</w:t>
      </w:r>
    </w:p>
    <w:p w14:paraId="59BB2685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principais marcos e responsáveis.</w:t>
      </w:r>
    </w:p>
    <w:p w14:paraId="6BC84DB9" w14:textId="191CD7A3" w:rsidR="00D82F94" w:rsidRDefault="00D82F9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D82F94">
        <w:rPr>
          <w:rFonts w:ascii="Arial" w:hAnsi="Arial" w:cs="Arial"/>
          <w:noProof/>
          <w:kern w:val="0"/>
        </w:rPr>
        <w:drawing>
          <wp:inline distT="0" distB="0" distL="0" distR="0" wp14:anchorId="6335ADD2" wp14:editId="621D6689">
            <wp:extent cx="6120765" cy="3790950"/>
            <wp:effectExtent l="0" t="0" r="0" b="0"/>
            <wp:docPr id="457149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8BD57" w14:textId="77777777" w:rsidR="005524B4" w:rsidRPr="002C4E19" w:rsidRDefault="005524B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7BC1B22D" w14:textId="393430E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 xml:space="preserve">8 </w:t>
      </w:r>
      <w:r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COBRANÇA PREVENTIVA (D-5 A D0)</w:t>
      </w:r>
    </w:p>
    <w:p w14:paraId="79943207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72B99637" w14:textId="795BC291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 cobrança preventiva busca evitar que os títulos entrem em atraso, por meio de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lembretes e confirmação de pagamento antes do vencimento. É conduzida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exclusivamente pelo Assistente de Cobrança.</w:t>
      </w:r>
    </w:p>
    <w:p w14:paraId="2EF28A59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54C4A15C" w14:textId="77777777" w:rsidR="002C4E19" w:rsidRPr="00210D3E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10D3E">
        <w:rPr>
          <w:rFonts w:ascii="Arial" w:hAnsi="Arial" w:cs="Arial"/>
          <w:b/>
          <w:bCs/>
          <w:kern w:val="0"/>
        </w:rPr>
        <w:t>Linha do tempo preventiva:</w:t>
      </w:r>
    </w:p>
    <w:p w14:paraId="62FE1572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166F171F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D-5: envio de NF-e, boleto e extrato de títulos a vencer (e-mail e WhatsApp);</w:t>
      </w:r>
    </w:p>
    <w:p w14:paraId="3ED6CBCA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D-3: confirmação de recebimento pelo cliente;</w:t>
      </w:r>
    </w:p>
    <w:p w14:paraId="5154E1D1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c) D-2: reenvio de extrato atualizado, se necessário;</w:t>
      </w:r>
    </w:p>
    <w:p w14:paraId="4067FC2C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d) D-1: ligação telefônica para confirmação da programação de pagamento;</w:t>
      </w:r>
    </w:p>
    <w:p w14:paraId="7041F760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e) D0: lembrete final até as 12h do dia do vencimento.</w:t>
      </w:r>
    </w:p>
    <w:p w14:paraId="65A2C368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2DBC2473" w14:textId="4833F262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lastRenderedPageBreak/>
        <w:t xml:space="preserve">9 </w:t>
      </w:r>
      <w:r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COBRANÇA REATIVA (D1 A D21)</w:t>
      </w:r>
    </w:p>
    <w:p w14:paraId="2227E2C1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130A1749" w14:textId="08C73EDE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Inicia-se no dia seguinte ao vencimento (D1) e é responsabilidade do Assistente de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Cobrança. Representantes e setor Comercial não participam desta etapa.</w:t>
      </w:r>
    </w:p>
    <w:p w14:paraId="0B99B102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052C133B" w14:textId="77777777" w:rsidR="002C4E19" w:rsidRPr="00210D3E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10D3E">
        <w:rPr>
          <w:rFonts w:ascii="Arial" w:hAnsi="Arial" w:cs="Arial"/>
          <w:b/>
          <w:bCs/>
          <w:kern w:val="0"/>
        </w:rPr>
        <w:t>Linha do tempo reativa:</w:t>
      </w:r>
    </w:p>
    <w:p w14:paraId="014E7CBC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06EA6B65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D1: envio de mensagem via WhatsApp informando o atraso e oferecendo reenvio do</w:t>
      </w:r>
    </w:p>
    <w:p w14:paraId="6A26B491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boleto;</w:t>
      </w:r>
    </w:p>
    <w:p w14:paraId="69EA0553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D3: reenvio de boleto atualizado por e-mail e WhatsApp;</w:t>
      </w:r>
    </w:p>
    <w:p w14:paraId="51DB3B82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c) D7: ligação para o setor financeiro do cliente para identificar o motivo do atraso;</w:t>
      </w:r>
    </w:p>
    <w:p w14:paraId="6286DBD1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d) D10: envio de e-mail formal de cobrança com extrato da conta;</w:t>
      </w:r>
    </w:p>
    <w:p w14:paraId="6AABC8D9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e) D15: nova ligação reforçando a necessidade de regularização;</w:t>
      </w:r>
    </w:p>
    <w:p w14:paraId="061453B5" w14:textId="77777777" w:rsidR="00D82F94" w:rsidRDefault="002C4E19" w:rsidP="00D82F9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f) D18: aviso de bloqueio iminente, informando que o cadastro será bloqueado no D21.</w:t>
      </w:r>
      <w:r w:rsidR="00D82F94">
        <w:rPr>
          <w:rFonts w:ascii="Arial" w:hAnsi="Arial" w:cs="Arial"/>
          <w:kern w:val="0"/>
        </w:rPr>
        <w:t xml:space="preserve"> </w:t>
      </w:r>
    </w:p>
    <w:p w14:paraId="1521665C" w14:textId="77777777" w:rsidR="00D82F94" w:rsidRDefault="00D82F94" w:rsidP="00D82F9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077EA837" w14:textId="54DBF3B6" w:rsidR="002C4E19" w:rsidRDefault="002C4E19" w:rsidP="00D82F9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>9.1 BLOQUEIO AUTOMÁTICO + NOTIFICAÇÃO PRÉVIA (DIA 21)</w:t>
      </w:r>
    </w:p>
    <w:p w14:paraId="1BD0EEDF" w14:textId="3FD63F08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No 21º dia de atraso, ocorre o bloqueio automático do cliente no TOTVS RM e,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simultaneamente, o envio da notificação prévia de negativação. Este é um marco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obrigatório do processo.</w:t>
      </w:r>
    </w:p>
    <w:p w14:paraId="50E8EE04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3968A26D" w14:textId="77777777" w:rsidR="002C4E19" w:rsidRPr="00210D3E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10D3E">
        <w:rPr>
          <w:rFonts w:ascii="Arial" w:hAnsi="Arial" w:cs="Arial"/>
          <w:b/>
          <w:bCs/>
          <w:kern w:val="0"/>
        </w:rPr>
        <w:t>Bloqueio automático:</w:t>
      </w:r>
    </w:p>
    <w:p w14:paraId="7E2BF906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Realizado pelo TOTVS RM, a partir de regras configuradas pelo Gerente Financeiro;</w:t>
      </w:r>
    </w:p>
    <w:p w14:paraId="77FD5BAE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Impede novos pedidos;</w:t>
      </w:r>
    </w:p>
    <w:p w14:paraId="4DB30FD5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c) Impede faturamentos;</w:t>
      </w:r>
    </w:p>
    <w:p w14:paraId="69732E53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d) Congela limites de crédito;</w:t>
      </w:r>
    </w:p>
    <w:p w14:paraId="02C51F17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e) Altera status do cliente para “INADIMPLENTE – BLOQUEADO”.</w:t>
      </w:r>
    </w:p>
    <w:p w14:paraId="26E60D09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5F466F46" w14:textId="77777777" w:rsidR="002C4E19" w:rsidRPr="00210D3E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10D3E">
        <w:rPr>
          <w:rFonts w:ascii="Arial" w:hAnsi="Arial" w:cs="Arial"/>
          <w:b/>
          <w:bCs/>
          <w:kern w:val="0"/>
        </w:rPr>
        <w:t>Notificação prévia automática:</w:t>
      </w:r>
    </w:p>
    <w:p w14:paraId="2C27B9EF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Disparo simultâneo de e-mail e mensagem de WhatsApp ao cliente;</w:t>
      </w:r>
    </w:p>
    <w:p w14:paraId="3718197F" w14:textId="69A0AE0F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Conteúdo informa o bloqueio e o prazo até o 30º dia para quitação, sob pena de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negativação em órgãos de proteção ao crédito;</w:t>
      </w:r>
    </w:p>
    <w:p w14:paraId="632C1666" w14:textId="0FA3732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c) O envio e o conteúdo devem ser registrados no TOTVS RM. A ausência desta etapa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é considerada falha procedimental.</w:t>
      </w:r>
    </w:p>
    <w:p w14:paraId="62833BD2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2D64289D" w14:textId="676694D2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lastRenderedPageBreak/>
        <w:t xml:space="preserve">10 </w:t>
      </w:r>
      <w:r w:rsidR="00210D3E"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COBRANÇA AVANÇADA (D21 A D29)</w:t>
      </w:r>
    </w:p>
    <w:p w14:paraId="526AF891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47EB0C6A" w14:textId="71C8F539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Após o bloqueio, a cobrança passa à responsabilidade do Analista Sênior de Crédito,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que deve atuar de forma mais estratégica, visando evitar a negativação quando possível.</w:t>
      </w:r>
    </w:p>
    <w:p w14:paraId="213CB16F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1F480CF6" w14:textId="77777777" w:rsidR="002C4E19" w:rsidRPr="00210D3E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10D3E">
        <w:rPr>
          <w:rFonts w:ascii="Arial" w:hAnsi="Arial" w:cs="Arial"/>
          <w:b/>
          <w:bCs/>
          <w:kern w:val="0"/>
        </w:rPr>
        <w:t>Atividades do Analista Sênior:</w:t>
      </w:r>
    </w:p>
    <w:p w14:paraId="2A25F3AA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Reavaliar o risco do cliente e seu histórico;</w:t>
      </w:r>
    </w:p>
    <w:p w14:paraId="0D018060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Contatar diretamente o responsável financeiro ou diretor do cliente;</w:t>
      </w:r>
    </w:p>
    <w:p w14:paraId="0DA69E85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c) Enviar carta formal de cobrança em PDF;</w:t>
      </w:r>
    </w:p>
    <w:p w14:paraId="4C1C1E45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d) Registrar propostas de pagamento ou negociação;</w:t>
      </w:r>
    </w:p>
    <w:p w14:paraId="6DC2219E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e) Preparar o caso para negativação no 30º dia, se não houver acordo ou pagamento.</w:t>
      </w:r>
    </w:p>
    <w:p w14:paraId="3DA8F51D" w14:textId="77777777" w:rsidR="00D82F94" w:rsidRDefault="00D82F94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4B90A176" w14:textId="437B92DC" w:rsidR="002C4E19" w:rsidRDefault="002C4E19" w:rsidP="00210D3E">
      <w:pPr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 xml:space="preserve">11 </w:t>
      </w:r>
      <w:r w:rsidR="00210D3E"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NEGATIVAÇÃO APÓS 30 DIAS (DIA 30)</w:t>
      </w:r>
    </w:p>
    <w:p w14:paraId="384F3AAE" w14:textId="77777777" w:rsidR="00210D3E" w:rsidRPr="00210D3E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  <w:sz w:val="16"/>
          <w:szCs w:val="16"/>
        </w:rPr>
      </w:pPr>
    </w:p>
    <w:p w14:paraId="068EF779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 SKAL Engenharia adotou como política interna a negativação de títulos com 30 dias</w:t>
      </w:r>
    </w:p>
    <w:p w14:paraId="35B89B00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de atraso, após o envio de notificação prévia no D21.</w:t>
      </w:r>
    </w:p>
    <w:p w14:paraId="061F11C4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Procedimento:</w:t>
      </w:r>
    </w:p>
    <w:p w14:paraId="70F9399B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Confirmar ausência de pagamento até o 30º dia;</w:t>
      </w:r>
    </w:p>
    <w:p w14:paraId="2423F25C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Incluir o título no Serasa/SPC, com dados completos;</w:t>
      </w:r>
    </w:p>
    <w:p w14:paraId="1215816D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c) Salvar protocolo/comprovante e anexar no TOTVS RM;</w:t>
      </w:r>
    </w:p>
    <w:p w14:paraId="5E12E972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d) Comunicar o cliente de que a negativação foi efetivada.</w:t>
      </w:r>
    </w:p>
    <w:p w14:paraId="14F56AD3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169292C2" w14:textId="21077D52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 xml:space="preserve">12 </w:t>
      </w:r>
      <w:r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POLÍTICA DE RENEGOCIAÇÃO</w:t>
      </w:r>
    </w:p>
    <w:p w14:paraId="0A5DAB19" w14:textId="0756DA89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 renegociação é uma ferramenta de recuperação de crédito e deve seguir critérios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padrões para evitar flexibilizações excessivas.</w:t>
      </w:r>
    </w:p>
    <w:p w14:paraId="6C4A645A" w14:textId="77777777" w:rsidR="00210D3E" w:rsidRPr="00210D3E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  <w:sz w:val="16"/>
          <w:szCs w:val="16"/>
        </w:rPr>
      </w:pPr>
    </w:p>
    <w:p w14:paraId="4679A4D0" w14:textId="77777777" w:rsidR="002C4E19" w:rsidRPr="00210D3E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10D3E">
        <w:rPr>
          <w:rFonts w:ascii="Arial" w:hAnsi="Arial" w:cs="Arial"/>
          <w:b/>
          <w:bCs/>
          <w:kern w:val="0"/>
        </w:rPr>
        <w:t>Diretrizes:</w:t>
      </w:r>
    </w:p>
    <w:p w14:paraId="43B4AB62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Entrada mínima entre 15% e 30% do valor total em aberto;</w:t>
      </w:r>
    </w:p>
    <w:p w14:paraId="051FB70E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Parcelamento máximo em 3 vezes;</w:t>
      </w:r>
    </w:p>
    <w:p w14:paraId="1BFCE347" w14:textId="51C47E69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c) Registro de contrato ou termo de confissão de dívida, preferencialmente com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assinatura digital;</w:t>
      </w:r>
    </w:p>
    <w:p w14:paraId="4FA7E559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d) Cliente permanece bloqueado até o pagamento da entrada;</w:t>
      </w:r>
    </w:p>
    <w:p w14:paraId="2F10D860" w14:textId="642EE086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e) Condições especiais (mais parcelas ou descontos elevados) exigem aprovação da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Diretoria Financeira.</w:t>
      </w:r>
    </w:p>
    <w:p w14:paraId="430B3744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3449A97A" w14:textId="077509B5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 xml:space="preserve">13 </w:t>
      </w:r>
      <w:r w:rsidR="00210D3E"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PROTESTO EM CARTÓRIO (D60 A D75)</w:t>
      </w:r>
    </w:p>
    <w:p w14:paraId="790563F5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18657FF6" w14:textId="38528801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Caso o título permaneça em aberto após a negativação, entre o 60º e o 75º dia de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atraso deve-se avaliar o protesto em cartório, considerando os custos e benefícios.</w:t>
      </w:r>
    </w:p>
    <w:p w14:paraId="79E31D00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08EABCC3" w14:textId="77777777" w:rsidR="002C4E19" w:rsidRPr="001457F0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1457F0">
        <w:rPr>
          <w:rFonts w:ascii="Arial" w:hAnsi="Arial" w:cs="Arial"/>
          <w:b/>
          <w:bCs/>
          <w:kern w:val="0"/>
        </w:rPr>
        <w:t>Critérios para protesto:</w:t>
      </w:r>
    </w:p>
    <w:p w14:paraId="305847C1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Valor significativo (ex. acima de R$ 1.000,00);</w:t>
      </w:r>
    </w:p>
    <w:p w14:paraId="45C57275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Cliente sem resposta ou recusa em negociar;</w:t>
      </w:r>
    </w:p>
    <w:p w14:paraId="42C4C6F3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c) Análise do custo de cartório em relação ao valor do título;</w:t>
      </w:r>
    </w:p>
    <w:p w14:paraId="121126F5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d) Aprovação final pelo Diretor Financeiro.</w:t>
      </w:r>
    </w:p>
    <w:p w14:paraId="37102DD7" w14:textId="5B45E2A8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 xml:space="preserve">14 </w:t>
      </w:r>
      <w:r w:rsidR="00210D3E"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ENCAMINHAMENTO JURÍDICO (D90+)</w:t>
      </w:r>
    </w:p>
    <w:p w14:paraId="5EFB09AF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3A30CE54" w14:textId="777D2FEC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Para títulos com mais de 90 dias de atraso, após negativação e eventual protesto, o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caso pode ser encaminhado ao Jurídico para avaliação de medidas judiciais.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O Jurídico deve receber dossiê completo contendo: NF, boletos, comprovantes de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entrega, histórico de contatos, registros de bloqueio, notificação prévia, negativação,</w:t>
      </w:r>
      <w:r w:rsidR="00210D3E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protesto e eventuais acordos não cumpridos.</w:t>
      </w:r>
    </w:p>
    <w:p w14:paraId="655586E0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255157DE" w14:textId="40D0E95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 xml:space="preserve">15 </w:t>
      </w:r>
      <w:r w:rsidR="00210D3E"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RELATÓRIOS A REPRESENTANTES (APENAS</w:t>
      </w:r>
      <w:r w:rsidR="00210D3E">
        <w:rPr>
          <w:rFonts w:ascii="Arial" w:hAnsi="Arial" w:cs="Arial"/>
          <w:b/>
          <w:bCs/>
          <w:kern w:val="0"/>
        </w:rPr>
        <w:t xml:space="preserve"> </w:t>
      </w:r>
      <w:r w:rsidRPr="002C4E19">
        <w:rPr>
          <w:rFonts w:ascii="Arial" w:hAnsi="Arial" w:cs="Arial"/>
          <w:b/>
          <w:bCs/>
          <w:kern w:val="0"/>
        </w:rPr>
        <w:t>INFORMATIVOS)</w:t>
      </w:r>
    </w:p>
    <w:p w14:paraId="1A7B7252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3CA4B84A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Representantes não participam da cobrança nem podem negociar dívidas. Entretanto,</w:t>
      </w:r>
    </w:p>
    <w:p w14:paraId="163EC427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devem ser informados sobre a situação de sua carteira, para fins de planejamento</w:t>
      </w:r>
    </w:p>
    <w:p w14:paraId="00F7DAC6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comercial.</w:t>
      </w:r>
    </w:p>
    <w:p w14:paraId="2986B70F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3F907FCC" w14:textId="77777777" w:rsidR="002C4E19" w:rsidRPr="001457F0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1457F0">
        <w:rPr>
          <w:rFonts w:ascii="Arial" w:hAnsi="Arial" w:cs="Arial"/>
          <w:b/>
          <w:bCs/>
          <w:kern w:val="0"/>
        </w:rPr>
        <w:t>Padrão de relatórios:</w:t>
      </w:r>
    </w:p>
    <w:p w14:paraId="258392D9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Envio duas vezes por semana, às segundas e sextas-feiras;</w:t>
      </w:r>
    </w:p>
    <w:p w14:paraId="43A556B0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Conteúdo mínimo:</w:t>
      </w:r>
    </w:p>
    <w:p w14:paraId="38FB7F32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- Clientes com títulos vencidos há mais de 7 dias;</w:t>
      </w:r>
    </w:p>
    <w:p w14:paraId="234B722A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- Clientes bloqueados;</w:t>
      </w:r>
    </w:p>
    <w:p w14:paraId="2067764C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- Títulos negativados;</w:t>
      </w:r>
    </w:p>
    <w:p w14:paraId="3C320E90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- Títulos em análise ou já em protesto;</w:t>
      </w:r>
    </w:p>
    <w:p w14:paraId="676572B1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- Boletos em aberto anexos, quando aplicável.</w:t>
      </w:r>
    </w:p>
    <w:p w14:paraId="1A2843AA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39EDDBF9" w14:textId="504B5A53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lastRenderedPageBreak/>
        <w:t xml:space="preserve">16 </w:t>
      </w:r>
      <w:r w:rsidR="00210D3E"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REGISTROS OBRIGATÓRIOS NO TOTVS RM</w:t>
      </w:r>
    </w:p>
    <w:p w14:paraId="66AF6382" w14:textId="77777777" w:rsidR="00210D3E" w:rsidRPr="002C4E19" w:rsidRDefault="00210D3E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6A17491D" w14:textId="4F9FE85E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Todo o processo descrito neste POP depende de registros consistentes no TOTVS</w:t>
      </w:r>
      <w:r w:rsidR="001457F0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RM. A ausência de registro implica não conformidade com o procedimento.</w:t>
      </w:r>
    </w:p>
    <w:p w14:paraId="21053728" w14:textId="77777777" w:rsidR="001457F0" w:rsidRPr="002C4E19" w:rsidRDefault="001457F0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1A5CDEA4" w14:textId="77777777" w:rsidR="002C4E19" w:rsidRPr="001457F0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1457F0">
        <w:rPr>
          <w:rFonts w:ascii="Arial" w:hAnsi="Arial" w:cs="Arial"/>
          <w:b/>
          <w:bCs/>
          <w:kern w:val="0"/>
        </w:rPr>
        <w:t>Deve ser registrado, no mínimo:</w:t>
      </w:r>
    </w:p>
    <w:p w14:paraId="77D5EBC7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a) Envio de NF, boletos e extratos;</w:t>
      </w:r>
    </w:p>
    <w:p w14:paraId="64C325F4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b) Contatos preventivos e reativos, com data, horário e resultado;</w:t>
      </w:r>
    </w:p>
    <w:p w14:paraId="2D93FACD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c) Bloqueio automático e notificação prévia (D21);</w:t>
      </w:r>
    </w:p>
    <w:p w14:paraId="2109594D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d) Atuação do Analista Sênior (D21 a D29);</w:t>
      </w:r>
    </w:p>
    <w:p w14:paraId="7EB395BE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e) Negativação (D30) com protocolo;</w:t>
      </w:r>
    </w:p>
    <w:p w14:paraId="4A8491C2" w14:textId="77777777" w:rsidR="002C4E19" w:rsidRP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f) Análise e decisão de protesto;</w:t>
      </w:r>
    </w:p>
    <w:p w14:paraId="5AD8A381" w14:textId="77777777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g) Encaminhamento ao Jurídico e retorno de ações judiciais.</w:t>
      </w:r>
    </w:p>
    <w:p w14:paraId="0C0D1CD1" w14:textId="77777777" w:rsidR="001457F0" w:rsidRPr="002C4E19" w:rsidRDefault="001457F0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44057882" w14:textId="7E330A51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2C4E19">
        <w:rPr>
          <w:rFonts w:ascii="Arial" w:hAnsi="Arial" w:cs="Arial"/>
          <w:b/>
          <w:bCs/>
          <w:kern w:val="0"/>
        </w:rPr>
        <w:t xml:space="preserve">17 </w:t>
      </w:r>
      <w:r w:rsidR="00210D3E">
        <w:rPr>
          <w:rFonts w:ascii="Arial" w:hAnsi="Arial" w:cs="Arial"/>
          <w:b/>
          <w:bCs/>
          <w:kern w:val="0"/>
        </w:rPr>
        <w:t xml:space="preserve">- </w:t>
      </w:r>
      <w:r w:rsidRPr="002C4E19">
        <w:rPr>
          <w:rFonts w:ascii="Arial" w:hAnsi="Arial" w:cs="Arial"/>
          <w:b/>
          <w:bCs/>
          <w:kern w:val="0"/>
        </w:rPr>
        <w:t>ENCERRAMENTO E AUTORIA</w:t>
      </w:r>
    </w:p>
    <w:p w14:paraId="0CAF187F" w14:textId="77777777" w:rsidR="001457F0" w:rsidRPr="002C4E19" w:rsidRDefault="001457F0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</w:p>
    <w:p w14:paraId="44DAEC45" w14:textId="43DF09A9" w:rsidR="002C4E19" w:rsidRDefault="002C4E19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Este POP foi elaborado para implantação imediata no setor de Crédito e Cobrança da</w:t>
      </w:r>
      <w:r w:rsidR="001457F0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SKAL Engenharia</w:t>
      </w:r>
      <w:r w:rsidR="00D82F94">
        <w:rPr>
          <w:rFonts w:ascii="Arial" w:hAnsi="Arial" w:cs="Arial"/>
          <w:kern w:val="0"/>
        </w:rPr>
        <w:t xml:space="preserve"> Indústria e Comércio LTDA</w:t>
      </w:r>
      <w:r w:rsidRPr="002C4E19">
        <w:rPr>
          <w:rFonts w:ascii="Arial" w:hAnsi="Arial" w:cs="Arial"/>
          <w:kern w:val="0"/>
        </w:rPr>
        <w:t>. Sua aplicação deve ser acompanhada pelo Gerente Financeiro, que é</w:t>
      </w:r>
      <w:r w:rsidR="001457F0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responsável por garantir a aderência ao processo e por promover revisões periódicas,</w:t>
      </w:r>
      <w:r w:rsidR="001457F0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quando necessário.</w:t>
      </w:r>
    </w:p>
    <w:p w14:paraId="56D30493" w14:textId="77777777" w:rsidR="005A657D" w:rsidRDefault="005A657D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19A6D0B6" w14:textId="77777777" w:rsidR="005A657D" w:rsidRDefault="005A657D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6361DB4D" w14:textId="77777777" w:rsidR="005A657D" w:rsidRDefault="005A657D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4211EFA0" w14:textId="77777777" w:rsidR="005A657D" w:rsidRDefault="005A657D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5C4130DA" w14:textId="77777777" w:rsidR="005A657D" w:rsidRDefault="005A657D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7FE5AC5B" w14:textId="77777777" w:rsidR="001457F0" w:rsidRPr="002C4E19" w:rsidRDefault="001457F0" w:rsidP="002C4E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65DA5512" w14:textId="77777777" w:rsidR="005A657D" w:rsidRDefault="002C4E19" w:rsidP="005A657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2C4E19">
        <w:rPr>
          <w:rFonts w:ascii="Arial" w:hAnsi="Arial" w:cs="Arial"/>
          <w:kern w:val="0"/>
        </w:rPr>
        <w:t>Elaborado por: Jorge Guilherme Costa Ferreira</w:t>
      </w:r>
    </w:p>
    <w:p w14:paraId="393BAE0A" w14:textId="28B5E9E2" w:rsidR="00485E72" w:rsidRPr="002C4E19" w:rsidRDefault="002C4E19" w:rsidP="005A657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2C4E19">
        <w:rPr>
          <w:rFonts w:ascii="Arial" w:hAnsi="Arial" w:cs="Arial"/>
          <w:kern w:val="0"/>
        </w:rPr>
        <w:t>Gerente Financeiro da SKAL</w:t>
      </w:r>
      <w:r w:rsidR="001457F0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Engenharia, responsável pela política de crédito e cobrança, configuração do bloqueio</w:t>
      </w:r>
      <w:r w:rsidR="001457F0">
        <w:rPr>
          <w:rFonts w:ascii="Arial" w:hAnsi="Arial" w:cs="Arial"/>
          <w:kern w:val="0"/>
        </w:rPr>
        <w:t xml:space="preserve"> </w:t>
      </w:r>
      <w:r w:rsidRPr="002C4E19">
        <w:rPr>
          <w:rFonts w:ascii="Arial" w:hAnsi="Arial" w:cs="Arial"/>
          <w:kern w:val="0"/>
        </w:rPr>
        <w:t>automático no TOTVS RM e governança financeira associada.</w:t>
      </w:r>
    </w:p>
    <w:sectPr w:rsidR="00485E72" w:rsidRPr="002C4E19" w:rsidSect="00BF3D8D">
      <w:footerReference w:type="default" r:id="rId7"/>
      <w:pgSz w:w="11906" w:h="16838"/>
      <w:pgMar w:top="1417" w:right="1133" w:bottom="1417" w:left="1134" w:header="708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747A" w14:textId="77777777" w:rsidR="002A1765" w:rsidRDefault="002A1765" w:rsidP="00BE240C">
      <w:pPr>
        <w:spacing w:after="0" w:line="240" w:lineRule="auto"/>
      </w:pPr>
      <w:r>
        <w:separator/>
      </w:r>
    </w:p>
  </w:endnote>
  <w:endnote w:type="continuationSeparator" w:id="0">
    <w:p w14:paraId="33A4F7B5" w14:textId="77777777" w:rsidR="002A1765" w:rsidRDefault="002A1765" w:rsidP="00BE2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9995624"/>
      <w:docPartObj>
        <w:docPartGallery w:val="Page Numbers (Bottom of Page)"/>
        <w:docPartUnique/>
      </w:docPartObj>
    </w:sdtPr>
    <w:sdtEndPr>
      <w:rPr>
        <w:rFonts w:ascii="Arial" w:hAnsi="Arial" w:cs="Arial"/>
        <w:b/>
        <w:bCs/>
        <w:kern w:val="0"/>
        <w:sz w:val="16"/>
        <w:szCs w:val="16"/>
      </w:rPr>
    </w:sdtEndPr>
    <w:sdtContent>
      <w:tbl>
        <w:tblPr>
          <w:tblStyle w:val="Tabelacomgrade"/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4814"/>
          <w:gridCol w:w="4815"/>
        </w:tblGrid>
        <w:tr w:rsidR="00BF3D8D" w14:paraId="4241415E" w14:textId="77777777" w:rsidTr="00BF3D8D">
          <w:tc>
            <w:tcPr>
              <w:tcW w:w="4814" w:type="dxa"/>
            </w:tcPr>
            <w:p w14:paraId="683A59E6" w14:textId="3DD457D7" w:rsidR="00BF3D8D" w:rsidRPr="001E004D" w:rsidRDefault="00BF3D8D" w:rsidP="00BF3D8D">
              <w:pPr>
                <w:autoSpaceDE w:val="0"/>
                <w:autoSpaceDN w:val="0"/>
                <w:adjustRightInd w:val="0"/>
                <w:rPr>
                  <w:rFonts w:ascii="Arial" w:hAnsi="Arial" w:cs="Arial"/>
                  <w:b/>
                  <w:bCs/>
                  <w:kern w:val="0"/>
                  <w:sz w:val="16"/>
                  <w:szCs w:val="16"/>
                </w:rPr>
              </w:pPr>
              <w:r w:rsidRPr="001E004D">
                <w:rPr>
                  <w:rFonts w:ascii="Arial" w:hAnsi="Arial" w:cs="Arial"/>
                  <w:b/>
                  <w:bCs/>
                  <w:kern w:val="0"/>
                  <w:sz w:val="16"/>
                  <w:szCs w:val="16"/>
                </w:rPr>
                <w:t>POP – PROCEDIMENTO OPERACIONAL PADRÃO</w:t>
              </w:r>
            </w:p>
            <w:p w14:paraId="6B75F1E5" w14:textId="2197C4F7" w:rsidR="00BF3D8D" w:rsidRDefault="00BF3D8D" w:rsidP="00BF3D8D">
              <w:pPr>
                <w:autoSpaceDE w:val="0"/>
                <w:autoSpaceDN w:val="0"/>
                <w:adjustRightInd w:val="0"/>
              </w:pPr>
              <w:r w:rsidRPr="001E004D">
                <w:rPr>
                  <w:rFonts w:ascii="Arial" w:hAnsi="Arial" w:cs="Arial"/>
                  <w:b/>
                  <w:bCs/>
                  <w:kern w:val="0"/>
                  <w:sz w:val="16"/>
                  <w:szCs w:val="16"/>
                </w:rPr>
                <w:t>CRÉDITO &amp; COBRANÇA – SKAL ENGENHARIA</w:t>
              </w:r>
            </w:p>
          </w:tc>
          <w:tc>
            <w:tcPr>
              <w:tcW w:w="4815" w:type="dxa"/>
            </w:tcPr>
            <w:p w14:paraId="26CDDA6D" w14:textId="68861D77" w:rsidR="00BF3D8D" w:rsidRDefault="00BF3D8D" w:rsidP="00BF3D8D">
              <w:pPr>
                <w:autoSpaceDE w:val="0"/>
                <w:autoSpaceDN w:val="0"/>
                <w:adjustRightInd w:val="0"/>
                <w:jc w:val="right"/>
              </w:pPr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</w:p>
          </w:tc>
        </w:tr>
      </w:tbl>
      <w:p w14:paraId="097C132A" w14:textId="77777777" w:rsidR="00BF3D8D" w:rsidRDefault="00BF3D8D" w:rsidP="003138DD">
        <w:pPr>
          <w:autoSpaceDE w:val="0"/>
          <w:autoSpaceDN w:val="0"/>
          <w:adjustRightInd w:val="0"/>
          <w:spacing w:after="0" w:line="240" w:lineRule="auto"/>
        </w:pPr>
      </w:p>
      <w:p w14:paraId="6EAA3258" w14:textId="62E94771" w:rsidR="003138DD" w:rsidRPr="001E004D" w:rsidRDefault="00000000" w:rsidP="003138DD">
        <w:pPr>
          <w:autoSpaceDE w:val="0"/>
          <w:autoSpaceDN w:val="0"/>
          <w:adjustRightInd w:val="0"/>
          <w:spacing w:after="0" w:line="240" w:lineRule="auto"/>
          <w:rPr>
            <w:rFonts w:ascii="Arial" w:hAnsi="Arial" w:cs="Arial"/>
            <w:b/>
            <w:bCs/>
            <w:kern w:val="0"/>
            <w:sz w:val="16"/>
            <w:szCs w:val="16"/>
          </w:rPr>
        </w:pPr>
      </w:p>
    </w:sdtContent>
  </w:sdt>
  <w:p w14:paraId="1898D6BD" w14:textId="77777777" w:rsidR="00BE240C" w:rsidRDefault="00BE24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461FF" w14:textId="77777777" w:rsidR="002A1765" w:rsidRDefault="002A1765" w:rsidP="00BE240C">
      <w:pPr>
        <w:spacing w:after="0" w:line="240" w:lineRule="auto"/>
      </w:pPr>
      <w:r>
        <w:separator/>
      </w:r>
    </w:p>
  </w:footnote>
  <w:footnote w:type="continuationSeparator" w:id="0">
    <w:p w14:paraId="08B04E06" w14:textId="77777777" w:rsidR="002A1765" w:rsidRDefault="002A1765" w:rsidP="00BE24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19"/>
    <w:rsid w:val="0013474B"/>
    <w:rsid w:val="001457F0"/>
    <w:rsid w:val="001D20B2"/>
    <w:rsid w:val="001E004D"/>
    <w:rsid w:val="00210D3E"/>
    <w:rsid w:val="002A1765"/>
    <w:rsid w:val="002C4E19"/>
    <w:rsid w:val="003138DD"/>
    <w:rsid w:val="00375E27"/>
    <w:rsid w:val="003B0A73"/>
    <w:rsid w:val="00485E72"/>
    <w:rsid w:val="005524B4"/>
    <w:rsid w:val="005A657D"/>
    <w:rsid w:val="00676882"/>
    <w:rsid w:val="00957310"/>
    <w:rsid w:val="00B63D6B"/>
    <w:rsid w:val="00BE240C"/>
    <w:rsid w:val="00BF3D8D"/>
    <w:rsid w:val="00C67C66"/>
    <w:rsid w:val="00D8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23B967"/>
  <w15:chartTrackingRefBased/>
  <w15:docId w15:val="{45D39294-E247-4060-9D22-18F0F887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4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E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E1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E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E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E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E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E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E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E1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E1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E19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E24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240C"/>
  </w:style>
  <w:style w:type="paragraph" w:styleId="Rodap">
    <w:name w:val="footer"/>
    <w:basedOn w:val="Normal"/>
    <w:link w:val="RodapChar"/>
    <w:uiPriority w:val="99"/>
    <w:unhideWhenUsed/>
    <w:rsid w:val="00BE24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240C"/>
  </w:style>
  <w:style w:type="table" w:styleId="Tabelacomgrade">
    <w:name w:val="Table Grid"/>
    <w:basedOn w:val="Tabelanormal"/>
    <w:uiPriority w:val="39"/>
    <w:rsid w:val="00BF3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1713</Words>
  <Characters>9251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Haddad</dc:creator>
  <cp:keywords/>
  <dc:description/>
  <cp:lastModifiedBy>Jorge Haddad</cp:lastModifiedBy>
  <cp:revision>2</cp:revision>
  <cp:lastPrinted>2025-12-10T17:41:00Z</cp:lastPrinted>
  <dcterms:created xsi:type="dcterms:W3CDTF">2026-07-30T15:01:00Z</dcterms:created>
  <dcterms:modified xsi:type="dcterms:W3CDTF">2026-07-30T15:01:00Z</dcterms:modified>
</cp:coreProperties>
</file>