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F6E19" w14:textId="2CA4F953" w:rsidR="7820DEBC" w:rsidRPr="002F4FFC" w:rsidRDefault="7820DEBC" w:rsidP="7820DEBC">
      <w:pPr>
        <w:jc w:val="center"/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002F4FFC">
        <w:rPr>
          <w:rFonts w:ascii="Arial" w:eastAsia="Arial" w:hAnsi="Arial" w:cs="Arial"/>
          <w:b/>
          <w:bCs/>
          <w:sz w:val="24"/>
          <w:szCs w:val="24"/>
          <w:lang w:val="es-CO"/>
        </w:rPr>
        <w:t xml:space="preserve">TALLER </w:t>
      </w:r>
    </w:p>
    <w:p w14:paraId="05FA0ECF" w14:textId="236C0252" w:rsidR="7820DEBC" w:rsidRPr="002F4FFC" w:rsidRDefault="7820DEBC" w:rsidP="7820DEBC">
      <w:pPr>
        <w:jc w:val="center"/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002F4FFC">
        <w:rPr>
          <w:rFonts w:ascii="Arial" w:eastAsia="Arial" w:hAnsi="Arial" w:cs="Arial"/>
          <w:b/>
          <w:bCs/>
          <w:sz w:val="24"/>
          <w:szCs w:val="24"/>
          <w:lang w:val="es-CO"/>
        </w:rPr>
        <w:t>BANCO ABC</w:t>
      </w:r>
    </w:p>
    <w:p w14:paraId="5613DFBC" w14:textId="39DEBCCE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14:paraId="54DBB405" w14:textId="741B23A0" w:rsidR="7820DEB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14:paraId="6DEF8B3D" w14:textId="741B23A0" w:rsidR="002F4FFC" w:rsidRPr="002F4FFC" w:rsidRDefault="002F4FF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14:paraId="3026BCB1" w14:textId="30014B17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14:paraId="41489946" w14:textId="706368CD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14:paraId="35D53353" w14:textId="1E7731B5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14:paraId="441AAA53" w14:textId="741B23A0" w:rsidR="7820DEB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14:paraId="1CC719D0" w14:textId="741B23A0" w:rsidR="002F4FFC" w:rsidRPr="002F4FFC" w:rsidRDefault="002F4FF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14:paraId="29E3C76B" w14:textId="3B8CB405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2F4FFC">
        <w:rPr>
          <w:rFonts w:ascii="Arial" w:eastAsia="Arial" w:hAnsi="Arial" w:cs="Arial"/>
          <w:b/>
          <w:bCs/>
          <w:sz w:val="24"/>
          <w:szCs w:val="24"/>
          <w:lang w:val="es-CO"/>
        </w:rPr>
        <w:t>INTEGRANTES</w:t>
      </w:r>
    </w:p>
    <w:p w14:paraId="0DF1FFAF" w14:textId="2275D3C9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14:paraId="43D9E76C" w14:textId="3897AA7E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2F4FFC">
        <w:rPr>
          <w:rFonts w:ascii="Arial" w:eastAsia="Arial" w:hAnsi="Arial" w:cs="Arial"/>
          <w:b/>
          <w:bCs/>
          <w:sz w:val="24"/>
          <w:szCs w:val="24"/>
          <w:lang w:val="es-CO"/>
        </w:rPr>
        <w:t>Cristian Alexander Salazar Perdomo</w:t>
      </w:r>
    </w:p>
    <w:p w14:paraId="63BE98CC" w14:textId="43D9EC0A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2F4FFC">
        <w:rPr>
          <w:rFonts w:ascii="Arial" w:eastAsia="Arial" w:hAnsi="Arial" w:cs="Arial"/>
          <w:b/>
          <w:bCs/>
          <w:sz w:val="24"/>
          <w:szCs w:val="24"/>
          <w:lang w:val="es-CO"/>
        </w:rPr>
        <w:t>Jorge Andrés Moreno Castiblanco</w:t>
      </w:r>
    </w:p>
    <w:p w14:paraId="00352318" w14:textId="62D4F3D5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2F4FFC">
        <w:rPr>
          <w:rFonts w:ascii="Arial" w:eastAsia="Arial" w:hAnsi="Arial" w:cs="Arial"/>
          <w:b/>
          <w:bCs/>
          <w:sz w:val="24"/>
          <w:szCs w:val="24"/>
          <w:lang w:val="es-CO"/>
        </w:rPr>
        <w:t>Edwin Andrés Fernández Villamil</w:t>
      </w:r>
    </w:p>
    <w:p w14:paraId="337CE4FA" w14:textId="2DD7F712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2F4FFC">
        <w:rPr>
          <w:rFonts w:ascii="Arial" w:eastAsia="Arial" w:hAnsi="Arial" w:cs="Arial"/>
          <w:b/>
          <w:bCs/>
          <w:sz w:val="24"/>
          <w:szCs w:val="24"/>
          <w:lang w:val="es-CO"/>
        </w:rPr>
        <w:t>Roger Gonzalo Castelblanco Melo</w:t>
      </w:r>
    </w:p>
    <w:p w14:paraId="51F3781E" w14:textId="3105F4FA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14:paraId="079F9F32" w14:textId="64C4995A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14:paraId="063DF49D" w14:textId="485BADA9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14:paraId="49D73EB8" w14:textId="2A606D1B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14:paraId="21FF4C89" w14:textId="779F184D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14:paraId="52F21211" w14:textId="37775060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14:paraId="78171A59" w14:textId="4DC87C64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14:paraId="651A6B1D" w14:textId="32DEF931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14:paraId="598E91C9" w14:textId="020092A8" w:rsidR="7820DEBC" w:rsidRPr="002F4FFC" w:rsidRDefault="7820DEBC" w:rsidP="7820DEBC">
      <w:pPr>
        <w:jc w:val="center"/>
        <w:rPr>
          <w:lang w:val="es-CO"/>
        </w:rPr>
      </w:pPr>
      <w:r w:rsidRPr="002F4FFC">
        <w:rPr>
          <w:rFonts w:ascii="Arial" w:eastAsia="Arial" w:hAnsi="Arial" w:cs="Arial"/>
          <w:b/>
          <w:bCs/>
          <w:sz w:val="24"/>
          <w:szCs w:val="24"/>
          <w:lang w:val="es-CO"/>
        </w:rPr>
        <w:t>MODELADO Y VALIDACION DE ARQUITECTURA</w:t>
      </w:r>
    </w:p>
    <w:p w14:paraId="6B4DA230" w14:textId="1DBC50E8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2F4FFC">
        <w:rPr>
          <w:rFonts w:ascii="Arial" w:eastAsia="Arial" w:hAnsi="Arial" w:cs="Arial"/>
          <w:b/>
          <w:bCs/>
          <w:sz w:val="24"/>
          <w:szCs w:val="24"/>
          <w:lang w:val="es-CO"/>
        </w:rPr>
        <w:t>ARQUITECTURA EMPRESARIAL DE SOFTWARE</w:t>
      </w:r>
    </w:p>
    <w:p w14:paraId="5E7FE786" w14:textId="7AFCF2A3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2F4FFC">
        <w:rPr>
          <w:rFonts w:ascii="Arial" w:eastAsia="Arial" w:hAnsi="Arial" w:cs="Arial"/>
          <w:b/>
          <w:bCs/>
          <w:sz w:val="24"/>
          <w:szCs w:val="24"/>
          <w:lang w:val="es-CO"/>
        </w:rPr>
        <w:t>UNIVERSIDAD JAVERIANA</w:t>
      </w:r>
    </w:p>
    <w:p w14:paraId="407F59AE" w14:textId="6DA32798" w:rsidR="7820DEBC" w:rsidRPr="002F4FFC" w:rsidRDefault="7820DEBC" w:rsidP="7820DEBC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2F4FFC">
        <w:rPr>
          <w:rFonts w:ascii="Arial" w:eastAsia="Arial" w:hAnsi="Arial" w:cs="Arial"/>
          <w:b/>
          <w:bCs/>
          <w:sz w:val="24"/>
          <w:szCs w:val="24"/>
          <w:lang w:val="es-CO"/>
        </w:rPr>
        <w:t>2018</w:t>
      </w:r>
    </w:p>
    <w:p w14:paraId="5BA7C75D" w14:textId="741B23A0" w:rsidR="00974D3C" w:rsidRPr="002F4FFC" w:rsidRDefault="7820DEBC" w:rsidP="00A4700D">
      <w:pPr>
        <w:pStyle w:val="Ttulo1"/>
        <w:rPr>
          <w:lang w:val="es-CO"/>
        </w:rPr>
      </w:pPr>
      <w:r w:rsidRPr="002F4FFC">
        <w:rPr>
          <w:lang w:val="es-CO"/>
        </w:rPr>
        <w:lastRenderedPageBreak/>
        <w:t>JUSTIFICACION DE LA ARQUITECTURA</w:t>
      </w:r>
    </w:p>
    <w:p w14:paraId="0B88E932" w14:textId="741B23A0" w:rsidR="00D066B8" w:rsidRDefault="00D066B8" w:rsidP="002431C6">
      <w:pPr>
        <w:jc w:val="both"/>
        <w:rPr>
          <w:bCs/>
          <w:lang w:val="es-CO"/>
        </w:rPr>
      </w:pPr>
    </w:p>
    <w:p w14:paraId="21D43727" w14:textId="77777777" w:rsidR="00D53C9C" w:rsidRDefault="002E2F9E" w:rsidP="002431C6">
      <w:pPr>
        <w:jc w:val="both"/>
        <w:rPr>
          <w:bCs/>
          <w:lang w:val="es-CO"/>
        </w:rPr>
      </w:pPr>
      <w:r>
        <w:rPr>
          <w:bCs/>
          <w:lang w:val="es-CO"/>
        </w:rPr>
        <w:t xml:space="preserve">La arquitectura del banco ABC brinda una interface a través de un contrato que permite a los diferentes canales </w:t>
      </w:r>
      <w:r w:rsidR="00551D52">
        <w:rPr>
          <w:bCs/>
          <w:lang w:val="es-CO"/>
        </w:rPr>
        <w:t>acoplarse a nuestro servicio “Coordinador”.</w:t>
      </w:r>
    </w:p>
    <w:p w14:paraId="76FD0601" w14:textId="7DEF0945" w:rsidR="00A02BA8" w:rsidRDefault="00D53C9C" w:rsidP="002431C6">
      <w:pPr>
        <w:jc w:val="both"/>
        <w:rPr>
          <w:bCs/>
          <w:lang w:val="es-CO"/>
        </w:rPr>
      </w:pPr>
      <w:r>
        <w:rPr>
          <w:bCs/>
          <w:lang w:val="es-CO"/>
        </w:rPr>
        <w:t xml:space="preserve">Una vez obtenida la información </w:t>
      </w:r>
      <w:r w:rsidR="00B13F69">
        <w:rPr>
          <w:bCs/>
          <w:lang w:val="es-CO"/>
        </w:rPr>
        <w:t>por medio de una orquestación</w:t>
      </w:r>
      <w:r w:rsidR="00B93106">
        <w:rPr>
          <w:bCs/>
          <w:lang w:val="es-CO"/>
        </w:rPr>
        <w:t xml:space="preserve"> el servicio de enrutamiento </w:t>
      </w:r>
      <w:r w:rsidR="00195595">
        <w:rPr>
          <w:bCs/>
          <w:lang w:val="es-CO"/>
        </w:rPr>
        <w:t>permitirá</w:t>
      </w:r>
      <w:r w:rsidR="00B93106">
        <w:rPr>
          <w:bCs/>
          <w:lang w:val="es-CO"/>
        </w:rPr>
        <w:t xml:space="preserve"> identificar con </w:t>
      </w:r>
      <w:r w:rsidR="00195595">
        <w:rPr>
          <w:bCs/>
          <w:lang w:val="es-CO"/>
        </w:rPr>
        <w:t>cuál</w:t>
      </w:r>
      <w:r w:rsidR="00B93106">
        <w:rPr>
          <w:bCs/>
          <w:lang w:val="es-CO"/>
        </w:rPr>
        <w:t xml:space="preserve"> de los aplicaciones externas </w:t>
      </w:r>
      <w:r w:rsidR="00195595">
        <w:rPr>
          <w:bCs/>
          <w:lang w:val="es-CO"/>
        </w:rPr>
        <w:t xml:space="preserve">de los proveedores </w:t>
      </w:r>
      <w:r w:rsidR="00B93106">
        <w:rPr>
          <w:bCs/>
          <w:lang w:val="es-CO"/>
        </w:rPr>
        <w:t xml:space="preserve">debemos </w:t>
      </w:r>
      <w:r w:rsidR="002431C6">
        <w:rPr>
          <w:bCs/>
          <w:lang w:val="es-CO"/>
        </w:rPr>
        <w:t>comunicarnos para</w:t>
      </w:r>
      <w:r w:rsidR="00B93106">
        <w:rPr>
          <w:bCs/>
          <w:lang w:val="es-CO"/>
        </w:rPr>
        <w:t xml:space="preserve"> traer la información</w:t>
      </w:r>
      <w:r w:rsidR="00195595">
        <w:rPr>
          <w:bCs/>
          <w:lang w:val="es-CO"/>
        </w:rPr>
        <w:t xml:space="preserve"> correspondiente.</w:t>
      </w:r>
    </w:p>
    <w:p w14:paraId="16F56405" w14:textId="4E3F59F9" w:rsidR="00A416C8" w:rsidRDefault="0032423A" w:rsidP="00370306">
      <w:pPr>
        <w:rPr>
          <w:bCs/>
          <w:lang w:val="es-CO"/>
        </w:rPr>
      </w:pPr>
      <w:r w:rsidRPr="0032423A">
        <w:rPr>
          <w:bCs/>
          <w:noProof/>
          <w:lang w:val="es-CO" w:eastAsia="es-CO"/>
        </w:rPr>
        <w:drawing>
          <wp:inline distT="0" distB="0" distL="0" distR="0" wp14:anchorId="7E6A523E" wp14:editId="458CDF91">
            <wp:extent cx="5942330" cy="2924175"/>
            <wp:effectExtent l="0" t="0" r="127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03" cy="29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1D22" w14:textId="654618DB" w:rsidR="002F4FFC" w:rsidRPr="002F4FFC" w:rsidRDefault="002F4FFC" w:rsidP="00370306">
      <w:pPr>
        <w:rPr>
          <w:b/>
          <w:bCs/>
          <w:lang w:val="es-CO"/>
        </w:rPr>
      </w:pPr>
      <w:r w:rsidRPr="002F4FFC">
        <w:rPr>
          <w:bCs/>
          <w:lang w:val="es-CO"/>
        </w:rPr>
        <w:t xml:space="preserve">En la </w:t>
      </w:r>
      <w:r>
        <w:rPr>
          <w:bCs/>
          <w:lang w:val="es-CO"/>
        </w:rPr>
        <w:t xml:space="preserve">arquitectura planteada para la solución del taller del banco ABC, se implementaron los siguientes patrones SOA, en cada uno de ellos se especifica su </w:t>
      </w:r>
      <w:r w:rsidR="00A4700D">
        <w:rPr>
          <w:bCs/>
          <w:lang w:val="es-CO"/>
        </w:rPr>
        <w:t>implementación</w:t>
      </w:r>
      <w:r>
        <w:rPr>
          <w:bCs/>
          <w:lang w:val="es-CO"/>
        </w:rPr>
        <w:t>.</w:t>
      </w:r>
    </w:p>
    <w:tbl>
      <w:tblPr>
        <w:tblStyle w:val="Tablaconcuadrcula"/>
        <w:tblW w:w="942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  <w:gridCol w:w="3733"/>
      </w:tblGrid>
      <w:tr w:rsidR="00920116" w:rsidRPr="002F4FFC" w14:paraId="7995ECBF" w14:textId="77777777" w:rsidTr="00A4700D">
        <w:trPr>
          <w:trHeight w:val="359"/>
        </w:trPr>
        <w:tc>
          <w:tcPr>
            <w:tcW w:w="9424" w:type="dxa"/>
            <w:gridSpan w:val="2"/>
          </w:tcPr>
          <w:p w14:paraId="3E9F1FDB" w14:textId="21C22338" w:rsidR="00920116" w:rsidRPr="002F4FFC" w:rsidRDefault="034D2E72" w:rsidP="034D2E72">
            <w:pPr>
              <w:spacing w:after="160" w:line="259" w:lineRule="auto"/>
              <w:jc w:val="center"/>
              <w:rPr>
                <w:rFonts w:eastAsia="Arial"/>
                <w:b/>
                <w:bCs/>
                <w:sz w:val="24"/>
                <w:szCs w:val="24"/>
                <w:lang w:val="es-CO"/>
              </w:rPr>
            </w:pPr>
            <w:r w:rsidRPr="002F4FFC">
              <w:rPr>
                <w:rFonts w:eastAsia="Arial"/>
                <w:b/>
                <w:bCs/>
                <w:sz w:val="24"/>
                <w:szCs w:val="24"/>
                <w:lang w:val="es-CO"/>
              </w:rPr>
              <w:t>Contract Centralization</w:t>
            </w:r>
          </w:p>
        </w:tc>
      </w:tr>
      <w:tr w:rsidR="00DD1CCA" w:rsidRPr="002F4FFC" w14:paraId="5CA284C5" w14:textId="77777777" w:rsidTr="0098566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69"/>
        </w:trPr>
        <w:tc>
          <w:tcPr>
            <w:tcW w:w="5691" w:type="dxa"/>
          </w:tcPr>
          <w:p w14:paraId="2224B2E4" w14:textId="4EF1C3FD" w:rsidR="00DD1CCA" w:rsidRPr="002F4FFC" w:rsidRDefault="034D2E72" w:rsidP="034D2E72">
            <w:pPr>
              <w:jc w:val="both"/>
              <w:rPr>
                <w:rFonts w:eastAsia="Arial"/>
                <w:color w:val="212121"/>
                <w:sz w:val="24"/>
                <w:szCs w:val="24"/>
                <w:lang w:val="es-CO"/>
              </w:rPr>
            </w:pPr>
            <w:r w:rsidRPr="002F4FFC">
              <w:rPr>
                <w:rFonts w:eastAsia="Arial"/>
                <w:color w:val="212121"/>
                <w:sz w:val="24"/>
                <w:szCs w:val="24"/>
                <w:lang w:val="es-CO"/>
              </w:rPr>
              <w:t xml:space="preserve">El acceso a la lógica del servicio se limita al contrato de servicio, lo que obliga a los consumidores a evitar el acoplamiento de implementación </w:t>
            </w:r>
          </w:p>
          <w:p w14:paraId="2D85632A" w14:textId="61B1B4A8" w:rsidR="00246D79" w:rsidRPr="002F4FFC" w:rsidRDefault="0039469A" w:rsidP="00985666">
            <w:pPr>
              <w:jc w:val="center"/>
              <w:rPr>
                <w:b/>
                <w:bCs/>
                <w:lang w:val="es-CO"/>
              </w:rPr>
            </w:pPr>
            <w:r w:rsidRPr="002F4FFC">
              <w:rPr>
                <w:noProof/>
                <w:lang w:val="es-CO" w:eastAsia="es-CO"/>
              </w:rPr>
              <w:drawing>
                <wp:inline distT="0" distB="0" distL="0" distR="0" wp14:anchorId="38BADB0D" wp14:editId="4CFD438C">
                  <wp:extent cx="2943225" cy="11525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5981" t="57356" r="37203" b="22117"/>
                          <a:stretch/>
                        </pic:blipFill>
                        <pic:spPr bwMode="auto">
                          <a:xfrm>
                            <a:off x="0" y="0"/>
                            <a:ext cx="2963581" cy="1160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15883D7C" w14:textId="4C019CA6" w:rsidR="00CF6776" w:rsidRPr="002F4FFC" w:rsidRDefault="00CF6776" w:rsidP="00920116">
            <w:pPr>
              <w:rPr>
                <w:bCs/>
                <w:lang w:val="es-CO"/>
              </w:rPr>
            </w:pPr>
          </w:p>
          <w:p w14:paraId="18AF16A8" w14:textId="77777777" w:rsidR="007C5557" w:rsidRDefault="007C5557" w:rsidP="034D2E72">
            <w:pPr>
              <w:spacing w:after="160" w:line="259" w:lineRule="auto"/>
              <w:jc w:val="both"/>
              <w:rPr>
                <w:lang w:val="es-CO"/>
              </w:rPr>
            </w:pPr>
          </w:p>
          <w:p w14:paraId="7BC2B440" w14:textId="3014A63E" w:rsidR="034D2E72" w:rsidRPr="002F4FFC" w:rsidRDefault="034D2E72" w:rsidP="034D2E72">
            <w:pPr>
              <w:spacing w:after="160" w:line="259" w:lineRule="auto"/>
              <w:jc w:val="both"/>
              <w:rPr>
                <w:lang w:val="es-CO"/>
              </w:rPr>
            </w:pPr>
            <w:r w:rsidRPr="002F4FFC">
              <w:rPr>
                <w:lang w:val="es-CO"/>
              </w:rPr>
              <w:t xml:space="preserve">El sistema centrado en los contratos permitirá que los canales se conecten a nuestro sistema de una forma estandarizada, que facilita la conexión. </w:t>
            </w:r>
          </w:p>
          <w:p w14:paraId="3471EAED" w14:textId="77777777" w:rsidR="002E227D" w:rsidRPr="002F4FFC" w:rsidRDefault="002E227D" w:rsidP="00920116">
            <w:pPr>
              <w:rPr>
                <w:bCs/>
                <w:lang w:val="es-CO"/>
              </w:rPr>
            </w:pPr>
          </w:p>
          <w:p w14:paraId="713A1773" w14:textId="3FE11D2B" w:rsidR="002E227D" w:rsidRPr="002F4FFC" w:rsidRDefault="002E227D" w:rsidP="00920116">
            <w:pPr>
              <w:rPr>
                <w:bCs/>
                <w:lang w:val="es-CO"/>
              </w:rPr>
            </w:pPr>
          </w:p>
        </w:tc>
      </w:tr>
    </w:tbl>
    <w:p w14:paraId="5EE5B3D8" w14:textId="4AF8DD0C" w:rsidR="00D066B8" w:rsidRDefault="00D066B8" w:rsidP="1FBB47F9">
      <w:pPr>
        <w:rPr>
          <w:b/>
          <w:bCs/>
          <w:lang w:val="es-CO"/>
        </w:rPr>
      </w:pPr>
    </w:p>
    <w:p w14:paraId="6597850D" w14:textId="4AF8DD0C" w:rsidR="0032423A" w:rsidRDefault="0032423A" w:rsidP="1FBB47F9">
      <w:pPr>
        <w:rPr>
          <w:b/>
          <w:bCs/>
          <w:lang w:val="es-CO"/>
        </w:rPr>
      </w:pPr>
    </w:p>
    <w:p w14:paraId="22E29FD7" w14:textId="4AF8DD0C" w:rsidR="0032423A" w:rsidRDefault="0032423A" w:rsidP="1FBB47F9">
      <w:pPr>
        <w:rPr>
          <w:b/>
          <w:bCs/>
          <w:lang w:val="es-CO"/>
        </w:rPr>
      </w:pPr>
    </w:p>
    <w:p w14:paraId="402C1738" w14:textId="44E6E0F7" w:rsidR="002579F4" w:rsidRPr="002F4FFC" w:rsidRDefault="002579F4" w:rsidP="1FBB47F9">
      <w:pPr>
        <w:rPr>
          <w:b/>
          <w:bCs/>
          <w:lang w:val="es-CO"/>
        </w:rPr>
      </w:pP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5C58DD" w:rsidRPr="002F4FFC" w14:paraId="395041B5" w14:textId="77777777" w:rsidTr="034D2E72">
        <w:trPr>
          <w:trHeight w:val="330"/>
        </w:trPr>
        <w:tc>
          <w:tcPr>
            <w:tcW w:w="9350" w:type="dxa"/>
            <w:gridSpan w:val="2"/>
          </w:tcPr>
          <w:p w14:paraId="1B1CC222" w14:textId="0E4964CD" w:rsidR="005C58DD" w:rsidRPr="002F4FFC" w:rsidRDefault="034D2E72" w:rsidP="034D2E72">
            <w:pPr>
              <w:spacing w:after="160" w:line="259" w:lineRule="auto"/>
              <w:jc w:val="center"/>
              <w:rPr>
                <w:rFonts w:eastAsia="Arial"/>
                <w:b/>
                <w:bCs/>
                <w:sz w:val="24"/>
                <w:szCs w:val="24"/>
                <w:lang w:val="es-CO"/>
              </w:rPr>
            </w:pPr>
            <w:r w:rsidRPr="002F4FFC">
              <w:rPr>
                <w:rFonts w:eastAsia="Arial"/>
                <w:b/>
                <w:bCs/>
                <w:sz w:val="24"/>
                <w:szCs w:val="24"/>
                <w:lang w:val="es-CO"/>
              </w:rPr>
              <w:t>Enterprise inventory</w:t>
            </w:r>
          </w:p>
        </w:tc>
      </w:tr>
      <w:tr w:rsidR="005C58DD" w:rsidRPr="002F4FFC" w14:paraId="10B42D07" w14:textId="77777777" w:rsidTr="034D2E7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675" w:type="dxa"/>
          </w:tcPr>
          <w:p w14:paraId="73A2FD96" w14:textId="0171F4CE" w:rsidR="005C58DD" w:rsidRPr="002F4FFC" w:rsidRDefault="034D2E72" w:rsidP="034D2E72">
            <w:pPr>
              <w:jc w:val="both"/>
              <w:rPr>
                <w:b/>
                <w:bCs/>
                <w:lang w:val="es-CO"/>
              </w:rPr>
            </w:pPr>
            <w:r w:rsidRPr="002F4FFC">
              <w:rPr>
                <w:rFonts w:eastAsia="Arial"/>
                <w:color w:val="212121"/>
                <w:lang w:val="es-CO"/>
              </w:rPr>
              <w:t>Inventario estandarizado para toda la empresa en la que se pueden recomponer de forma libre y repetida</w:t>
            </w:r>
          </w:p>
          <w:p w14:paraId="4EE7577B" w14:textId="4F80B4D9" w:rsidR="005C58DD" w:rsidRPr="002F4FFC" w:rsidRDefault="00447C37" w:rsidP="00D066B8">
            <w:pPr>
              <w:jc w:val="center"/>
              <w:rPr>
                <w:b/>
                <w:bCs/>
                <w:lang w:val="es-CO"/>
              </w:rPr>
            </w:pPr>
            <w:r w:rsidRPr="002F4FFC">
              <w:rPr>
                <w:noProof/>
                <w:lang w:val="es-CO" w:eastAsia="es-CO"/>
              </w:rPr>
              <w:drawing>
                <wp:inline distT="0" distB="0" distL="0" distR="0" wp14:anchorId="6D8051B3" wp14:editId="2098A9EA">
                  <wp:extent cx="1133475" cy="714375"/>
                  <wp:effectExtent l="0" t="0" r="9525" b="9525"/>
                  <wp:docPr id="12609305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930556" name="picture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2" t="27778" r="5926" b="4861"/>
                          <a:stretch/>
                        </pic:blipFill>
                        <pic:spPr bwMode="auto">
                          <a:xfrm>
                            <a:off x="0" y="0"/>
                            <a:ext cx="1133475" cy="71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216CD72" w14:textId="654618DB" w:rsidR="00D066B8" w:rsidRDefault="00D066B8" w:rsidP="00D066B8">
            <w:pPr>
              <w:spacing w:after="160" w:line="259" w:lineRule="auto"/>
              <w:jc w:val="both"/>
              <w:rPr>
                <w:lang w:val="es-CO"/>
              </w:rPr>
            </w:pPr>
          </w:p>
          <w:p w14:paraId="4314D174" w14:textId="654618DB" w:rsidR="005C58DD" w:rsidRPr="002F4FFC" w:rsidRDefault="034D2E72" w:rsidP="00D066B8">
            <w:pPr>
              <w:spacing w:after="160" w:line="259" w:lineRule="auto"/>
              <w:jc w:val="both"/>
              <w:rPr>
                <w:lang w:val="es-CO"/>
              </w:rPr>
            </w:pPr>
            <w:r w:rsidRPr="002F4FFC">
              <w:rPr>
                <w:lang w:val="es-CO"/>
              </w:rPr>
              <w:t>Con este patrón aplicado en nuestra arquitectura buscamos posicionar los servicios.</w:t>
            </w:r>
          </w:p>
        </w:tc>
      </w:tr>
    </w:tbl>
    <w:p w14:paraId="416CD379" w14:textId="654618DB" w:rsidR="1FBB47F9" w:rsidRDefault="1FBB47F9" w:rsidP="1FBB47F9">
      <w:pPr>
        <w:rPr>
          <w:b/>
          <w:bCs/>
          <w:lang w:val="es-CO"/>
        </w:rPr>
      </w:pP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7C2150" w:rsidRPr="002F4FFC" w14:paraId="4770E408" w14:textId="77777777" w:rsidTr="034D2E72">
        <w:trPr>
          <w:trHeight w:val="330"/>
        </w:trPr>
        <w:tc>
          <w:tcPr>
            <w:tcW w:w="9350" w:type="dxa"/>
            <w:gridSpan w:val="2"/>
          </w:tcPr>
          <w:p w14:paraId="4564CF48" w14:textId="3A537973" w:rsidR="007C2150" w:rsidRPr="002F4FFC" w:rsidRDefault="034D2E72" w:rsidP="034D2E72">
            <w:pPr>
              <w:spacing w:after="160" w:line="259" w:lineRule="auto"/>
              <w:jc w:val="center"/>
              <w:rPr>
                <w:rFonts w:eastAsia="Arial"/>
                <w:b/>
                <w:bCs/>
                <w:sz w:val="24"/>
                <w:szCs w:val="24"/>
                <w:lang w:val="es-CO"/>
              </w:rPr>
            </w:pPr>
            <w:r w:rsidRPr="002F4FFC">
              <w:rPr>
                <w:rFonts w:eastAsia="Arial"/>
                <w:b/>
                <w:bCs/>
                <w:sz w:val="24"/>
                <w:szCs w:val="24"/>
                <w:lang w:val="es-CO"/>
              </w:rPr>
              <w:t>Protocolo canónico</w:t>
            </w:r>
          </w:p>
        </w:tc>
      </w:tr>
      <w:tr w:rsidR="007C2150" w:rsidRPr="002F4FFC" w14:paraId="7489BCCC" w14:textId="77777777" w:rsidTr="034D2E7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675" w:type="dxa"/>
          </w:tcPr>
          <w:p w14:paraId="50E8EFCE" w14:textId="77777777" w:rsidR="007C2150" w:rsidRPr="002F4FFC" w:rsidRDefault="007C2150" w:rsidP="034D2E72">
            <w:pPr>
              <w:rPr>
                <w:b/>
                <w:bCs/>
                <w:lang w:val="es-CO"/>
              </w:rPr>
            </w:pPr>
          </w:p>
          <w:p w14:paraId="430914A7" w14:textId="4FDA4076" w:rsidR="007C2150" w:rsidRPr="002F4FFC" w:rsidRDefault="034D2E72" w:rsidP="034D2E72">
            <w:pPr>
              <w:jc w:val="both"/>
              <w:rPr>
                <w:rFonts w:eastAsia="Arial"/>
                <w:lang w:val="es-CO"/>
              </w:rPr>
            </w:pPr>
            <w:r w:rsidRPr="002F4FFC">
              <w:rPr>
                <w:rFonts w:eastAsia="Arial"/>
                <w:lang w:val="es-CO"/>
              </w:rPr>
              <w:t>Los protocolos de comunicación están estandarizados para todos los servicios.</w:t>
            </w:r>
          </w:p>
          <w:p w14:paraId="78DE9433" w14:textId="51CB67C3" w:rsidR="00512A8A" w:rsidRPr="002F4FFC" w:rsidRDefault="00512A8A" w:rsidP="00782103">
            <w:pPr>
              <w:jc w:val="center"/>
              <w:rPr>
                <w:b/>
                <w:bCs/>
                <w:lang w:val="es-CO"/>
              </w:rPr>
            </w:pPr>
            <w:r w:rsidRPr="002F4FFC">
              <w:rPr>
                <w:noProof/>
                <w:lang w:val="es-CO" w:eastAsia="es-CO"/>
              </w:rPr>
              <w:drawing>
                <wp:inline distT="0" distB="0" distL="0" distR="0" wp14:anchorId="2F655C5E" wp14:editId="6B16E6E9">
                  <wp:extent cx="1814195" cy="1447800"/>
                  <wp:effectExtent l="0" t="0" r="0" b="0"/>
                  <wp:docPr id="2018642538" name="pictur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49711" w14:textId="21A95996" w:rsidR="00512A8A" w:rsidRPr="002F4FFC" w:rsidRDefault="00512A8A" w:rsidP="00D447BA">
            <w:pPr>
              <w:rPr>
                <w:b/>
                <w:bCs/>
                <w:lang w:val="es-CO"/>
              </w:rPr>
            </w:pPr>
          </w:p>
        </w:tc>
        <w:tc>
          <w:tcPr>
            <w:tcW w:w="4675" w:type="dxa"/>
          </w:tcPr>
          <w:p w14:paraId="3E2B86E2" w14:textId="3AFDC8CA" w:rsidR="007C0275" w:rsidRDefault="007C0275" w:rsidP="00D447BA">
            <w:pPr>
              <w:rPr>
                <w:lang w:val="es-CO"/>
              </w:rPr>
            </w:pPr>
          </w:p>
          <w:p w14:paraId="1E6036C4" w14:textId="3AFDC8CA" w:rsidR="007C0275" w:rsidRDefault="007C0275" w:rsidP="00D447BA">
            <w:pPr>
              <w:rPr>
                <w:lang w:val="es-CO"/>
              </w:rPr>
            </w:pPr>
          </w:p>
          <w:p w14:paraId="65D9B9FB" w14:textId="3AFDC8CA" w:rsidR="007C0275" w:rsidRDefault="007C0275" w:rsidP="00D447BA">
            <w:pPr>
              <w:rPr>
                <w:lang w:val="es-CO"/>
              </w:rPr>
            </w:pPr>
          </w:p>
          <w:p w14:paraId="3A4E88EB" w14:textId="3AFDC8CA" w:rsidR="007C0275" w:rsidRDefault="007C0275" w:rsidP="00D447BA">
            <w:pPr>
              <w:rPr>
                <w:lang w:val="es-CO"/>
              </w:rPr>
            </w:pPr>
          </w:p>
          <w:p w14:paraId="22A6D017" w14:textId="3AFDC8CA" w:rsidR="007C2150" w:rsidRPr="002F4FFC" w:rsidRDefault="034D2E72" w:rsidP="00D447BA">
            <w:pPr>
              <w:rPr>
                <w:lang w:val="es-CO"/>
              </w:rPr>
            </w:pPr>
            <w:r w:rsidRPr="002F4FFC">
              <w:rPr>
                <w:lang w:val="es-CO"/>
              </w:rPr>
              <w:t xml:space="preserve">Implementados proceso de </w:t>
            </w:r>
            <w:r w:rsidR="00782103" w:rsidRPr="002F4FFC">
              <w:rPr>
                <w:lang w:val="es-CO"/>
              </w:rPr>
              <w:t>comunicación</w:t>
            </w:r>
            <w:r w:rsidRPr="002F4FFC">
              <w:rPr>
                <w:lang w:val="es-CO"/>
              </w:rPr>
              <w:t xml:space="preserve"> estandarizados para conectar los </w:t>
            </w:r>
            <w:r w:rsidR="00782103" w:rsidRPr="002F4FFC">
              <w:rPr>
                <w:lang w:val="es-CO"/>
              </w:rPr>
              <w:t>diferentes</w:t>
            </w:r>
            <w:r w:rsidRPr="002F4FFC">
              <w:rPr>
                <w:lang w:val="es-CO"/>
              </w:rPr>
              <w:t xml:space="preserve"> servicios de la arquitectura.</w:t>
            </w:r>
          </w:p>
        </w:tc>
      </w:tr>
    </w:tbl>
    <w:p w14:paraId="0EB23976" w14:textId="77777777" w:rsidR="005C58DD" w:rsidRPr="002F4FFC" w:rsidRDefault="005C58DD" w:rsidP="1FBB47F9">
      <w:pPr>
        <w:rPr>
          <w:b/>
          <w:bCs/>
          <w:lang w:val="es-CO"/>
        </w:rPr>
      </w:pP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7C2150" w:rsidRPr="002F4FFC" w14:paraId="61D67FC7" w14:textId="77777777" w:rsidTr="034D2E72">
        <w:trPr>
          <w:trHeight w:val="330"/>
        </w:trPr>
        <w:tc>
          <w:tcPr>
            <w:tcW w:w="9350" w:type="dxa"/>
            <w:gridSpan w:val="2"/>
          </w:tcPr>
          <w:p w14:paraId="5E9A55B2" w14:textId="41DADC4D" w:rsidR="007C2150" w:rsidRPr="002F4FFC" w:rsidRDefault="00655AC3" w:rsidP="00D447BA">
            <w:pPr>
              <w:jc w:val="center"/>
              <w:rPr>
                <w:rFonts w:eastAsia="Arial" w:cstheme="minorHAnsi"/>
                <w:color w:val="212121"/>
                <w:sz w:val="24"/>
                <w:szCs w:val="24"/>
                <w:lang w:val="es-CO"/>
              </w:rPr>
            </w:pPr>
            <w:r w:rsidRPr="002F4FFC">
              <w:rPr>
                <w:rFonts w:eastAsia="Arial" w:cstheme="minorHAnsi"/>
                <w:b/>
                <w:bCs/>
                <w:sz w:val="24"/>
                <w:szCs w:val="24"/>
                <w:lang w:val="es-CO"/>
              </w:rPr>
              <w:t>Canonical Expression</w:t>
            </w:r>
          </w:p>
        </w:tc>
      </w:tr>
      <w:tr w:rsidR="007C2150" w:rsidRPr="002F4FFC" w14:paraId="0F3D9B03" w14:textId="77777777" w:rsidTr="034D2E7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675" w:type="dxa"/>
          </w:tcPr>
          <w:p w14:paraId="7CF0E7A1" w14:textId="77777777" w:rsidR="007C2150" w:rsidRPr="002F4FFC" w:rsidRDefault="007C2150" w:rsidP="00D447BA">
            <w:pPr>
              <w:rPr>
                <w:b/>
                <w:bCs/>
                <w:lang w:val="es-CO"/>
              </w:rPr>
            </w:pPr>
          </w:p>
          <w:p w14:paraId="0B23E12B" w14:textId="77777777" w:rsidR="00DF0504" w:rsidRPr="002F4FFC" w:rsidRDefault="00DF0504" w:rsidP="00DF0504">
            <w:pPr>
              <w:pStyle w:val="Ttulo2"/>
              <w:jc w:val="both"/>
              <w:outlineLvl w:val="1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2F4FFC">
              <w:rPr>
                <w:rFonts w:asciiTheme="minorHAnsi" w:eastAsia="Arial" w:hAnsiTheme="minorHAnsi" w:cstheme="minorHAnsi"/>
                <w:color w:val="212121"/>
                <w:sz w:val="24"/>
                <w:szCs w:val="24"/>
                <w:lang w:val="es-CO"/>
              </w:rPr>
              <w:t>Los contratos de servicio están estandarizados mediante convención de nomenclatura</w:t>
            </w:r>
          </w:p>
          <w:p w14:paraId="66CE0818" w14:textId="77777777" w:rsidR="007C2150" w:rsidRPr="002F4FFC" w:rsidRDefault="007C2150" w:rsidP="00D447BA">
            <w:pPr>
              <w:rPr>
                <w:b/>
                <w:bCs/>
                <w:lang w:val="es-CO"/>
              </w:rPr>
            </w:pPr>
          </w:p>
          <w:p w14:paraId="40F312BC" w14:textId="60DCC52B" w:rsidR="00DF0504" w:rsidRPr="002F4FFC" w:rsidRDefault="00E30149" w:rsidP="00D447BA">
            <w:pPr>
              <w:rPr>
                <w:lang w:val="es-CO"/>
              </w:rPr>
            </w:pPr>
            <w:r w:rsidRPr="002F4FFC">
              <w:rPr>
                <w:noProof/>
                <w:lang w:val="es-CO" w:eastAsia="es-CO"/>
              </w:rPr>
              <w:drawing>
                <wp:inline distT="0" distB="0" distL="0" distR="0" wp14:anchorId="1084E3F5" wp14:editId="60E7A71A">
                  <wp:extent cx="2162175" cy="1472565"/>
                  <wp:effectExtent l="0" t="0" r="9525" b="0"/>
                  <wp:docPr id="892839143" name="pictur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4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4DD8C9E" w14:textId="53ED2E80" w:rsidR="007C2150" w:rsidRPr="002F4FFC" w:rsidRDefault="034D2E72" w:rsidP="034D2E72">
            <w:pPr>
              <w:jc w:val="both"/>
              <w:rPr>
                <w:rFonts w:eastAsia="Arial"/>
                <w:b/>
                <w:bCs/>
                <w:color w:val="212121"/>
                <w:sz w:val="24"/>
                <w:szCs w:val="24"/>
                <w:lang w:val="es-CO"/>
              </w:rPr>
            </w:pPr>
            <w:r w:rsidRPr="002F4FFC">
              <w:rPr>
                <w:lang w:val="es-CO"/>
              </w:rPr>
              <w:t>Complmetando el patronContract Centralization, nuestra arquitectura se basa em la elaboracion del contrato primero.</w:t>
            </w:r>
          </w:p>
          <w:p w14:paraId="70372970" w14:textId="3417D191" w:rsidR="007C2150" w:rsidRPr="002F4FFC" w:rsidRDefault="007C2150" w:rsidP="034D2E72">
            <w:pPr>
              <w:rPr>
                <w:lang w:val="es-CO"/>
              </w:rPr>
            </w:pPr>
          </w:p>
        </w:tc>
      </w:tr>
    </w:tbl>
    <w:p w14:paraId="6E1E5120" w14:textId="44E6E0F7" w:rsidR="007C2150" w:rsidRDefault="007C2150" w:rsidP="1FBB47F9">
      <w:pPr>
        <w:rPr>
          <w:b/>
          <w:bCs/>
          <w:lang w:val="es-CO"/>
        </w:rPr>
      </w:pPr>
    </w:p>
    <w:p w14:paraId="0B1B1308" w14:textId="44E6E0F7" w:rsidR="002579F4" w:rsidRDefault="002579F4" w:rsidP="1FBB47F9">
      <w:pPr>
        <w:rPr>
          <w:b/>
          <w:bCs/>
          <w:lang w:val="es-CO"/>
        </w:rPr>
      </w:pPr>
    </w:p>
    <w:p w14:paraId="183B467B" w14:textId="44E6E0F7" w:rsidR="002579F4" w:rsidRPr="002F4FFC" w:rsidRDefault="002579F4" w:rsidP="1FBB47F9">
      <w:pPr>
        <w:rPr>
          <w:b/>
          <w:bCs/>
          <w:lang w:val="es-CO"/>
        </w:rPr>
      </w:pPr>
    </w:p>
    <w:p w14:paraId="7F18EE54" w14:textId="22087659" w:rsidR="034D2E72" w:rsidRPr="002F4FFC" w:rsidRDefault="034D2E72" w:rsidP="002579F4">
      <w:pPr>
        <w:pStyle w:val="Ttulo1"/>
        <w:rPr>
          <w:lang w:val="es-CO"/>
        </w:rPr>
      </w:pPr>
      <w:r w:rsidRPr="002F4FFC">
        <w:rPr>
          <w:lang w:val="es-CO"/>
        </w:rPr>
        <w:lastRenderedPageBreak/>
        <w:t>INVENTARIO DE SERVICIOS</w:t>
      </w:r>
    </w:p>
    <w:p w14:paraId="7255D48E" w14:textId="22087659" w:rsidR="034D2E72" w:rsidRDefault="034D2E72" w:rsidP="00C13AEE">
      <w:pPr>
        <w:jc w:val="both"/>
        <w:rPr>
          <w:b/>
          <w:bCs/>
          <w:lang w:val="es-CO"/>
        </w:rPr>
      </w:pPr>
    </w:p>
    <w:p w14:paraId="6C31CC4D" w14:textId="5B550113" w:rsidR="003374E8" w:rsidRPr="002F4FFC" w:rsidRDefault="003374E8" w:rsidP="00C13AEE">
      <w:pPr>
        <w:jc w:val="both"/>
        <w:rPr>
          <w:b/>
          <w:bCs/>
          <w:lang w:val="es-CO"/>
        </w:rPr>
      </w:pPr>
      <w:r>
        <w:rPr>
          <w:bCs/>
          <w:lang w:val="es-CO"/>
        </w:rPr>
        <w:t xml:space="preserve">El inventario </w:t>
      </w:r>
      <w:r w:rsidR="00816573">
        <w:rPr>
          <w:bCs/>
          <w:lang w:val="es-CO"/>
        </w:rPr>
        <w:t xml:space="preserve">y descubrimiento de servicios los realizamos a través </w:t>
      </w:r>
      <w:r w:rsidR="00C13AEE">
        <w:rPr>
          <w:bCs/>
          <w:lang w:val="es-CO"/>
        </w:rPr>
        <w:t>de EUREKA</w:t>
      </w:r>
      <w:r w:rsidR="00816573">
        <w:rPr>
          <w:bCs/>
          <w:lang w:val="es-CO"/>
        </w:rPr>
        <w:t xml:space="preserve">, la cual nos permitirá tener conocimiento de los servicios existen en el banco y logar su </w:t>
      </w:r>
      <w:r w:rsidR="00C13AEE">
        <w:rPr>
          <w:bCs/>
          <w:lang w:val="es-CO"/>
        </w:rPr>
        <w:t>posicionamiento,</w:t>
      </w:r>
      <w:r w:rsidR="00816573">
        <w:rPr>
          <w:bCs/>
          <w:lang w:val="es-CO"/>
        </w:rPr>
        <w:t xml:space="preserve"> </w:t>
      </w:r>
      <w:r w:rsidR="00C13AEE">
        <w:rPr>
          <w:bCs/>
          <w:lang w:val="es-CO"/>
        </w:rPr>
        <w:t>así como tener gobernabilidad sobre estos.</w:t>
      </w:r>
      <w:r w:rsidR="00816573">
        <w:rPr>
          <w:bCs/>
          <w:lang w:val="es-CO"/>
        </w:rPr>
        <w:t xml:space="preserve"> </w:t>
      </w:r>
    </w:p>
    <w:p w14:paraId="2B3DC295" w14:textId="77777777" w:rsidR="00E42E65" w:rsidRDefault="034D2E72" w:rsidP="00E42E65">
      <w:pPr>
        <w:keepNext/>
        <w:jc w:val="center"/>
      </w:pPr>
      <w:r w:rsidRPr="002F4FFC">
        <w:rPr>
          <w:noProof/>
          <w:lang w:val="es-CO" w:eastAsia="es-CO"/>
        </w:rPr>
        <w:drawing>
          <wp:inline distT="0" distB="0" distL="0" distR="0" wp14:anchorId="0F83C9D8" wp14:editId="71770DB6">
            <wp:extent cx="4791440" cy="2047875"/>
            <wp:effectExtent l="0" t="0" r="0" b="0"/>
            <wp:docPr id="17635485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8D11" w14:textId="3BA121D2" w:rsidR="034D2E72" w:rsidRPr="002F4FFC" w:rsidRDefault="00E42E65" w:rsidP="00E42E65">
      <w:pPr>
        <w:pStyle w:val="Descripcin"/>
        <w:jc w:val="center"/>
        <w:rPr>
          <w:lang w:val="es-CO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Imagen Tomada del </w:t>
      </w:r>
      <w:r w:rsidRPr="00F253DC">
        <w:t>http://www.robertocrespo.net/kaizen/como-construir-microservicios-con-spring-boot/</w:t>
      </w:r>
    </w:p>
    <w:p w14:paraId="7BD7B147" w14:textId="28BB7BBF" w:rsidR="00C13AEE" w:rsidRDefault="00C13AEE" w:rsidP="00C13AEE">
      <w:pPr>
        <w:rPr>
          <w:lang w:val="es-CO"/>
        </w:rPr>
      </w:pPr>
    </w:p>
    <w:p w14:paraId="25D351F6" w14:textId="77777777" w:rsidR="00974CEE" w:rsidRDefault="00974CEE" w:rsidP="00C13AEE">
      <w:pPr>
        <w:rPr>
          <w:lang w:val="es-CO"/>
        </w:rPr>
      </w:pPr>
    </w:p>
    <w:p w14:paraId="7E26238A" w14:textId="77777777" w:rsidR="00974CEE" w:rsidRDefault="00974CEE">
      <w:pPr>
        <w:rPr>
          <w:lang w:val="es-CO"/>
        </w:rPr>
      </w:pPr>
      <w:r>
        <w:rPr>
          <w:lang w:val="es-CO"/>
        </w:rPr>
        <w:br w:type="page"/>
      </w:r>
    </w:p>
    <w:p w14:paraId="65151814" w14:textId="06913904" w:rsidR="7820DEBC" w:rsidRDefault="034D2E72" w:rsidP="0096191D">
      <w:pPr>
        <w:pStyle w:val="Ttulo1"/>
        <w:rPr>
          <w:lang w:val="es-CO"/>
        </w:rPr>
      </w:pPr>
      <w:r w:rsidRPr="002F4FFC">
        <w:rPr>
          <w:lang w:val="es-CO"/>
        </w:rPr>
        <w:lastRenderedPageBreak/>
        <w:t>BLUEPRINT</w:t>
      </w:r>
    </w:p>
    <w:p w14:paraId="1450ACDD" w14:textId="77777777" w:rsidR="0094526C" w:rsidRDefault="0094526C" w:rsidP="002431C6">
      <w:pPr>
        <w:jc w:val="both"/>
        <w:rPr>
          <w:lang w:val="es-CO"/>
        </w:rPr>
      </w:pPr>
    </w:p>
    <w:p w14:paraId="1903C5D1" w14:textId="2409C519" w:rsidR="00C97CFB" w:rsidRPr="0094526C" w:rsidRDefault="0094526C" w:rsidP="002431C6">
      <w:pPr>
        <w:jc w:val="both"/>
        <w:rPr>
          <w:lang w:val="es-CO"/>
        </w:rPr>
      </w:pPr>
      <w:r>
        <w:rPr>
          <w:lang w:val="es-CO"/>
        </w:rPr>
        <w:t xml:space="preserve">En el siguiente diagrama </w:t>
      </w:r>
      <w:r w:rsidR="0064678A">
        <w:rPr>
          <w:lang w:val="es-CO"/>
        </w:rPr>
        <w:t>s</w:t>
      </w:r>
      <w:r w:rsidR="00C97CFB">
        <w:rPr>
          <w:lang w:val="es-CO"/>
        </w:rPr>
        <w:t>e pueden observar cómo se relacionan los diferentes componentes del banco para el proceso de pagos en línea</w:t>
      </w:r>
      <w:r w:rsidR="00974CEE">
        <w:rPr>
          <w:lang w:val="es-CO"/>
        </w:rPr>
        <w:t xml:space="preserve">, como se comunican las diferentes componentes y a </w:t>
      </w:r>
      <w:r w:rsidR="002431C6">
        <w:rPr>
          <w:lang w:val="es-CO"/>
        </w:rPr>
        <w:t>su</w:t>
      </w:r>
      <w:r w:rsidR="002346EF">
        <w:rPr>
          <w:lang w:val="es-CO"/>
        </w:rPr>
        <w:t xml:space="preserve"> vez los proceso</w:t>
      </w:r>
      <w:r w:rsidR="00974CEE">
        <w:rPr>
          <w:lang w:val="es-CO"/>
        </w:rPr>
        <w:t xml:space="preserve">s y la infraestructura que interviene. </w:t>
      </w:r>
    </w:p>
    <w:p w14:paraId="01184F13" w14:textId="01DA7AD0" w:rsidR="7820DEBC" w:rsidRPr="002F4FFC" w:rsidRDefault="7820DEBC" w:rsidP="002346EF">
      <w:pPr>
        <w:jc w:val="center"/>
        <w:rPr>
          <w:lang w:val="es-CO"/>
        </w:rPr>
      </w:pPr>
      <w:r w:rsidRPr="002F4FFC">
        <w:rPr>
          <w:noProof/>
          <w:lang w:val="es-CO" w:eastAsia="es-CO"/>
        </w:rPr>
        <w:drawing>
          <wp:inline distT="0" distB="0" distL="0" distR="0" wp14:anchorId="3D47D563" wp14:editId="608DE177">
            <wp:extent cx="5298048" cy="6054910"/>
            <wp:effectExtent l="0" t="0" r="0" b="0"/>
            <wp:docPr id="21304485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048" cy="60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7820DEBC" w:rsidRPr="002F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47D3C5"/>
    <w:rsid w:val="00006CA1"/>
    <w:rsid w:val="000123E3"/>
    <w:rsid w:val="00043037"/>
    <w:rsid w:val="00113B4F"/>
    <w:rsid w:val="0013013C"/>
    <w:rsid w:val="00195595"/>
    <w:rsid w:val="002346EF"/>
    <w:rsid w:val="002431C6"/>
    <w:rsid w:val="00246D79"/>
    <w:rsid w:val="002579F4"/>
    <w:rsid w:val="002747A4"/>
    <w:rsid w:val="002A3DA6"/>
    <w:rsid w:val="002E227D"/>
    <w:rsid w:val="002E2F9E"/>
    <w:rsid w:val="002F4FFC"/>
    <w:rsid w:val="0032423A"/>
    <w:rsid w:val="003374E8"/>
    <w:rsid w:val="00370306"/>
    <w:rsid w:val="0038374A"/>
    <w:rsid w:val="0039469A"/>
    <w:rsid w:val="0043252B"/>
    <w:rsid w:val="0044045D"/>
    <w:rsid w:val="00447C37"/>
    <w:rsid w:val="00453F1C"/>
    <w:rsid w:val="004D167A"/>
    <w:rsid w:val="00512A8A"/>
    <w:rsid w:val="00532BCE"/>
    <w:rsid w:val="00551D52"/>
    <w:rsid w:val="005C58DD"/>
    <w:rsid w:val="0064678A"/>
    <w:rsid w:val="00655AC3"/>
    <w:rsid w:val="00675953"/>
    <w:rsid w:val="006B6396"/>
    <w:rsid w:val="006D39E9"/>
    <w:rsid w:val="00782103"/>
    <w:rsid w:val="00790801"/>
    <w:rsid w:val="007A1E50"/>
    <w:rsid w:val="007C0275"/>
    <w:rsid w:val="007C2150"/>
    <w:rsid w:val="007C5557"/>
    <w:rsid w:val="007D3830"/>
    <w:rsid w:val="00816573"/>
    <w:rsid w:val="008225FC"/>
    <w:rsid w:val="00872546"/>
    <w:rsid w:val="00893CB8"/>
    <w:rsid w:val="008C1B9C"/>
    <w:rsid w:val="00920116"/>
    <w:rsid w:val="009355CE"/>
    <w:rsid w:val="00943EC6"/>
    <w:rsid w:val="0094526C"/>
    <w:rsid w:val="0096191D"/>
    <w:rsid w:val="00967A2A"/>
    <w:rsid w:val="00974CEE"/>
    <w:rsid w:val="00974D3C"/>
    <w:rsid w:val="00974ED8"/>
    <w:rsid w:val="00985666"/>
    <w:rsid w:val="009E1ADB"/>
    <w:rsid w:val="009E1C92"/>
    <w:rsid w:val="009F23ED"/>
    <w:rsid w:val="00A02BA8"/>
    <w:rsid w:val="00A416C8"/>
    <w:rsid w:val="00A4700D"/>
    <w:rsid w:val="00B13F69"/>
    <w:rsid w:val="00B62739"/>
    <w:rsid w:val="00B93106"/>
    <w:rsid w:val="00BA675F"/>
    <w:rsid w:val="00BD1108"/>
    <w:rsid w:val="00BF548B"/>
    <w:rsid w:val="00C13AEE"/>
    <w:rsid w:val="00C51192"/>
    <w:rsid w:val="00C808EC"/>
    <w:rsid w:val="00C97CFB"/>
    <w:rsid w:val="00CD2F81"/>
    <w:rsid w:val="00CF642F"/>
    <w:rsid w:val="00CF6776"/>
    <w:rsid w:val="00D066B8"/>
    <w:rsid w:val="00D308DA"/>
    <w:rsid w:val="00D53816"/>
    <w:rsid w:val="00D53C9C"/>
    <w:rsid w:val="00DA1C9D"/>
    <w:rsid w:val="00DD1CCA"/>
    <w:rsid w:val="00DF0504"/>
    <w:rsid w:val="00E00BF0"/>
    <w:rsid w:val="00E30149"/>
    <w:rsid w:val="00E42012"/>
    <w:rsid w:val="00E42E65"/>
    <w:rsid w:val="00E93C4D"/>
    <w:rsid w:val="00F31A01"/>
    <w:rsid w:val="00F74DEA"/>
    <w:rsid w:val="00F82301"/>
    <w:rsid w:val="00FC4BCD"/>
    <w:rsid w:val="00FE2DAC"/>
    <w:rsid w:val="034D2E72"/>
    <w:rsid w:val="0B4F2998"/>
    <w:rsid w:val="13336B94"/>
    <w:rsid w:val="1F9526FD"/>
    <w:rsid w:val="1FBB47F9"/>
    <w:rsid w:val="22087659"/>
    <w:rsid w:val="297329F2"/>
    <w:rsid w:val="2A1B99C2"/>
    <w:rsid w:val="2C92CD2A"/>
    <w:rsid w:val="37101A33"/>
    <w:rsid w:val="3A2DDBC5"/>
    <w:rsid w:val="3DEFE5BD"/>
    <w:rsid w:val="43D6D470"/>
    <w:rsid w:val="49BA3E8D"/>
    <w:rsid w:val="5315FE23"/>
    <w:rsid w:val="53F9990F"/>
    <w:rsid w:val="54E5E4AB"/>
    <w:rsid w:val="56A8CE77"/>
    <w:rsid w:val="5747D3C5"/>
    <w:rsid w:val="5A4E1381"/>
    <w:rsid w:val="6679DA8F"/>
    <w:rsid w:val="72D433AF"/>
    <w:rsid w:val="7820DEBC"/>
    <w:rsid w:val="797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D3C5"/>
  <w15:chartTrackingRefBased/>
  <w15:docId w15:val="{0F1157C9-33A6-4205-ACA6-43DBBC7D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1CC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DD1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47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E42E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74AB0-60DB-40BB-B673-D2E376D10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389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Andres Fernandez Villamil</dc:creator>
  <cp:keywords/>
  <dc:description/>
  <cp:lastModifiedBy>Roger Gonzalo Castelblanco Melo</cp:lastModifiedBy>
  <cp:revision>210</cp:revision>
  <dcterms:created xsi:type="dcterms:W3CDTF">2018-05-19T23:25:00Z</dcterms:created>
  <dcterms:modified xsi:type="dcterms:W3CDTF">2018-05-24T16:48:00Z</dcterms:modified>
</cp:coreProperties>
</file>