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00" w:after="60"/>
      </w:pPr>
      <w:r>
        <w:rPr>
          <w:b/>
          <w:color w:val="2B6CB0"/>
          <w:sz w:val="24"/>
        </w:rPr>
        <w:t xml:space="preserve">UNIVERSIDAD TÉCNICA DE MANABÍ</w:t>
      </w:r>
    </w:p>
    <w:p>
      <w:pPr>
        <w:jc w:val="center"/>
        <w:spacing w:before="0" w:after="140"/>
      </w:pPr>
      <w:r>
        <w:rPr>
          <w:i/>
          <w:color w:val="4A5568"/>
          <w:sz w:val="20"/>
        </w:rPr>
        <w:t xml:space="preserve">Posgrado en Aplicaciones Informáticas para la Gestión Editorial</w:t>
      </w:r>
    </w:p>
    <w:p>
      <w:pPr>
        <w:jc w:val="center"/>
        <w:spacing w:before="60" w:after="100"/>
      </w:pPr>
      <w:r>
        <w:rPr>
          <w:b/>
          <w:color w:val="1A365D"/>
          <w:sz w:val="32"/>
        </w:rPr>
        <w:t xml:space="preserve">Guía de Despliegue en Docker y Credenciales de Acceso</w:t>
      </w:r>
    </w:p>
    <w:p>
      <w:pPr>
        <w:jc w:val="center"/>
        <w:spacing w:before="0" w:after="240"/>
      </w:pPr>
      <w:r>
        <w:rPr>
          <w:b/>
          <w:color w:val="3182CE"/>
          <w:sz w:val="22"/>
        </w:rPr>
        <w:t xml:space="preserve">Plataforma OJS 3.3 | Revista Ceibo</w:t>
      </w:r>
    </w:p>
    <w:p>
      <w:pPr>
        <w:spacing w:before="200" w:after="120"/>
      </w:pPr>
      <w:r>
        <w:rPr>
          <w:b/>
          <w:color w:val="1A365D"/>
          <w:sz w:val="26"/>
        </w:rPr>
        <w:t xml:space="preserve">1. Usuarios Disponibles y Credenciales de Acceso</w:t>
      </w:r>
    </w:p>
    <w:p>
      <w:pPr>
        <w:pBdr>
          <w:top w:val="single" w:sz="4" w:space="4" w:color="BEE3F8"/>
          <w:left w:val="single" w:sz="24" w:space="8" w:color="2B6CB0"/>
          <w:bottom w:val="single" w:sz="4" w:space="4" w:color="BEE3F8"/>
          <w:right w:val="single" w:sz="4" w:space="4" w:color="BEE3F8"/>
        </w:pBdr>
        <w:shd w:val="clear" w:color="auto" w:fill="EBF8FF"/>
        <w:spacing w:before="140" w:after="180"/>
        <w:ind w:left="240" w:right="240"/>
      </w:pPr>
      <w:r>
        <w:rPr>
          <w:b/>
          <w:color w:val="2B6CB0"/>
          <w:sz w:val="20"/>
        </w:rPr>
        <w:t xml:space="preserve">Contraseña Única General: </w:t>
      </w:r>
      <w:r>
        <w:rPr>
          <w:color w:val="2D3748"/>
          <w:sz w:val="20"/>
        </w:rPr>
        <w:t xml:space="preserve">Todas las cuentas de usuario comparten la misma contraseña predeterminada: Ceibo2026*</w:t>
      </w:r>
    </w:p>
    <w:p>
      <w:pPr>
        <w:spacing w:before="40" w:after="140"/>
      </w:pPr>
      <w:r>
        <w:rPr>
          <w:color w:val="4A5568"/>
          <w:sz w:val="21"/>
        </w:rPr>
        <w:t xml:space="preserve">A continuación se detallan las cuentas organizadas por rol editorial:</w:t>
      </w:r>
    </w:p>
    <w:tbl>
      <w:tblPr>
        <w:tblW w:w="9360" w:type="dxa"/>
        <w:tblBorders>
          <w:top w:val="single" w:sz="4" w:space="0" w:color="CBD5E0"/>
          <w:bottom w:val="single" w:sz="8" w:space="0" w:color="2B6CB0"/>
          <w:insideH w:val="single" w:sz="4" w:space="0" w:color="E2E8F0"/>
          <w:insideV w:val="none"/>
        </w:tblBorders>
      </w:tblPr>
      <w:tr>
        <w:trPr>
          <w:tblHeader/>
        </w:trPr>
        <w:tc>
          <w:tcPr>
            <w:tcW w:w="1800" w:type="dxa"/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Usuario</w:t>
            </w:r>
          </w:p>
        </w:tc>
        <w:tc>
          <w:tcPr>
            <w:tcW w:w="2600" w:type="dxa"/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Nombre Completo</w:t>
            </w:r>
          </w:p>
        </w:tc>
        <w:tc>
          <w:tcPr>
            <w:tcW w:w="2760" w:type="dxa"/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Rol Principal en OJS</w:t>
            </w:r>
          </w:p>
        </w:tc>
        <w:tc>
          <w:tcPr>
            <w:tcW w:w="2200" w:type="dxa"/>
            <w:shd w:val="clear" w:color="auto" w:fill="2B6CB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Correo Institucional</w:t>
            </w:r>
          </w:p>
        </w:tc>
      </w:tr>
      <w:tr>
        <w:tc>
          <w:tcPr>
            <w:tcW w:w="1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jperez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Dr. Juan Pérez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Director / Editor en Jefe y Gestor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jperez@utm.edu.ec</w:t>
            </w:r>
          </w:p>
        </w:tc>
      </w:tr>
      <w:tr>
        <w:tc>
          <w:tcPr>
            <w:tcW w:w="18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admin</w:t>
            </w:r>
          </w:p>
        </w:tc>
        <w:tc>
          <w:tcPr>
            <w:tcW w:w="26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Administrador OJS</w:t>
            </w:r>
          </w:p>
        </w:tc>
        <w:tc>
          <w:tcPr>
            <w:tcW w:w="276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Administrador del Sitio / Gestor</w:t>
            </w:r>
          </w:p>
        </w:tc>
        <w:tc>
          <w:tcPr>
            <w:tcW w:w="22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jorge.parraga@utm.edu.ec</w:t>
            </w:r>
          </w:p>
        </w:tc>
      </w:tr>
      <w:tr>
        <w:tc>
          <w:tcPr>
            <w:tcW w:w="1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smendoza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Dra. Sofía Mendoza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Gestora de la revista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smendoza@utm.edu.ec</w:t>
            </w:r>
          </w:p>
        </w:tc>
      </w:tr>
      <w:tr>
        <w:tc>
          <w:tcPr>
            <w:tcW w:w="18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emorales</w:t>
            </w:r>
          </w:p>
        </w:tc>
        <w:tc>
          <w:tcPr>
            <w:tcW w:w="26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MSc. Elena Morales</w:t>
            </w:r>
          </w:p>
        </w:tc>
        <w:tc>
          <w:tcPr>
            <w:tcW w:w="276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Editora de Sección (Ciencias Agrarias)</w:t>
            </w:r>
          </w:p>
        </w:tc>
        <w:tc>
          <w:tcPr>
            <w:tcW w:w="22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emorales@utm.edu.ec</w:t>
            </w:r>
          </w:p>
        </w:tc>
      </w:tr>
      <w:tr>
        <w:tc>
          <w:tcPr>
            <w:tcW w:w="1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ralarcon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Dr. Roberto Alarcón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Editor de Sección (Educación y TIC)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ralarcon@utm.edu.ec</w:t>
            </w:r>
          </w:p>
        </w:tc>
      </w:tr>
      <w:tr>
        <w:tc>
          <w:tcPr>
            <w:tcW w:w="18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mgomez</w:t>
            </w:r>
          </w:p>
        </w:tc>
        <w:tc>
          <w:tcPr>
            <w:tcW w:w="26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Dr. Manuel Gómez</w:t>
            </w:r>
          </w:p>
        </w:tc>
        <w:tc>
          <w:tcPr>
            <w:tcW w:w="276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Revisor/a por pares (U. Salamanca)</w:t>
            </w:r>
          </w:p>
        </w:tc>
        <w:tc>
          <w:tcPr>
            <w:tcW w:w="22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mgomez@usal.es</w:t>
            </w:r>
          </w:p>
        </w:tc>
      </w:tr>
      <w:tr>
        <w:tc>
          <w:tcPr>
            <w:tcW w:w="1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lrestrepo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Dra. Laura Restrepo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Revisora por pares (U. Nacional Col.)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lrestrepo@unal.edu.co</w:t>
            </w:r>
          </w:p>
        </w:tc>
      </w:tr>
      <w:tr>
        <w:tc>
          <w:tcPr>
            <w:tcW w:w="18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revisor_ceibo</w:t>
            </w:r>
          </w:p>
        </w:tc>
        <w:tc>
          <w:tcPr>
            <w:tcW w:w="26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Dr. Fernando Castro</w:t>
            </w:r>
          </w:p>
        </w:tc>
        <w:tc>
          <w:tcPr>
            <w:tcW w:w="276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Revisor/a por pares (U. Buenos Aires)</w:t>
            </w:r>
          </w:p>
        </w:tc>
        <w:tc>
          <w:tcPr>
            <w:tcW w:w="22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revisor.ceibo@utm.edu.ec</w:t>
            </w:r>
          </w:p>
        </w:tc>
      </w:tr>
      <w:tr>
        <w:tc>
          <w:tcPr>
            <w:tcW w:w="1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revisor2_ceibo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Dra. Beatriz Silva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Revisora por pares (U. São Paulo)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revisor2.ceibo@utm.edu.ec</w:t>
            </w:r>
          </w:p>
        </w:tc>
      </w:tr>
      <w:tr>
        <w:tc>
          <w:tcPr>
            <w:tcW w:w="18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jbarreiro</w:t>
            </w:r>
          </w:p>
        </w:tc>
        <w:tc>
          <w:tcPr>
            <w:tcW w:w="26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Ing. Juan Barreiro</w:t>
            </w:r>
          </w:p>
        </w:tc>
        <w:tc>
          <w:tcPr>
            <w:tcW w:w="276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Autor/a de correspondencia</w:t>
            </w:r>
          </w:p>
        </w:tc>
        <w:tc>
          <w:tcPr>
            <w:tcW w:w="22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jbarreiro@gmail.com</w:t>
            </w:r>
          </w:p>
        </w:tc>
      </w:tr>
      <w:tr>
        <w:tc>
          <w:tcPr>
            <w:tcW w:w="1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autor_ceibo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Ing. María Gómez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Autor/a postulante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autor.ceibo@utm.edu.ec</w:t>
            </w:r>
          </w:p>
        </w:tc>
      </w:tr>
      <w:tr>
        <w:tc>
          <w:tcPr>
            <w:tcW w:w="18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lector_ceibo</w:t>
            </w:r>
          </w:p>
        </w:tc>
        <w:tc>
          <w:tcPr>
            <w:tcW w:w="26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Lector Ceibo</w:t>
            </w:r>
          </w:p>
        </w:tc>
        <w:tc>
          <w:tcPr>
            <w:tcW w:w="276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Lector/a suscrito</w:t>
            </w:r>
          </w:p>
        </w:tc>
        <w:tc>
          <w:tcPr>
            <w:tcW w:w="2200" w:type="dxa"/>
            <w:shd w:val="clear" w:color="auto" w:fill="F7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lector.ceibo@utm.edu.ec</w:t>
            </w:r>
          </w:p>
        </w:tc>
      </w:tr>
    </w:tbl>
    <w:p>
      <w:pPr>
        <w:spacing w:before="0" w:after="180"/>
      </w:pPr>
      <w:r>
        <w:rPr>
          <w:color w:val="2D3748"/>
          <w:sz w:val="22"/>
        </w:rPr>
        <w:t xml:space="preserve"/>
      </w:r>
    </w:p>
    <w:p>
      <w:pPr>
        <w:spacing w:before="240" w:after="120"/>
      </w:pPr>
      <w:r>
        <w:rPr>
          <w:b/>
          <w:color w:val="1A365D"/>
          <w:sz w:val="26"/>
        </w:rPr>
        <w:t xml:space="preserve">2. Guía Paso a Paso: Cómo Levantar el Docker desde Cero en otra Computadora</w:t>
      </w:r>
    </w:p>
    <w:p>
      <w:pPr>
        <w:spacing w:before="40" w:after="140"/>
      </w:pPr>
      <w:r>
        <w:rPr>
          <w:color w:val="2D3748"/>
          <w:sz w:val="21"/>
        </w:rPr>
        <w:t xml:space="preserve">Este entorno de práctica es totalmente autónomo y compatible con cualquier sistema operativo: macOS (Apple Silicon M1/M2/M3/M4 o Intel), Linux (Ubuntu, Debian, Fedora) y Windows 10/11 con Docker Desktop.</w:t>
      </w:r>
    </w:p>
    <w:p>
      <w:pPr>
        <w:spacing w:before="160" w:after="60"/>
      </w:pPr>
      <w:r>
        <w:rPr>
          <w:b/>
          <w:color w:val="2B6CB0"/>
          <w:sz w:val="22"/>
        </w:rPr>
        <w:t xml:space="preserve">Paso 1: Instalación de Prerrequisitos</w:t>
      </w:r>
    </w:p>
    <w:p>
      <w:pPr>
        <w:spacing w:before="0" w:after="40"/>
      </w:pPr>
      <w:r>
        <w:rPr>
          <w:color w:val="2D3748"/>
          <w:sz w:val="21"/>
        </w:rPr>
        <w:t xml:space="preserve">1. Descargue e instale Docker Desktop desde el sitio oficial de Docker (https://www.docker.com/products/docker-desktop).</w:t>
      </w:r>
    </w:p>
    <w:p>
      <w:pPr>
        <w:spacing w:before="0" w:after="140"/>
      </w:pPr>
      <w:r>
        <w:rPr>
          <w:color w:val="2D3748"/>
          <w:sz w:val="21"/>
        </w:rPr>
        <w:t xml:space="preserve">2. Inicie Docker Desktop y verifique que el servicio se encuentre activo (Engine running con ícono verde).</w:t>
      </w:r>
    </w:p>
    <w:p>
      <w:pPr>
        <w:spacing w:before="160" w:after="60"/>
      </w:pPr>
      <w:r>
        <w:rPr>
          <w:b/>
          <w:color w:val="2B6CB0"/>
          <w:sz w:val="22"/>
        </w:rPr>
        <w:t xml:space="preserve">Paso 2: Copiar la Carpeta del Proyecto</w:t>
      </w:r>
    </w:p>
    <w:p>
      <w:pPr>
        <w:spacing w:before="0" w:after="80"/>
      </w:pPr>
      <w:r>
        <w:rPr>
          <w:color w:val="2D3748"/>
          <w:sz w:val="21"/>
        </w:rPr>
        <w:t xml:space="preserve">Copie la carpeta completa plataforma_ojs a la nueva computadora. La carpeta debe contener los siguientes archivos indispensables:</w:t>
      </w:r>
    </w:p>
    <w:p>
      <w:pPr>
        <w:spacing w:before="0" w:after="30"/>
      </w:pPr>
      <w:r>
        <w:rPr>
          <w:color w:val="2D3748"/>
          <w:sz w:val="20"/>
        </w:rPr>
        <w:t xml:space="preserve">• docker-compose.yml: Orquestación de contenedores MariaDB y OJS con puertos y volúmenes.</w:t>
      </w:r>
    </w:p>
    <w:p>
      <w:pPr>
        <w:spacing w:before="0" w:after="30"/>
      </w:pPr>
      <w:r>
        <w:rPr>
          <w:color w:val="2D3748"/>
          <w:sz w:val="20"/>
        </w:rPr>
        <w:t xml:space="preserve">• config.inc.php: Archivo de configuración oficial de OJS con base_url y conexión a base de datos.</w:t>
      </w:r>
    </w:p>
    <w:p>
      <w:pPr>
        <w:spacing w:before="0" w:after="30"/>
      </w:pPr>
      <w:r>
        <w:rPr>
          <w:color w:val="2D3748"/>
          <w:sz w:val="20"/>
        </w:rPr>
        <w:t xml:space="preserve">• init.sql: Respaldo completo de la base de datos con números, artículos, usuarios y revisiones.</w:t>
      </w:r>
    </w:p>
    <w:p>
      <w:pPr>
        <w:spacing w:before="0" w:after="30"/>
      </w:pPr>
      <w:r>
        <w:rPr>
          <w:color w:val="2D3748"/>
          <w:sz w:val="20"/>
        </w:rPr>
        <w:t xml:space="preserve">• archivos_galeradas/: Carpeta con los archivos PDF reales de todos los artículos publicados.</w:t>
      </w:r>
    </w:p>
    <w:p>
      <w:pPr>
        <w:spacing w:before="0" w:after="30"/>
      </w:pPr>
      <w:r>
        <w:rPr>
          <w:color w:val="2D3748"/>
          <w:sz w:val="20"/>
        </w:rPr>
        <w:t xml:space="preserve">• custom_patches/: Parches del formateador de citas bibliográficas CSL adaptados a Alpine Linux.</w:t>
      </w:r>
    </w:p>
    <w:p>
      <w:pPr>
        <w:spacing w:before="0" w:after="140"/>
      </w:pPr>
      <w:r>
        <w:rPr>
          <w:color w:val="2D3748"/>
          <w:sz w:val="20"/>
        </w:rPr>
        <w:t xml:space="preserve">• custom_locale/: Archivos de traducción al español corregidos.</w:t>
      </w:r>
    </w:p>
    <w:p>
      <w:pPr>
        <w:spacing w:before="160" w:after="60"/>
      </w:pPr>
      <w:r>
        <w:rPr>
          <w:b/>
          <w:color w:val="2B6CB0"/>
          <w:sz w:val="22"/>
        </w:rPr>
        <w:t xml:space="preserve">Paso 3: Iniciar los Contenedores</w:t>
      </w:r>
    </w:p>
    <w:p>
      <w:pPr>
        <w:spacing w:before="0" w:after="40"/>
      </w:pPr>
      <w:r>
        <w:rPr>
          <w:color w:val="2D3748"/>
          <w:sz w:val="21"/>
        </w:rPr>
        <w:t xml:space="preserve">1. Abra una ventana de terminal (Terminal en macOS/Linux o PowerShell en Windows).</w:t>
      </w:r>
    </w:p>
    <w:p>
      <w:pPr>
        <w:spacing w:before="0" w:after="40"/>
      </w:pPr>
      <w:r>
        <w:rPr>
          <w:color w:val="2D3748"/>
          <w:sz w:val="21"/>
        </w:rPr>
        <w:t xml:space="preserve">2. Navegue hasta el directorio donde copió el proyecto:</w:t>
      </w:r>
    </w:p>
    <w:p>
      <w:pPr>
        <w:pBdr>
          <w:top w:val="single" w:sz="4" w:space="4" w:color="CBD5E0"/>
          <w:left w:val="single" w:sz="18" w:space="8" w:color="3182CE"/>
          <w:bottom w:val="single" w:sz="4" w:space="4" w:color="CBD5E0"/>
          <w:right w:val="single" w:sz="4" w:space="4" w:color="CBD5E0"/>
        </w:pBdr>
        <w:shd w:val="clear" w:color="auto" w:fill="F7FAFC"/>
        <w:spacing w:before="120" w:after="160"/>
        <w:ind w:left="240" w:right="240"/>
      </w:pPr>
      <w:r>
        <w:rPr>
          <w:rFonts w:ascii="Consolas" w:hAnsi="Consolas"/>
          <w:color w:val="2C5282"/>
          <w:sz w:val="19"/>
          <w:b/>
        </w:rPr>
        <w:t xml:space="preserve">cd ruta/a/plataforma_ojs</w:t>
      </w:r>
    </w:p>
    <w:p>
      <w:pPr>
        <w:spacing w:before="0" w:after="40"/>
      </w:pPr>
      <w:r>
        <w:rPr>
          <w:color w:val="2D3748"/>
          <w:sz w:val="21"/>
        </w:rPr>
        <w:t xml:space="preserve">3. Ejecute el comando de inicio en segundo plano:</w:t>
      </w:r>
    </w:p>
    <w:p>
      <w:pPr>
        <w:pBdr>
          <w:top w:val="single" w:sz="4" w:space="4" w:color="CBD5E0"/>
          <w:left w:val="single" w:sz="18" w:space="8" w:color="3182CE"/>
          <w:bottom w:val="single" w:sz="4" w:space="4" w:color="CBD5E0"/>
          <w:right w:val="single" w:sz="4" w:space="4" w:color="CBD5E0"/>
        </w:pBdr>
        <w:shd w:val="clear" w:color="auto" w:fill="F7FAFC"/>
        <w:spacing w:before="120" w:after="160"/>
        <w:ind w:left="240" w:right="240"/>
      </w:pPr>
      <w:r>
        <w:rPr>
          <w:rFonts w:ascii="Consolas" w:hAnsi="Consolas"/>
          <w:color w:val="2C5282"/>
          <w:sz w:val="19"/>
          <w:b/>
        </w:rPr>
        <w:t xml:space="preserve">docker-compose up -d</w:t>
      </w:r>
    </w:p>
    <w:p>
      <w:pPr>
        <w:pBdr>
          <w:top w:val="single" w:sz="4" w:space="4" w:color="BEE3F8"/>
          <w:left w:val="single" w:sz="24" w:space="8" w:color="2B6CB0"/>
          <w:bottom w:val="single" w:sz="4" w:space="4" w:color="BEE3F8"/>
          <w:right w:val="single" w:sz="4" w:space="4" w:color="BEE3F8"/>
        </w:pBdr>
        <w:shd w:val="clear" w:color="auto" w:fill="EBF8FF"/>
        <w:spacing w:before="140" w:after="180"/>
        <w:ind w:left="240" w:right="240"/>
      </w:pPr>
      <w:r>
        <w:rPr>
          <w:b/>
          <w:color w:val="2B6CB0"/>
          <w:sz w:val="20"/>
        </w:rPr>
        <w:t xml:space="preserve">Nota de Inicialización: </w:t>
      </w:r>
      <w:r>
        <w:rPr>
          <w:color w:val="2D3748"/>
          <w:sz w:val="20"/>
        </w:rPr>
        <w:t xml:space="preserve">Durante la primera ejecución, MariaDB cargará automáticamente init.sql. El contenedor de OJS esperará a que la base de datos esté lista antes de recibir peticiones. Este proceso inicial toma entre 15 y 30 segundos.</w:t>
      </w:r>
    </w:p>
    <w:p>
      <w:pPr>
        <w:spacing w:before="160" w:after="60"/>
      </w:pPr>
      <w:r>
        <w:rPr>
          <w:b/>
          <w:color w:val="2B6CB0"/>
          <w:sz w:val="22"/>
        </w:rPr>
        <w:t xml:space="preserve">Paso 4: Acceso a la Plataforma</w:t>
      </w:r>
    </w:p>
    <w:p>
      <w:pPr>
        <w:spacing w:before="0" w:after="80"/>
      </w:pPr>
      <w:r>
        <w:rPr>
          <w:color w:val="2D3748"/>
          <w:sz w:val="21"/>
        </w:rPr>
        <w:t xml:space="preserve">Una vez iniciado el entorno, abra su navegador web e ingrese a las siguientes direcciones:</w:t>
      </w:r>
    </w:p>
    <w:p>
      <w:pPr>
        <w:spacing w:before="0" w:after="30"/>
      </w:pPr>
      <w:r>
        <w:rPr>
          <w:b/>
          <w:color w:val="2D3748"/>
          <w:sz w:val="20"/>
        </w:rPr>
        <w:t xml:space="preserve">• Portada de Revista Ceibo: http://localhost:8080/index.php/revista_ceibo</w:t>
      </w:r>
    </w:p>
    <w:p>
      <w:pPr>
        <w:spacing w:before="0" w:after="30"/>
      </w:pPr>
      <w:r>
        <w:rPr>
          <w:b/>
          <w:color w:val="2D3748"/>
          <w:sz w:val="20"/>
        </w:rPr>
        <w:t xml:space="preserve">• Acceso y Panel de Administración: http://localhost:8080/index.php/revista_ceibo/login</w:t>
      </w:r>
    </w:p>
    <w:p>
      <w:pPr>
        <w:spacing w:before="0" w:after="140"/>
      </w:pPr>
      <w:r>
        <w:rPr>
          <w:b/>
          <w:color w:val="2D3748"/>
          <w:sz w:val="20"/>
        </w:rPr>
        <w:t xml:space="preserve">• Cosechador OAI-PMH (Dublin Core): http://localhost:8080/index.php/revista_ceibo/oai?verb=Identify</w:t>
      </w:r>
    </w:p>
    <w:p>
      <w:pPr>
        <w:spacing w:before="160" w:after="60"/>
      </w:pPr>
      <w:r>
        <w:rPr>
          <w:b/>
          <w:color w:val="2B6CB0"/>
          <w:sz w:val="22"/>
        </w:rPr>
        <w:t xml:space="preserve">Paso 5: Comandos de Administración Frecuentes</w:t>
      </w:r>
    </w:p>
    <w:p>
      <w:pPr>
        <w:spacing w:before="0" w:after="40"/>
      </w:pPr>
      <w:r>
        <w:rPr>
          <w:color w:val="2D3748"/>
          <w:sz w:val="21"/>
        </w:rPr>
        <w:t xml:space="preserve">Detener los contenedores sin perder información:</w:t>
      </w:r>
    </w:p>
    <w:p>
      <w:pPr>
        <w:pBdr>
          <w:top w:val="single" w:sz="4" w:space="4" w:color="CBD5E0"/>
          <w:left w:val="single" w:sz="18" w:space="8" w:color="3182CE"/>
          <w:bottom w:val="single" w:sz="4" w:space="4" w:color="CBD5E0"/>
          <w:right w:val="single" w:sz="4" w:space="4" w:color="CBD5E0"/>
        </w:pBdr>
        <w:shd w:val="clear" w:color="auto" w:fill="F7FAFC"/>
        <w:spacing w:before="120" w:after="160"/>
        <w:ind w:left="240" w:right="240"/>
      </w:pPr>
      <w:r>
        <w:rPr>
          <w:rFonts w:ascii="Consolas" w:hAnsi="Consolas"/>
          <w:color w:val="2C5282"/>
          <w:sz w:val="19"/>
          <w:b/>
        </w:rPr>
        <w:t xml:space="preserve">docker-compose stop</w:t>
      </w:r>
    </w:p>
    <w:p>
      <w:pPr>
        <w:spacing w:before="0" w:after="40"/>
      </w:pPr>
      <w:r>
        <w:rPr>
          <w:color w:val="2D3748"/>
          <w:sz w:val="21"/>
        </w:rPr>
        <w:t xml:space="preserve">Reanudar los contenedores:</w:t>
      </w:r>
    </w:p>
    <w:p>
      <w:pPr>
        <w:pBdr>
          <w:top w:val="single" w:sz="4" w:space="4" w:color="CBD5E0"/>
          <w:left w:val="single" w:sz="18" w:space="8" w:color="3182CE"/>
          <w:bottom w:val="single" w:sz="4" w:space="4" w:color="CBD5E0"/>
          <w:right w:val="single" w:sz="4" w:space="4" w:color="CBD5E0"/>
        </w:pBdr>
        <w:shd w:val="clear" w:color="auto" w:fill="F7FAFC"/>
        <w:spacing w:before="120" w:after="160"/>
        <w:ind w:left="240" w:right="240"/>
      </w:pPr>
      <w:r>
        <w:rPr>
          <w:rFonts w:ascii="Consolas" w:hAnsi="Consolas"/>
          <w:color w:val="2C5282"/>
          <w:sz w:val="19"/>
          <w:b/>
        </w:rPr>
        <w:t xml:space="preserve">docker-compose start</w:t>
      </w:r>
    </w:p>
    <w:p>
      <w:pPr>
        <w:spacing w:before="0" w:after="40"/>
      </w:pPr>
      <w:r>
        <w:rPr>
          <w:color w:val="2D3748"/>
          <w:sz w:val="21"/>
        </w:rPr>
        <w:t xml:space="preserve">Reiniciar desde cero (borrar cambios de prueba y recargar la base de datos inicial):</w:t>
      </w:r>
    </w:p>
    <w:p>
      <w:pPr>
        <w:pBdr>
          <w:top w:val="single" w:sz="4" w:space="4" w:color="CBD5E0"/>
          <w:left w:val="single" w:sz="18" w:space="8" w:color="3182CE"/>
          <w:bottom w:val="single" w:sz="4" w:space="4" w:color="CBD5E0"/>
          <w:right w:val="single" w:sz="4" w:space="4" w:color="CBD5E0"/>
        </w:pBdr>
        <w:shd w:val="clear" w:color="auto" w:fill="F7FAFC"/>
        <w:spacing w:before="120" w:after="160"/>
        <w:ind w:left="240" w:right="240"/>
      </w:pPr>
      <w:r>
        <w:rPr>
          <w:rFonts w:ascii="Consolas" w:hAnsi="Consolas"/>
          <w:color w:val="2C5282"/>
          <w:sz w:val="19"/>
          <w:b/>
        </w:rPr>
        <w:t xml:space="preserve">docker-compose down -v &amp;&amp; docker-compose up -d</w:t>
      </w:r>
    </w:p>
    <w:p>
      <w:pPr>
        <w:spacing w:before="0" w:after="40"/>
      </w:pPr>
      <w:r>
        <w:rPr>
          <w:color w:val="2D3748"/>
          <w:sz w:val="21"/>
        </w:rPr>
        <w:t xml:space="preserve">Ver registros de actividad en caso de soporte:</w:t>
      </w:r>
    </w:p>
    <w:p>
      <w:pPr>
        <w:pBdr>
          <w:top w:val="single" w:sz="4" w:space="4" w:color="CBD5E0"/>
          <w:left w:val="single" w:sz="18" w:space="8" w:color="3182CE"/>
          <w:bottom w:val="single" w:sz="4" w:space="4" w:color="CBD5E0"/>
          <w:right w:val="single" w:sz="4" w:space="4" w:color="CBD5E0"/>
        </w:pBdr>
        <w:shd w:val="clear" w:color="auto" w:fill="F7FAFC"/>
        <w:spacing w:before="120" w:after="160"/>
        <w:ind w:left="240" w:right="240"/>
      </w:pPr>
      <w:r>
        <w:rPr>
          <w:rFonts w:ascii="Consolas" w:hAnsi="Consolas"/>
          <w:color w:val="2C5282"/>
          <w:sz w:val="19"/>
          <w:b/>
        </w:rPr>
        <w:t xml:space="preserve">docker logs ojs_app
docker logs ojs_db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2D3748"/>
      </w:rPr>
    </w:rPrDefault>
    <w:pPrDefault>
      <w:pPr>
        <w:spacing w:line="276" w:lineRule="auto" w:after="16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