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Social Policy: Targeting Social Programs Effectively</w:t>
      </w:r>
    </w:p>
    <w:p>
      <w:pPr>
        <w:pStyle w:val="Body"/>
        <w:spacing w:after="0" w:line="480" w:lineRule="auto"/>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fr-FR"/>
        </w:rPr>
        <w:t>James J. Heckman* and Jorge Lu</w:t>
      </w:r>
      <w:r>
        <w:rPr>
          <w:rFonts w:ascii="Times New Roman" w:hAnsi="Times New Roman" w:hint="default"/>
          <w:i w:val="1"/>
          <w:iCs w:val="1"/>
          <w:sz w:val="24"/>
          <w:szCs w:val="24"/>
          <w:rtl w:val="0"/>
          <w:lang w:val="en-US"/>
        </w:rPr>
        <w:t>í</w:t>
      </w:r>
      <w:r>
        <w:rPr>
          <w:rFonts w:ascii="Times New Roman" w:hAnsi="Times New Roman"/>
          <w:i w:val="1"/>
          <w:iCs w:val="1"/>
          <w:sz w:val="24"/>
          <w:szCs w:val="24"/>
          <w:rtl w:val="0"/>
          <w:lang w:val="es-ES_tradnl"/>
        </w:rPr>
        <w:t>s Garc</w:t>
      </w:r>
      <w:r>
        <w:rPr>
          <w:rFonts w:ascii="Times New Roman" w:hAnsi="Times New Roman" w:hint="default"/>
          <w:i w:val="1"/>
          <w:iCs w:val="1"/>
          <w:sz w:val="24"/>
          <w:szCs w:val="24"/>
          <w:rtl w:val="0"/>
          <w:lang w:val="en-US"/>
        </w:rPr>
        <w:t>í</w:t>
      </w:r>
      <w:r>
        <w:rPr>
          <w:rFonts w:ascii="Times New Roman" w:hAnsi="Times New Roman"/>
          <w:i w:val="1"/>
          <w:iCs w:val="1"/>
          <w:sz w:val="24"/>
          <w:szCs w:val="24"/>
          <w:rtl w:val="0"/>
        </w:rPr>
        <w:t>a**</w:t>
      </w:r>
    </w:p>
    <w:p>
      <w:pPr>
        <w:pStyle w:val="Body"/>
        <w:spacing w:after="0" w:line="480" w:lineRule="auto"/>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 xml:space="preserve">*Center for the Economics of Human Development; Department of Economics, University of Chicago; American Bar Foundation. </w:t>
      </w:r>
    </w:p>
    <w:p>
      <w:pPr>
        <w:pStyle w:val="Body"/>
        <w:spacing w:after="0" w:line="480" w:lineRule="auto"/>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**Center for the Economics of Human Development; Department of Economics, University of Chicago.</w:t>
      </w:r>
    </w:p>
    <w:p>
      <w:pPr>
        <w:pStyle w:val="Body"/>
        <w:spacing w:after="0" w:line="480" w:lineRule="auto"/>
        <w:jc w:val="center"/>
        <w:rPr>
          <w:rFonts w:ascii="Times New Roman" w:cs="Times New Roman" w:hAnsi="Times New Roman" w:eastAsia="Times New Roman"/>
          <w:i w:val="1"/>
          <w:iCs w:val="1"/>
          <w:sz w:val="20"/>
          <w:szCs w:val="20"/>
        </w:rPr>
      </w:pPr>
    </w:p>
    <w:p>
      <w:pPr>
        <w:pStyle w:val="Body"/>
        <w:spacing w:after="0" w:line="480" w:lineRule="auto"/>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November 13, 2016</w:t>
      </w:r>
      <w:r>
        <w:rPr>
          <w:rFonts w:ascii="Times New Roman" w:cs="Times New Roman" w:hAnsi="Times New Roman" w:eastAsia="Times New Roman"/>
          <w:sz w:val="24"/>
          <w:szCs w:val="24"/>
        </w:rPr>
        <w:fldChar w:fldCharType="end" w:fldLock="0"/>
      </w:r>
    </w:p>
    <w:p>
      <w:pPr>
        <w:pStyle w:val="Body"/>
        <w:spacing w:after="0"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Word Count: 829 (not including references)</w:t>
      </w:r>
    </w:p>
    <w:p>
      <w:pPr>
        <w:pStyle w:val="Body"/>
        <w:spacing w:after="0" w:line="480" w:lineRule="auto"/>
        <w:jc w:val="both"/>
        <w:rPr>
          <w:rFonts w:ascii="Times New Roman" w:cs="Times New Roman" w:hAnsi="Times New Roman" w:eastAsia="Times New Roman"/>
          <w:sz w:val="24"/>
          <w:szCs w:val="24"/>
        </w:rPr>
      </w:pPr>
    </w:p>
    <w:p>
      <w:pPr>
        <w:pStyle w:val="Body"/>
        <w:spacing w:line="480" w:lineRule="auto"/>
        <w:jc w:val="both"/>
        <w:rPr>
          <w:rFonts w:ascii="Times" w:cs="Times" w:hAnsi="Times" w:eastAsia="Times"/>
          <w:i w:val="1"/>
          <w:iCs w:val="1"/>
          <w:sz w:val="24"/>
          <w:szCs w:val="24"/>
        </w:rPr>
      </w:pPr>
      <w:r>
        <w:rPr>
          <w:rFonts w:ascii="Times" w:hAnsi="Times"/>
          <w:i w:val="1"/>
          <w:iCs w:val="1"/>
          <w:sz w:val="24"/>
          <w:szCs w:val="24"/>
          <w:rtl w:val="0"/>
          <w:lang w:val="en-US"/>
        </w:rPr>
        <w:t>This paper summarizes the main findings of Caspi et al. (this issue) that studies the concentration of a broad set of adult social ills among a small group of persons with adverse early childhood indicators. We place their findings in the broader context of the recent literature on the effectiveness of early childhood interventions.</w:t>
      </w:r>
    </w:p>
    <w:p>
      <w:pPr>
        <w:pStyle w:val="Body"/>
        <w:spacing w:line="480" w:lineRule="auto"/>
        <w:jc w:val="both"/>
        <w:rPr>
          <w:rFonts w:ascii="Times" w:cs="Times" w:hAnsi="Times" w:eastAsia="Times"/>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the past 10 years or so, there has been growing public support for early childhood programs. The most effective programs target children from disadvantaged families</w:t>
      </w:r>
      <w:r>
        <w:rPr>
          <w:rFonts w:ascii="Times New Roman" w:hAnsi="Times New Roman"/>
          <w:sz w:val="24"/>
          <w:szCs w:val="24"/>
          <w:vertAlign w:val="superscript"/>
          <w:rtl w:val="0"/>
        </w:rPr>
        <w:t>1</w:t>
      </w:r>
      <w:r>
        <w:rPr>
          <w:rFonts w:ascii="Times New Roman" w:hAnsi="Times New Roman"/>
          <w:sz w:val="24"/>
          <w:szCs w:val="24"/>
          <w:rtl w:val="0"/>
          <w:lang w:val="en-US"/>
        </w:rPr>
        <w:t>. Despite this evidence, many politicians and thought leaders continue to promote universal programs, primarily on political grounds</w:t>
      </w:r>
      <w:r>
        <w:rPr>
          <w:rFonts w:ascii="Times New Roman" w:hAnsi="Times New Roman"/>
          <w:sz w:val="24"/>
          <w:szCs w:val="24"/>
          <w:vertAlign w:val="superscript"/>
          <w:rtl w:val="0"/>
        </w:rPr>
        <w:t>2</w:t>
      </w:r>
      <w:r>
        <w:rPr>
          <w:rFonts w:ascii="Times New Roman" w:hAnsi="Times New Roman"/>
          <w:sz w:val="24"/>
          <w:szCs w:val="24"/>
          <w:rtl w:val="0"/>
        </w:rPr>
        <w:t>.</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new study by Caspi et al.</w:t>
      </w:r>
      <w:r>
        <w:rPr>
          <w:rFonts w:ascii="Times New Roman" w:hAnsi="Times New Roman"/>
          <w:sz w:val="24"/>
          <w:szCs w:val="24"/>
          <w:vertAlign w:val="superscript"/>
          <w:rtl w:val="0"/>
        </w:rPr>
        <w:t>3</w:t>
      </w:r>
      <w:r>
        <w:rPr>
          <w:rFonts w:ascii="Times New Roman" w:hAnsi="Times New Roman"/>
          <w:sz w:val="24"/>
          <w:szCs w:val="24"/>
          <w:rtl w:val="0"/>
          <w:lang w:val="en-US"/>
        </w:rPr>
        <w:t xml:space="preserve"> contributes substantially to the body of evidence supporting targeted early childhood programs by analyzing rich longitudinal data from a large and representative sample of New Zealand children. The authors follow subjects over their lives from birth through age 38</w:t>
      </w:r>
      <w:r>
        <w:rPr>
          <w:rFonts w:ascii="Times New Roman" w:hAnsi="Times New Roman"/>
          <w:sz w:val="24"/>
          <w:szCs w:val="24"/>
          <w:vertAlign w:val="superscript"/>
          <w:rtl w:val="0"/>
        </w:rPr>
        <w:t>4</w:t>
      </w:r>
      <w:r>
        <w:rPr>
          <w:rFonts w:ascii="Times New Roman" w:hAnsi="Times New Roman"/>
          <w:sz w:val="24"/>
          <w:szCs w:val="24"/>
          <w:rtl w:val="0"/>
          <w:lang w:val="en-US"/>
        </w:rPr>
        <w:t xml:space="preserve"> and enrich their primary sample with matched individual records from a variety of administrative data sources. They report that 20% of the sample accounts for 60-80% of a variety of adult social ills manifest by sample members. A small set of childhood indicators of disadvantage (low IQ; low self-control; childhood maltreatment; and low family socioeconomic status) are powerful predictors of multiple lifetime problem behaviours related to health, crime, education, earnings, and social engagement.</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study advances well beyond the approach typically used in studies of child development. The standard approach predicts one outcome at a time using measures of family disadvantage. Instead, the authors predict </w:t>
      </w:r>
      <w:r>
        <w:rPr>
          <w:rFonts w:ascii="Times New Roman" w:hAnsi="Times New Roman"/>
          <w:i w:val="1"/>
          <w:iCs w:val="1"/>
          <w:sz w:val="24"/>
          <w:szCs w:val="24"/>
          <w:rtl w:val="0"/>
          <w:lang w:val="en-US"/>
        </w:rPr>
        <w:t>constellations</w:t>
      </w:r>
      <w:r>
        <w:rPr>
          <w:rFonts w:ascii="Times New Roman" w:hAnsi="Times New Roman"/>
          <w:sz w:val="24"/>
          <w:szCs w:val="24"/>
          <w:rtl w:val="0"/>
          <w:lang w:val="en-US"/>
        </w:rPr>
        <w:t xml:space="preserve">, or aggregates, of behaviours, and show that a short list of indicators of disadvantage is powerfully predictive of who exhibits the clusters of adverse outcomes constituting their aggregates. There are many possible measures and clusters of measures of adverse adult outcomes that might be included in their aggregates. However, the authors show that their compelling results do not rely on the choice of any particular measure. There is a </w:t>
      </w:r>
      <w:r>
        <w:rPr>
          <w:rFonts w:ascii="Times New Roman" w:hAnsi="Times New Roman" w:hint="default"/>
          <w:sz w:val="24"/>
          <w:szCs w:val="24"/>
          <w:rtl w:val="0"/>
          <w:lang w:val="en-US"/>
        </w:rPr>
        <w:t>“</w:t>
      </w:r>
      <w:r>
        <w:rPr>
          <w:rFonts w:ascii="Times New Roman" w:hAnsi="Times New Roman"/>
          <w:sz w:val="24"/>
          <w:szCs w:val="24"/>
          <w:rtl w:val="0"/>
        </w:rPr>
        <w:t>hardcore</w:t>
      </w:r>
      <w:r>
        <w:rPr>
          <w:rFonts w:ascii="Times New Roman" w:hAnsi="Times New Roman" w:hint="default"/>
          <w:sz w:val="24"/>
          <w:szCs w:val="24"/>
          <w:rtl w:val="0"/>
          <w:lang w:val="en-US"/>
        </w:rPr>
        <w:t>”</w:t>
      </w:r>
      <w:r>
        <w:rPr>
          <w:rFonts w:ascii="Times New Roman" w:hAnsi="Times New Roman"/>
          <w:sz w:val="24"/>
          <w:szCs w:val="24"/>
          <w:rtl w:val="0"/>
          <w:lang w:val="en-US"/>
        </w:rPr>
        <w:t xml:space="preserve"> group of disadvantaged children who contribute to many social ills when they are adults even when aggregates are formed in different ways. </w:t>
      </w:r>
    </w:p>
    <w:p>
      <w:pPr>
        <w:pStyle w:val="Body"/>
        <w:spacing w:line="480" w:lineRule="auto"/>
        <w:ind w:firstLine="720"/>
        <w:jc w:val="both"/>
        <w:rPr>
          <w:rFonts w:ascii="Times" w:cs="Times" w:hAnsi="Times" w:eastAsia="Times"/>
          <w:sz w:val="24"/>
          <w:szCs w:val="24"/>
        </w:rPr>
      </w:pPr>
      <w:r>
        <w:rPr>
          <w:rFonts w:ascii="Times" w:hAnsi="Times"/>
          <w:sz w:val="24"/>
          <w:szCs w:val="24"/>
          <w:rtl w:val="0"/>
          <w:lang w:val="en-US"/>
        </w:rPr>
        <w:t>Their analysis identifies a group of individuals for whom interventions might be effective. It suggests a source of major social problems.</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emphasis of this paper is,however, on predicting adverse adult outcomes. Evidence that childhood adversity predicts adult adversity is an important building block for shaping an effective policy intervention. But the paper stops short of providing any evidence on which, if any, interventions might be effective in preventing the adverse adult behaviours grouped                                                                                                                                                                                                                                                                                                                                                                                                                                                                                                                                                                                                                                        in their clusters. It does not inform us of whether their empirical relationships are due to genes or environments nor does it conduct any mediation analyses to unpack the channels of environmental influences that produce adult adverse outcomes.</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Fortunately, there is a companion body of literature consistent with the evidence in this paper that provides guidance on the effectiveness of early childhood interventions and their channels of influence. Several early childhood interventions in the U.S. evaluated by the method of random assignment have followed disadvantaged children up to ages 30-40, the same range of ages reported in this paper. The interventions give enriched early childhood environments to disadvantaged children. Their findings are relevant today because they are based on basic principles of child enrichment widely implemented in a variety of new and ongoing programs. </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The economists studying these interventions use benefit/cost and rate of return analyses to place diverse outcomes on a common and interpretable footing of a money metric. Doing so produces policy- relevant aggregates. If a social program provides benefits above the market opportunity cost of funds, it is socially efficient to invest in that program.</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targeted populations enrolled disadvantaged children very comparable to those in the Dunedin New Zealand sample analyzed by the authors. Multiple adult outcomes are measured that are comparable to the ones used in this paper, including health, healthy behaviors, crime and smoking. </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For example, the HighScope/Perry Preschool Program targeted disadvantaged 3-4 year-old children</w:t>
      </w:r>
      <w:r>
        <w:rPr>
          <w:rFonts w:ascii="Times New Roman" w:hAnsi="Times New Roman"/>
          <w:sz w:val="24"/>
          <w:szCs w:val="24"/>
          <w:vertAlign w:val="superscript"/>
          <w:rtl w:val="0"/>
        </w:rPr>
        <w:t>5</w:t>
      </w:r>
      <w:r>
        <w:rPr>
          <w:rFonts w:ascii="Times New Roman" w:hAnsi="Times New Roman"/>
          <w:sz w:val="24"/>
          <w:szCs w:val="24"/>
          <w:rtl w:val="0"/>
          <w:lang w:val="en-US"/>
        </w:rPr>
        <w:t>. An analysis of this program by Heckman et al. reports an overall benefit/cost ratio of 7 to 1 with a rate of return of 7-10% per annum</w:t>
      </w:r>
      <w:r>
        <w:rPr>
          <w:rFonts w:ascii="Times New Roman" w:hAnsi="Times New Roman"/>
          <w:sz w:val="24"/>
          <w:szCs w:val="24"/>
          <w:vertAlign w:val="superscript"/>
          <w:rtl w:val="0"/>
        </w:rPr>
        <w:t>6</w:t>
      </w:r>
      <w:r>
        <w:rPr>
          <w:rFonts w:ascii="Times New Roman" w:hAnsi="Times New Roman"/>
          <w:sz w:val="24"/>
          <w:szCs w:val="24"/>
          <w:rtl w:val="0"/>
          <w:lang w:val="en-US"/>
        </w:rPr>
        <w:t>. (The rate of return is the rate at which a dollar investment increases in value each year after the program is implemented.) These benefits account for the welfare cost of using public revenue to finance their costs counting various forms of tax avoidance.</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The Carolina Abecedarian Project (ABC) started earlier (age eight weeks) and lasted until age five. Follow-up continued through the mid-30s</w:t>
      </w:r>
      <w:r>
        <w:rPr>
          <w:rFonts w:ascii="Times New Roman" w:hAnsi="Times New Roman"/>
          <w:sz w:val="24"/>
          <w:szCs w:val="24"/>
          <w:vertAlign w:val="superscript"/>
          <w:rtl w:val="0"/>
        </w:rPr>
        <w:t>7</w:t>
      </w:r>
      <w:r>
        <w:rPr>
          <w:rFonts w:ascii="Times New Roman" w:hAnsi="Times New Roman"/>
          <w:sz w:val="24"/>
          <w:szCs w:val="24"/>
          <w:rtl w:val="0"/>
          <w:lang w:val="en-US"/>
        </w:rPr>
        <w:t>. A recent study by Garcia et al. reports a benefit/cost ratio of 6 to 1 with a rate of return of 12% a year, again counting any distortions caused by public funding</w:t>
      </w:r>
      <w:r>
        <w:rPr>
          <w:rFonts w:ascii="Times New Roman" w:hAnsi="Times New Roman"/>
          <w:sz w:val="24"/>
          <w:szCs w:val="24"/>
          <w:vertAlign w:val="superscript"/>
          <w:rtl w:val="0"/>
        </w:rPr>
        <w:t>8</w:t>
      </w:r>
      <w:r>
        <w:rPr>
          <w:rFonts w:ascii="Times New Roman" w:hAnsi="Times New Roman"/>
          <w:sz w:val="24"/>
          <w:szCs w:val="24"/>
          <w:rtl w:val="0"/>
          <w:lang w:val="en-US"/>
        </w:rPr>
        <w:t xml:space="preserve">. Figure 1 from Garcia et al. shows the total value of the monetized benefits and their components across major life domains. </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rPr>
        <w:t>Recent papers by Conti et al.</w:t>
      </w:r>
      <w:r>
        <w:rPr>
          <w:rFonts w:ascii="Times New Roman" w:hAnsi="Times New Roman"/>
          <w:sz w:val="24"/>
          <w:szCs w:val="24"/>
          <w:vertAlign w:val="superscript"/>
          <w:rtl w:val="0"/>
        </w:rPr>
        <w:t>9</w:t>
      </w:r>
      <w:r>
        <w:rPr>
          <w:rFonts w:ascii="Times New Roman" w:hAnsi="Times New Roman"/>
          <w:sz w:val="24"/>
          <w:szCs w:val="24"/>
          <w:rtl w:val="0"/>
        </w:rPr>
        <w:t xml:space="preserve"> and Heckman et al.</w:t>
      </w:r>
      <w:r>
        <w:rPr>
          <w:rFonts w:ascii="Times New Roman" w:hAnsi="Times New Roman"/>
          <w:sz w:val="24"/>
          <w:szCs w:val="24"/>
          <w:vertAlign w:val="superscript"/>
          <w:rtl w:val="0"/>
        </w:rPr>
        <w:t>10</w:t>
      </w:r>
      <w:r>
        <w:rPr>
          <w:rFonts w:ascii="Times New Roman" w:hAnsi="Times New Roman"/>
          <w:sz w:val="24"/>
          <w:szCs w:val="24"/>
          <w:rtl w:val="0"/>
          <w:lang w:val="en-US"/>
        </w:rPr>
        <w:t xml:space="preserve"> show the causal channels through which these effects are obtained. It would be productive to examine the mediators of the Dunedin study to examine the role of family and social influences. The authors are well positioned to do so.</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The body of evidence in the cited papers, coupled with new evidence in this paper, all point to the multiple benefits to society of detecting and addressing early the conditions of disadvantaged children. Targeting disadvantaged children is effective social policy.</w:t>
      </w:r>
    </w:p>
    <w:p>
      <w:pPr>
        <w:pStyle w:val="Body"/>
      </w:pPr>
      <w:r>
        <w:rPr>
          <w:rFonts w:ascii="Arial Unicode MS" w:cs="Arial Unicode MS" w:hAnsi="Arial Unicode MS" w:eastAsia="Arial Unicode MS"/>
          <w:b w:val="0"/>
          <w:bCs w:val="0"/>
          <w:i w:val="0"/>
          <w:iCs w:val="0"/>
          <w:sz w:val="24"/>
          <w:szCs w:val="24"/>
        </w:rPr>
        <w:br w:type="page"/>
      </w:r>
    </w:p>
    <w:p>
      <w:pPr>
        <w:pStyle w:val="Body"/>
        <w:spacing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References</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rPr>
        <w:t>1. Elango, S., Hojman, A., Garc</w:t>
      </w:r>
      <w:r>
        <w:rPr>
          <w:rFonts w:ascii="Times New Roman" w:hAnsi="Times New Roman" w:hint="default"/>
          <w:sz w:val="24"/>
          <w:szCs w:val="24"/>
          <w:rtl w:val="0"/>
          <w:lang w:val="en-US"/>
        </w:rPr>
        <w:t>í</w:t>
      </w:r>
      <w:r>
        <w:rPr>
          <w:rFonts w:ascii="Times New Roman" w:hAnsi="Times New Roman"/>
          <w:sz w:val="24"/>
          <w:szCs w:val="24"/>
          <w:rtl w:val="0"/>
          <w:lang w:val="en-US"/>
        </w:rPr>
        <w:t xml:space="preserve">a, J.L., Heckman, J.J. Early Childhood Education. Forthcoming in Moffitt, Robert (ed.), </w:t>
      </w:r>
      <w:r>
        <w:rPr>
          <w:rFonts w:ascii="Times New Roman" w:hAnsi="Times New Roman"/>
          <w:i w:val="1"/>
          <w:iCs w:val="1"/>
          <w:sz w:val="24"/>
          <w:szCs w:val="24"/>
          <w:rtl w:val="0"/>
          <w:lang w:val="en-US"/>
        </w:rPr>
        <w:t>Means-Tested Transfer Programs in the United States II</w:t>
      </w:r>
      <w:r>
        <w:rPr>
          <w:rFonts w:ascii="Times New Roman" w:hAnsi="Times New Roman"/>
          <w:sz w:val="24"/>
          <w:szCs w:val="24"/>
          <w:rtl w:val="0"/>
          <w:lang w:val="en-US"/>
        </w:rPr>
        <w:t>. (University of Chicago Press, 2016).</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2. Office of the Mayor. Ready to launch: New York City</w:t>
      </w:r>
      <w:r>
        <w:rPr>
          <w:rFonts w:ascii="Times New Roman" w:hAnsi="Times New Roman" w:hint="default"/>
          <w:sz w:val="24"/>
          <w:szCs w:val="24"/>
          <w:rtl w:val="0"/>
          <w:lang w:val="en-US"/>
        </w:rPr>
        <w:t>’</w:t>
      </w:r>
      <w:r>
        <w:rPr>
          <w:rFonts w:ascii="Times New Roman" w:hAnsi="Times New Roman"/>
          <w:sz w:val="24"/>
          <w:szCs w:val="24"/>
          <w:rtl w:val="0"/>
          <w:lang w:val="en-US"/>
        </w:rPr>
        <w:t>s implementation plan for free, high-quality, full-day universal pre-Kindergarten. Technical report, New York Department of Education (2014).</w:t>
      </w:r>
    </w:p>
    <w:p>
      <w:pPr>
        <w:pStyle w:val="Body"/>
        <w:spacing w:after="0"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vertAlign w:val="baseline"/>
          <w:rtl w:val="0"/>
        </w:rPr>
        <w:t xml:space="preserve">3. </w:t>
      </w:r>
      <w:r>
        <w:rPr>
          <w:rFonts w:ascii="Times New Roman" w:hAnsi="Times New Roman"/>
          <w:sz w:val="24"/>
          <w:szCs w:val="24"/>
          <w:rtl w:val="0"/>
          <w:lang w:val="it-IT"/>
        </w:rPr>
        <w:t xml:space="preserve">Caspi, A. </w:t>
      </w:r>
      <w:r>
        <w:rPr>
          <w:rFonts w:ascii="Times New Roman" w:hAnsi="Times New Roman"/>
          <w:i w:val="1"/>
          <w:iCs w:val="1"/>
          <w:sz w:val="24"/>
          <w:szCs w:val="24"/>
          <w:rtl w:val="0"/>
          <w:lang w:val="nl-NL"/>
        </w:rPr>
        <w:t>et al</w:t>
      </w:r>
      <w:r>
        <w:rPr>
          <w:rFonts w:ascii="Times New Roman" w:hAnsi="Times New Roman"/>
          <w:sz w:val="24"/>
          <w:szCs w:val="24"/>
          <w:rtl w:val="0"/>
          <w:lang w:val="en-US"/>
        </w:rPr>
        <w:t xml:space="preserve">. Childhood forecasting of a small segment of the population with large economic burden. </w:t>
      </w:r>
      <w:r>
        <w:rPr>
          <w:rFonts w:ascii="Times New Roman" w:hAnsi="Times New Roman"/>
          <w:i w:val="1"/>
          <w:iCs w:val="1"/>
          <w:sz w:val="24"/>
          <w:szCs w:val="24"/>
          <w:rtl w:val="0"/>
          <w:lang w:val="en-US"/>
        </w:rPr>
        <w:t>Nature Human Behaviour</w:t>
      </w:r>
      <w:r>
        <w:rPr>
          <w:rFonts w:ascii="Times New Roman" w:hAnsi="Times New Roman"/>
          <w:sz w:val="24"/>
          <w:szCs w:val="24"/>
          <w:rtl w:val="0"/>
        </w:rPr>
        <w:t xml:space="preserve"> </w:t>
      </w:r>
      <w:r>
        <w:rPr>
          <w:rFonts w:ascii="Times New Roman" w:hAnsi="Times New Roman"/>
          <w:b w:val="1"/>
          <w:bCs w:val="1"/>
          <w:sz w:val="24"/>
          <w:szCs w:val="24"/>
          <w:rtl w:val="0"/>
          <w:lang w:val="it-IT"/>
        </w:rPr>
        <w:t>in press</w:t>
      </w:r>
      <w:r>
        <w:rPr>
          <w:rFonts w:ascii="Times New Roman" w:hAnsi="Times New Roman"/>
          <w:sz w:val="24"/>
          <w:szCs w:val="24"/>
          <w:rtl w:val="0"/>
        </w:rPr>
        <w:t xml:space="preserve"> (2016).</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 Poulton, R., Moffitt, T.E., Silva, P.A. The Dunedin Multidisciplinary Health and Development Study: Overview of the first 40 years, with an eye to the future. </w:t>
      </w:r>
      <w:r>
        <w:rPr>
          <w:rFonts w:ascii="Times New Roman" w:hAnsi="Times New Roman"/>
          <w:i w:val="1"/>
          <w:iCs w:val="1"/>
          <w:sz w:val="24"/>
          <w:szCs w:val="24"/>
          <w:rtl w:val="0"/>
          <w:lang w:val="en-US"/>
        </w:rPr>
        <w:t xml:space="preserve">Social Psychiatry and Psychiatric Epidemiology </w:t>
      </w:r>
      <w:r>
        <w:rPr>
          <w:rFonts w:ascii="Times New Roman" w:hAnsi="Times New Roman"/>
          <w:b w:val="1"/>
          <w:bCs w:val="1"/>
          <w:sz w:val="24"/>
          <w:szCs w:val="24"/>
          <w:rtl w:val="0"/>
        </w:rPr>
        <w:t>50</w:t>
      </w:r>
      <w:r>
        <w:rPr>
          <w:rFonts w:ascii="Times New Roman" w:hAnsi="Times New Roman"/>
          <w:sz w:val="24"/>
          <w:szCs w:val="24"/>
          <w:rtl w:val="0"/>
        </w:rPr>
        <w:t>, 679-693 (2015).</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5. Weikart, D. P. Longitudinal Results of the Ypsilanti Perry Preschool Project, Volume 1 of Monographs of the High/Scope Educational Research Foundation. Ypsilanti, MI: High/Scope Educational Research Foundation</w:t>
      </w:r>
      <w:r>
        <w:rPr>
          <w:rFonts w:ascii="Times New Roman" w:hAnsi="Times New Roman" w:hint="default"/>
          <w:sz w:val="24"/>
          <w:szCs w:val="24"/>
          <w:rtl w:val="0"/>
          <w:lang w:val="en-US"/>
        </w:rPr>
        <w:t> </w:t>
      </w:r>
      <w:r>
        <w:rPr>
          <w:rFonts w:ascii="Times New Roman" w:hAnsi="Times New Roman"/>
          <w:sz w:val="24"/>
          <w:szCs w:val="24"/>
          <w:rtl w:val="0"/>
        </w:rPr>
        <w:t>(1970).</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6. Heckman, J.J., Moon, S.H., Pinto, R., Savelyev, P.A., Yavitz, A.Q. The rate of return to the HighScope Perry Preschool Program. </w:t>
      </w:r>
      <w:r>
        <w:rPr>
          <w:rFonts w:ascii="Times New Roman" w:hAnsi="Times New Roman"/>
          <w:i w:val="1"/>
          <w:iCs w:val="1"/>
          <w:sz w:val="24"/>
          <w:szCs w:val="24"/>
          <w:rtl w:val="0"/>
          <w:lang w:val="en-US"/>
        </w:rPr>
        <w:t>Journal of Public Economics</w:t>
      </w:r>
      <w:r>
        <w:rPr>
          <w:rFonts w:ascii="Times New Roman" w:hAnsi="Times New Roman"/>
          <w:sz w:val="24"/>
          <w:szCs w:val="24"/>
          <w:rtl w:val="0"/>
        </w:rPr>
        <w:t xml:space="preserve"> </w:t>
      </w:r>
      <w:r>
        <w:rPr>
          <w:rFonts w:ascii="Times New Roman" w:hAnsi="Times New Roman"/>
          <w:b w:val="1"/>
          <w:bCs w:val="1"/>
          <w:sz w:val="24"/>
          <w:szCs w:val="24"/>
          <w:rtl w:val="0"/>
        </w:rPr>
        <w:t>94</w:t>
      </w:r>
      <w:r>
        <w:rPr>
          <w:rFonts w:ascii="Times New Roman" w:hAnsi="Times New Roman"/>
          <w:sz w:val="24"/>
          <w:szCs w:val="24"/>
          <w:rtl w:val="0"/>
        </w:rPr>
        <w:t>, 114-128 (2010).</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7. Ramey, C. T., G. D. McGinness, L. Cross, A. M. Collier, and S. Barrie-Blackley. The Abecedarian approach to social competence: Cognitive and linguistic intervention for disadvantaged preschoolers. In K. M. Borman (Ed.), </w:t>
      </w:r>
      <w:r>
        <w:rPr>
          <w:rFonts w:ascii="Times New Roman" w:hAnsi="Times New Roman"/>
          <w:i w:val="1"/>
          <w:iCs w:val="1"/>
          <w:sz w:val="24"/>
          <w:szCs w:val="24"/>
          <w:rtl w:val="0"/>
          <w:lang w:val="en-US"/>
        </w:rPr>
        <w:t>The Social Life of Children in a Changing Society.</w:t>
      </w:r>
      <w:r>
        <w:rPr>
          <w:rFonts w:ascii="Times New Roman" w:hAnsi="Times New Roman"/>
          <w:sz w:val="24"/>
          <w:szCs w:val="24"/>
          <w:rtl w:val="0"/>
          <w:lang w:val="de-DE"/>
        </w:rPr>
        <w:t xml:space="preserve"> (Hillsdale, NJ: Lawrence Erlbaum Associates, Chapter 7, 145</w:t>
      </w:r>
      <w:r>
        <w:rPr>
          <w:rFonts w:ascii="Times New Roman" w:hAnsi="Times New Roman" w:hint="default"/>
          <w:sz w:val="24"/>
          <w:szCs w:val="24"/>
          <w:rtl w:val="0"/>
          <w:lang w:val="en-US"/>
        </w:rPr>
        <w:t>–</w:t>
      </w:r>
      <w:r>
        <w:rPr>
          <w:rFonts w:ascii="Times New Roman" w:hAnsi="Times New Roman"/>
          <w:sz w:val="24"/>
          <w:szCs w:val="24"/>
          <w:rtl w:val="0"/>
        </w:rPr>
        <w:t>174, 1982).</w:t>
      </w:r>
      <w:r>
        <w:rPr>
          <w:rFonts w:ascii="Times New Roman" w:hAnsi="Times New Roman" w:hint="default"/>
          <w:sz w:val="24"/>
          <w:szCs w:val="24"/>
          <w:rtl w:val="0"/>
          <w:lang w:val="en-US"/>
        </w:rPr>
        <w:t>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it-IT"/>
        </w:rPr>
        <w:t>8. Garc</w:t>
      </w:r>
      <w:r>
        <w:rPr>
          <w:rFonts w:ascii="Times New Roman" w:hAnsi="Times New Roman" w:hint="default"/>
          <w:sz w:val="24"/>
          <w:szCs w:val="24"/>
          <w:rtl w:val="0"/>
          <w:lang w:val="en-US"/>
        </w:rPr>
        <w:t>í</w:t>
      </w:r>
      <w:r>
        <w:rPr>
          <w:rFonts w:ascii="Times New Roman" w:hAnsi="Times New Roman"/>
          <w:sz w:val="24"/>
          <w:szCs w:val="24"/>
          <w:rtl w:val="0"/>
          <w:lang w:val="en-US"/>
        </w:rPr>
        <w:t>a, J.L., Heckman, J.J., Leaf, D.E., Prados, M.J. The life-cycle benefits of an influential early childhood program. University of Chicago, Center for the Economics of Human Development (2016).</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9. Conti, G., J. J. Heckman, and R. Pinto. The Long-Term Health E</w:t>
      </w:r>
      <w:r>
        <w:rPr>
          <w:rFonts w:ascii="Cambria Math" w:cs="Cambria Math" w:hAnsi="Cambria Math" w:eastAsia="Cambria Math"/>
          <w:sz w:val="24"/>
          <w:szCs w:val="24"/>
          <w:rtl w:val="0"/>
        </w:rPr>
        <w:t>ff</w:t>
      </w:r>
      <w:r>
        <w:rPr>
          <w:rFonts w:ascii="Times New Roman" w:hAnsi="Times New Roman"/>
          <w:sz w:val="24"/>
          <w:szCs w:val="24"/>
          <w:rtl w:val="0"/>
          <w:lang w:val="en-US"/>
        </w:rPr>
        <w:t xml:space="preserve">ects of Early Childhood Interventions. </w:t>
      </w:r>
      <w:r>
        <w:rPr>
          <w:rFonts w:ascii="Times New Roman" w:hAnsi="Times New Roman"/>
          <w:i w:val="1"/>
          <w:iCs w:val="1"/>
          <w:sz w:val="24"/>
          <w:szCs w:val="24"/>
          <w:rtl w:val="0"/>
          <w:lang w:val="en-US"/>
        </w:rPr>
        <w:t>Economic Journal</w:t>
      </w:r>
      <w:r>
        <w:rPr>
          <w:rFonts w:ascii="Times New Roman" w:hAnsi="Times New Roman"/>
          <w:b w:val="1"/>
          <w:bCs w:val="1"/>
          <w:sz w:val="24"/>
          <w:szCs w:val="24"/>
          <w:rtl w:val="0"/>
          <w:lang w:val="it-IT"/>
        </w:rPr>
        <w:t xml:space="preserve"> in press</w:t>
      </w:r>
      <w:r>
        <w:rPr>
          <w:rFonts w:ascii="Times New Roman" w:hAnsi="Times New Roman"/>
          <w:i w:val="1"/>
          <w:iCs w:val="1"/>
          <w:sz w:val="24"/>
          <w:szCs w:val="24"/>
          <w:rtl w:val="0"/>
        </w:rPr>
        <w:t xml:space="preserve"> </w:t>
      </w:r>
      <w:r>
        <w:rPr>
          <w:rFonts w:ascii="Times New Roman" w:hAnsi="Times New Roman"/>
          <w:sz w:val="24"/>
          <w:szCs w:val="24"/>
          <w:rtl w:val="0"/>
        </w:rPr>
        <w:t>(2016).</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10. Heckman, J. J., R. Pinto, and P. A. Savelyev. Understanding the mechanisms through which an influential early childhood program boosted adult outcomes. </w:t>
      </w:r>
      <w:r>
        <w:rPr>
          <w:rFonts w:ascii="Times New Roman" w:hAnsi="Times New Roman"/>
          <w:i w:val="1"/>
          <w:iCs w:val="1"/>
          <w:sz w:val="24"/>
          <w:szCs w:val="24"/>
          <w:rtl w:val="0"/>
          <w:lang w:val="en-US"/>
        </w:rPr>
        <w:t>American Economic Review</w:t>
      </w:r>
      <w:r>
        <w:rPr>
          <w:rFonts w:ascii="Times New Roman" w:hAnsi="Times New Roman"/>
          <w:sz w:val="24"/>
          <w:szCs w:val="24"/>
          <w:rtl w:val="0"/>
        </w:rPr>
        <w:t xml:space="preserve"> </w:t>
      </w:r>
      <w:r>
        <w:rPr>
          <w:rFonts w:ascii="Times New Roman" w:hAnsi="Times New Roman"/>
          <w:b w:val="1"/>
          <w:bCs w:val="1"/>
          <w:sz w:val="24"/>
          <w:szCs w:val="24"/>
          <w:rtl w:val="0"/>
        </w:rPr>
        <w:t>103</w:t>
      </w:r>
      <w:r>
        <w:rPr>
          <w:rFonts w:ascii="Times New Roman" w:hAnsi="Times New Roman"/>
          <w:sz w:val="24"/>
          <w:szCs w:val="24"/>
          <w:rtl w:val="0"/>
        </w:rPr>
        <w:t>, 2052-2086 (2013).</w:t>
      </w:r>
    </w:p>
    <w:p>
      <w:pPr>
        <w:pStyle w:val="Body"/>
        <w:spacing w:after="0" w:line="240" w:lineRule="auto"/>
        <w:rPr>
          <w:rFonts w:ascii="Times New Roman" w:cs="Times New Roman" w:hAnsi="Times New Roman" w:eastAsia="Times New Roman"/>
          <w:sz w:val="24"/>
          <w:szCs w:val="24"/>
        </w:rPr>
      </w:pPr>
    </w:p>
    <w:p>
      <w:pPr>
        <w:pStyle w:val="Body"/>
        <w:spacing w:line="480" w:lineRule="auto"/>
        <w:sectPr>
          <w:headerReference w:type="default" r:id="rId4"/>
          <w:footerReference w:type="default" r:id="rId5"/>
          <w:pgSz w:w="12240" w:h="15840" w:orient="portrait"/>
          <w:pgMar w:top="1440" w:right="1440" w:bottom="1440" w:left="1440" w:header="720" w:footer="720"/>
          <w:bidi w:val="0"/>
        </w:sectPr>
      </w:pP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Figure 1: Net Present Value of Main Components of the Life-Cycle Benefit/Cost Analysis, Carolina Abecedarian Project</w:t>
      </w:r>
    </w:p>
    <w:p>
      <w:pPr>
        <w:pStyle w:val="Body"/>
        <w:spacing w:line="480" w:lineRule="auto"/>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035306" cy="366370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5035306" cy="3663703"/>
                    </a:xfrm>
                    <a:prstGeom prst="rect">
                      <a:avLst/>
                    </a:prstGeom>
                    <a:ln w="12700" cap="flat">
                      <a:noFill/>
                      <a:miter lim="400000"/>
                    </a:ln>
                    <a:effectLst/>
                  </pic:spPr>
                </pic:pic>
              </a:graphicData>
            </a:graphic>
          </wp:inline>
        </w:drawing>
      </w:r>
    </w:p>
    <w:p>
      <w:pPr>
        <w:pStyle w:val="Body"/>
        <w:spacing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Note: Program costs: the total cost of ABC/CARE, including the welfare cost of taxes to finance it. Total net benefits: for </w:t>
      </w:r>
      <w:r>
        <w:rPr>
          <w:rFonts w:ascii="Times New Roman" w:hAnsi="Times New Roman"/>
          <w:i w:val="1"/>
          <w:iCs w:val="1"/>
          <w:sz w:val="20"/>
          <w:szCs w:val="20"/>
          <w:rtl w:val="0"/>
        </w:rPr>
        <w:t>all</w:t>
      </w:r>
      <w:r>
        <w:rPr>
          <w:rFonts w:ascii="Times New Roman" w:hAnsi="Times New Roman"/>
          <w:sz w:val="20"/>
          <w:szCs w:val="20"/>
          <w:rtl w:val="0"/>
          <w:lang w:val="en-US"/>
        </w:rPr>
        <w:t xml:space="preserve"> of the components considered. These include labor income: total individual labor income from ages 20 to the retirement of program participants (assumed to be at age 67). Parental income: total parental labor income of the parents of the participants from when the participants were ages 1.5 to 21. This arises from subsidizing childcare. Crime: the total cost of crime (judicial and victimization costs). Health:  gain corresponding to better health conditions until predicted death. </w:t>
      </w:r>
    </w:p>
    <w:p>
      <w:pPr>
        <w:pStyle w:val="Body"/>
        <w:spacing w:line="240" w:lineRule="auto"/>
        <w:rPr>
          <w:rFonts w:ascii="Times New Roman" w:cs="Times New Roman" w:hAnsi="Times New Roman" w:eastAsia="Times New Roman"/>
          <w:sz w:val="24"/>
          <w:szCs w:val="24"/>
        </w:rPr>
      </w:pPr>
      <w:r>
        <w:rPr>
          <w:rFonts w:ascii="Times New Roman" w:hAnsi="Times New Roman"/>
          <w:sz w:val="20"/>
          <w:szCs w:val="20"/>
          <w:rtl w:val="0"/>
          <w:lang w:val="fr-FR"/>
        </w:rPr>
        <w:t>Source: Garcia et al.</w:t>
      </w:r>
      <w:r>
        <w:rPr>
          <w:rFonts w:ascii="Times New Roman" w:hAnsi="Times New Roman"/>
          <w:sz w:val="20"/>
          <w:szCs w:val="20"/>
          <w:vertAlign w:val="superscript"/>
          <w:rtl w:val="0"/>
        </w:rPr>
        <w:t>8</w:t>
      </w:r>
      <w:r>
        <w:rPr>
          <w:rFonts w:ascii="Arial Unicode MS" w:cs="Arial Unicode MS" w:hAnsi="Arial Unicode MS" w:eastAsia="Arial Unicode MS"/>
          <w:b w:val="0"/>
          <w:bCs w:val="0"/>
          <w:i w:val="0"/>
          <w:iCs w:val="0"/>
          <w:sz w:val="24"/>
          <w:szCs w:val="24"/>
        </w:rPr>
        <w:br w:type="textWrapping"/>
      </w: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pPr>
      <w:r>
        <w:rPr>
          <w:rFonts w:ascii="Times New Roman" w:cs="Times New Roman" w:hAnsi="Times New Roman" w:eastAsia="Times New Roman"/>
          <w:sz w:val="24"/>
          <w:szCs w:val="24"/>
        </w:rPr>
      </w: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fldChar w:fldCharType="begin" w:fldLock="0"/>
    </w:r>
    <w:r>
      <w:instrText xml:space="preserve"> PAGE </w:instrText>
    </w:r>
    <w:r>
      <w:rPr/>
      <w:fldChar w:fldCharType="separate" w:fldLock="0"/>
    </w:r>
    <w:r>
      <w:t>6</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