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6D9B" w14:textId="77777777" w:rsidR="005121C8" w:rsidRDefault="001938E0">
      <w:pPr>
        <w:pStyle w:val="Heading1"/>
      </w:pPr>
      <w:r>
        <w:t xml:space="preserve">Title </w:t>
      </w:r>
      <w:proofErr w:type="spellStart"/>
      <w:r>
        <w:rPr>
          <w:i/>
        </w:rPr>
        <w:t>Myioborus</w:t>
      </w:r>
      <w:proofErr w:type="spellEnd"/>
      <w:r>
        <w:t xml:space="preserve"> … (Aves: Parulidae)</w:t>
      </w:r>
    </w:p>
    <w:p w14:paraId="12A3DA55" w14:textId="77777777" w:rsidR="005121C8" w:rsidRPr="00EA7173" w:rsidRDefault="001938E0">
      <w:pPr>
        <w:rPr>
          <w:vertAlign w:val="superscript"/>
          <w:lang w:val="es-CO"/>
        </w:rPr>
      </w:pPr>
      <w:r w:rsidRPr="00EA7173">
        <w:rPr>
          <w:lang w:val="es-CO"/>
        </w:rPr>
        <w:t xml:space="preserve">Sebastián Gallan </w:t>
      </w:r>
      <w:r w:rsidRPr="00EA7173">
        <w:rPr>
          <w:vertAlign w:val="superscript"/>
          <w:lang w:val="es-CO"/>
        </w:rPr>
        <w:t>a</w:t>
      </w:r>
      <w:r w:rsidRPr="00EA7173">
        <w:rPr>
          <w:lang w:val="es-CO"/>
        </w:rPr>
        <w:t xml:space="preserve">, Cornelio A. Bota-Sierra </w:t>
      </w:r>
      <w:proofErr w:type="spellStart"/>
      <w:r w:rsidRPr="00EA7173">
        <w:rPr>
          <w:vertAlign w:val="superscript"/>
          <w:lang w:val="es-CO"/>
        </w:rPr>
        <w:t>a,b</w:t>
      </w:r>
      <w:proofErr w:type="spellEnd"/>
      <w:r w:rsidRPr="00EA7173">
        <w:rPr>
          <w:lang w:val="es-CO"/>
        </w:rPr>
        <w:t>, Jorge Lizarazo</w:t>
      </w:r>
      <w:r w:rsidRPr="00EA7173">
        <w:rPr>
          <w:vertAlign w:val="superscript"/>
          <w:lang w:val="es-CO"/>
        </w:rPr>
        <w:t xml:space="preserve"> </w:t>
      </w:r>
      <w:proofErr w:type="spellStart"/>
      <w:r w:rsidRPr="00EA7173">
        <w:rPr>
          <w:vertAlign w:val="superscript"/>
          <w:lang w:val="es-CO"/>
        </w:rPr>
        <w:t>c,d</w:t>
      </w:r>
      <w:proofErr w:type="spellEnd"/>
      <w:r w:rsidRPr="00EA7173">
        <w:rPr>
          <w:lang w:val="es-CO"/>
        </w:rPr>
        <w:t xml:space="preserve"> , and Gustavo A. Londoño </w:t>
      </w:r>
      <w:r w:rsidRPr="00EA7173">
        <w:rPr>
          <w:vertAlign w:val="superscript"/>
          <w:lang w:val="es-CO"/>
        </w:rPr>
        <w:t>e</w:t>
      </w:r>
    </w:p>
    <w:p w14:paraId="32FBAEA5" w14:textId="77777777" w:rsidR="005121C8" w:rsidRPr="00EA7173" w:rsidRDefault="001938E0">
      <w:pPr>
        <w:spacing w:after="0" w:line="240" w:lineRule="auto"/>
        <w:rPr>
          <w:lang w:val="es-CO"/>
        </w:rPr>
      </w:pPr>
      <w:r w:rsidRPr="00EA7173">
        <w:rPr>
          <w:vertAlign w:val="superscript"/>
          <w:lang w:val="es-CO"/>
        </w:rPr>
        <w:t xml:space="preserve">a </w:t>
      </w:r>
      <w:r w:rsidRPr="00EA7173">
        <w:rPr>
          <w:lang w:val="es-CO"/>
        </w:rPr>
        <w:t>Facultad de Ciencias Exactas y Naturales, Universidad de Antioquia, Universidad de Antioquia, Colombia.</w:t>
      </w:r>
    </w:p>
    <w:p w14:paraId="7C67B985" w14:textId="77777777" w:rsidR="005121C8" w:rsidRPr="00EA7173" w:rsidRDefault="001938E0">
      <w:pPr>
        <w:spacing w:after="0" w:line="240" w:lineRule="auto"/>
        <w:rPr>
          <w:lang w:val="es-CO"/>
        </w:rPr>
      </w:pPr>
      <w:r w:rsidRPr="00EA7173">
        <w:rPr>
          <w:vertAlign w:val="superscript"/>
          <w:lang w:val="es-CO"/>
        </w:rPr>
        <w:t>b</w:t>
      </w:r>
      <w:r w:rsidRPr="00EA7173">
        <w:rPr>
          <w:lang w:val="es-CO"/>
        </w:rPr>
        <w:t xml:space="preserve"> Grupo de Entomología Universidad de Antioquia (GEUA), Universidad de Antioquia, Colombia.</w:t>
      </w:r>
    </w:p>
    <w:p w14:paraId="32450B65" w14:textId="77777777" w:rsidR="005121C8" w:rsidRPr="00EA7173" w:rsidRDefault="001938E0">
      <w:pPr>
        <w:spacing w:after="0" w:line="240" w:lineRule="auto"/>
        <w:rPr>
          <w:lang w:val="es-CO"/>
        </w:rPr>
      </w:pPr>
      <w:r w:rsidRPr="00EA7173">
        <w:rPr>
          <w:vertAlign w:val="superscript"/>
          <w:lang w:val="es-CO"/>
        </w:rPr>
        <w:t xml:space="preserve">c </w:t>
      </w:r>
      <w:r w:rsidRPr="00EA7173">
        <w:rPr>
          <w:lang w:val="es-CO"/>
        </w:rPr>
        <w:t>Departamento de Humanidad, Tecnología, y Ciencia (HTC), Fa</w:t>
      </w:r>
      <w:r w:rsidRPr="00EA7173">
        <w:rPr>
          <w:lang w:val="es-CO"/>
        </w:rPr>
        <w:t xml:space="preserve">cultad de Ciencias Humanas, Universidad Icesi, Cali, Colombia. </w:t>
      </w:r>
    </w:p>
    <w:p w14:paraId="1DD2E0B5" w14:textId="77777777" w:rsidR="005121C8" w:rsidRDefault="001938E0">
      <w:pPr>
        <w:spacing w:after="0" w:line="240" w:lineRule="auto"/>
      </w:pPr>
      <w:r>
        <w:rPr>
          <w:vertAlign w:val="superscript"/>
        </w:rPr>
        <w:t xml:space="preserve">d </w:t>
      </w:r>
      <w:r>
        <w:t>Department of Biology, Faculty of Science, Western University, London, Ontario, Canada N6A 5B7.</w:t>
      </w:r>
    </w:p>
    <w:p w14:paraId="3E035061" w14:textId="77777777" w:rsidR="005121C8" w:rsidRPr="00EA7173" w:rsidRDefault="001938E0">
      <w:pPr>
        <w:spacing w:after="0" w:line="240" w:lineRule="auto"/>
        <w:rPr>
          <w:lang w:val="es-CO"/>
        </w:rPr>
      </w:pPr>
      <w:proofErr w:type="spellStart"/>
      <w:r w:rsidRPr="00EA7173">
        <w:rPr>
          <w:vertAlign w:val="superscript"/>
          <w:lang w:val="es-CO"/>
        </w:rPr>
        <w:t>e</w:t>
      </w:r>
      <w:proofErr w:type="spellEnd"/>
      <w:r w:rsidRPr="00EA7173">
        <w:rPr>
          <w:lang w:val="es-CO"/>
        </w:rPr>
        <w:t xml:space="preserve"> Facultad Barberi de Ingeniería, Diseño y Ciencias Aplicadas, Universidad Icesi, Cali, Colomb</w:t>
      </w:r>
      <w:r w:rsidRPr="00EA7173">
        <w:rPr>
          <w:lang w:val="es-CO"/>
        </w:rPr>
        <w:t>ia.</w:t>
      </w:r>
    </w:p>
    <w:p w14:paraId="202F5DCD" w14:textId="77777777" w:rsidR="005121C8" w:rsidRPr="00EA7173" w:rsidRDefault="005121C8">
      <w:pPr>
        <w:spacing w:after="0" w:line="240" w:lineRule="auto"/>
        <w:rPr>
          <w:lang w:val="es-CO"/>
        </w:rPr>
      </w:pPr>
    </w:p>
    <w:p w14:paraId="542E3CAA" w14:textId="77777777" w:rsidR="005121C8" w:rsidRPr="00EA7173" w:rsidRDefault="005121C8">
      <w:pPr>
        <w:spacing w:after="0" w:line="240" w:lineRule="auto"/>
        <w:rPr>
          <w:lang w:val="es-CO"/>
        </w:rPr>
      </w:pPr>
    </w:p>
    <w:p w14:paraId="0CDA32A2" w14:textId="77777777" w:rsidR="005121C8" w:rsidRDefault="001938E0">
      <w:pPr>
        <w:spacing w:after="0" w:line="240" w:lineRule="auto"/>
      </w:pPr>
      <w:r>
        <w:t>Corresponding authors:</w:t>
      </w:r>
      <w:r>
        <w:rPr>
          <w:rFonts w:ascii="Quattrocento Sans" w:eastAsia="Quattrocento Sans" w:hAnsi="Quattrocento Sans" w:cs="Quattrocento Sans"/>
          <w:color w:val="000000"/>
          <w:sz w:val="21"/>
          <w:szCs w:val="21"/>
          <w:highlight w:val="white"/>
        </w:rPr>
        <w:t> </w:t>
      </w:r>
      <w:r>
        <w:rPr>
          <w:rFonts w:ascii="Quattrocento Sans" w:eastAsia="Quattrocento Sans" w:hAnsi="Quattrocento Sans" w:cs="Quattrocento Sans"/>
          <w:color w:val="000000"/>
          <w:sz w:val="21"/>
          <w:szCs w:val="21"/>
        </w:rPr>
        <w:t xml:space="preserve">Sebastian </w:t>
      </w:r>
      <w:proofErr w:type="spellStart"/>
      <w:r>
        <w:rPr>
          <w:rFonts w:ascii="Quattrocento Sans" w:eastAsia="Quattrocento Sans" w:hAnsi="Quattrocento Sans" w:cs="Quattrocento Sans"/>
          <w:color w:val="000000"/>
          <w:sz w:val="21"/>
          <w:szCs w:val="21"/>
        </w:rPr>
        <w:t>Gallan</w:t>
      </w:r>
      <w:proofErr w:type="spellEnd"/>
      <w:r>
        <w:rPr>
          <w:rFonts w:ascii="Quattrocento Sans" w:eastAsia="Quattrocento Sans" w:hAnsi="Quattrocento Sans" w:cs="Quattrocento Sans"/>
          <w:color w:val="000000"/>
          <w:sz w:val="21"/>
          <w:szCs w:val="21"/>
        </w:rPr>
        <w:t xml:space="preserve"> </w:t>
      </w:r>
      <w:r>
        <w:rPr>
          <w:rFonts w:ascii="Quattrocento Sans" w:eastAsia="Quattrocento Sans" w:hAnsi="Quattrocento Sans" w:cs="Quattrocento Sans"/>
          <w:color w:val="000000"/>
          <w:sz w:val="21"/>
          <w:szCs w:val="21"/>
          <w:u w:val="single"/>
        </w:rPr>
        <w:t>sebastiangallan31@gmail.com</w:t>
      </w:r>
      <w:r>
        <w:t xml:space="preserve"> </w:t>
      </w:r>
      <w:r>
        <w:rPr>
          <w:color w:val="000000"/>
        </w:rPr>
        <w:t xml:space="preserve">and Gustavo </w:t>
      </w:r>
      <w:proofErr w:type="spellStart"/>
      <w:r>
        <w:rPr>
          <w:color w:val="000000"/>
        </w:rPr>
        <w:t>Londoño</w:t>
      </w:r>
      <w:proofErr w:type="spellEnd"/>
      <w:r>
        <w:rPr>
          <w:color w:val="000000"/>
          <w:u w:val="single"/>
        </w:rPr>
        <w:t xml:space="preserve"> galondono@icesi.edu.co</w:t>
      </w:r>
    </w:p>
    <w:p w14:paraId="29D52168" w14:textId="77777777" w:rsidR="005121C8" w:rsidRDefault="005121C8"/>
    <w:p w14:paraId="706F613B" w14:textId="77777777" w:rsidR="005121C8" w:rsidRDefault="005121C8"/>
    <w:p w14:paraId="7BF1F516" w14:textId="77777777" w:rsidR="005121C8" w:rsidRDefault="005121C8"/>
    <w:p w14:paraId="0C54597C" w14:textId="77777777" w:rsidR="005121C8" w:rsidRDefault="001938E0">
      <w:pPr>
        <w:pStyle w:val="Heading1"/>
      </w:pPr>
      <w:r>
        <w:t>Abstract</w:t>
      </w:r>
    </w:p>
    <w:p w14:paraId="1AF9B3B4" w14:textId="77777777" w:rsidR="005121C8" w:rsidRDefault="005121C8"/>
    <w:p w14:paraId="786FC911" w14:textId="77777777" w:rsidR="005121C8" w:rsidRDefault="005121C8"/>
    <w:p w14:paraId="738198B8" w14:textId="77777777" w:rsidR="005121C8" w:rsidRDefault="005121C8"/>
    <w:p w14:paraId="4DCCBB50" w14:textId="77777777" w:rsidR="005121C8" w:rsidRDefault="005121C8"/>
    <w:p w14:paraId="423AB844" w14:textId="77777777" w:rsidR="005121C8" w:rsidRDefault="005121C8"/>
    <w:p w14:paraId="61BBD820" w14:textId="77777777" w:rsidR="005121C8" w:rsidRDefault="001938E0">
      <w:pPr>
        <w:pStyle w:val="Heading3"/>
        <w:rPr>
          <w:color w:val="000000"/>
        </w:rPr>
      </w:pPr>
      <w:proofErr w:type="spellStart"/>
      <w:r>
        <w:t>Título</w:t>
      </w:r>
      <w:proofErr w:type="spellEnd"/>
      <w:r>
        <w:t>:</w:t>
      </w:r>
    </w:p>
    <w:p w14:paraId="7E5F3224" w14:textId="77777777" w:rsidR="005121C8" w:rsidRDefault="005121C8"/>
    <w:p w14:paraId="25138C36" w14:textId="77777777" w:rsidR="005121C8" w:rsidRDefault="005121C8"/>
    <w:p w14:paraId="79F6B447" w14:textId="77777777" w:rsidR="005121C8" w:rsidRDefault="005121C8"/>
    <w:p w14:paraId="086EFEA2" w14:textId="77777777" w:rsidR="005121C8" w:rsidRDefault="001938E0">
      <w:pPr>
        <w:pStyle w:val="Heading3"/>
      </w:pPr>
      <w:proofErr w:type="spellStart"/>
      <w:r>
        <w:t>Resumen</w:t>
      </w:r>
      <w:proofErr w:type="spellEnd"/>
    </w:p>
    <w:p w14:paraId="252B43A0" w14:textId="77777777" w:rsidR="005121C8" w:rsidRDefault="005121C8"/>
    <w:p w14:paraId="07CE2280" w14:textId="77777777" w:rsidR="005121C8" w:rsidRDefault="005121C8"/>
    <w:p w14:paraId="0A0E4605" w14:textId="77777777" w:rsidR="005121C8" w:rsidRDefault="005121C8"/>
    <w:p w14:paraId="60A0E629" w14:textId="77777777" w:rsidR="005121C8" w:rsidRDefault="005121C8"/>
    <w:p w14:paraId="17AAA384" w14:textId="77777777" w:rsidR="005121C8" w:rsidRDefault="005121C8"/>
    <w:p w14:paraId="084FB2A8" w14:textId="77777777" w:rsidR="005121C8" w:rsidRDefault="005121C8"/>
    <w:p w14:paraId="7485973E" w14:textId="77777777" w:rsidR="005121C8" w:rsidRDefault="001938E0">
      <w:pPr>
        <w:pStyle w:val="Heading1"/>
      </w:pPr>
      <w:r>
        <w:lastRenderedPageBreak/>
        <w:t>Introduction</w:t>
      </w:r>
    </w:p>
    <w:p w14:paraId="440818EA" w14:textId="77777777" w:rsidR="005121C8" w:rsidRDefault="005121C8"/>
    <w:p w14:paraId="05B0985C" w14:textId="77777777" w:rsidR="005121C8" w:rsidRDefault="005121C8"/>
    <w:p w14:paraId="62D1C29C" w14:textId="77777777" w:rsidR="005121C8" w:rsidRDefault="005121C8"/>
    <w:p w14:paraId="2423B590" w14:textId="77777777" w:rsidR="005121C8" w:rsidRDefault="001938E0">
      <w:pPr>
        <w:pStyle w:val="Heading1"/>
      </w:pPr>
      <w:r>
        <w:t>Methods</w:t>
      </w:r>
    </w:p>
    <w:p w14:paraId="08F91574" w14:textId="77777777" w:rsidR="005121C8" w:rsidRDefault="005121C8"/>
    <w:p w14:paraId="56B8C933" w14:textId="77777777" w:rsidR="005121C8" w:rsidRDefault="005121C8"/>
    <w:p w14:paraId="0A0B7D00" w14:textId="77777777" w:rsidR="005121C8" w:rsidRDefault="005121C8"/>
    <w:p w14:paraId="75C729CF" w14:textId="77777777" w:rsidR="005121C8" w:rsidRDefault="001938E0">
      <w:pPr>
        <w:pStyle w:val="Heading2"/>
      </w:pPr>
      <w:r>
        <w:t>Study area</w:t>
      </w:r>
    </w:p>
    <w:p w14:paraId="749BEEF8" w14:textId="77777777" w:rsidR="005121C8" w:rsidRDefault="005121C8"/>
    <w:p w14:paraId="1D2B9B34" w14:textId="77777777" w:rsidR="005121C8" w:rsidRDefault="005121C8"/>
    <w:p w14:paraId="2CEDDE27" w14:textId="77777777" w:rsidR="005121C8" w:rsidRDefault="001938E0">
      <w:pPr>
        <w:pStyle w:val="Heading2"/>
      </w:pPr>
      <w:r>
        <w:t>Egg and Nestlings collection data</w:t>
      </w:r>
    </w:p>
    <w:p w14:paraId="3C7043DA" w14:textId="77777777" w:rsidR="005121C8" w:rsidRDefault="005121C8"/>
    <w:p w14:paraId="39E7D930" w14:textId="77777777" w:rsidR="005121C8" w:rsidRDefault="005121C8"/>
    <w:p w14:paraId="0E83DBDC" w14:textId="77777777" w:rsidR="005121C8" w:rsidRDefault="001938E0">
      <w:pPr>
        <w:pStyle w:val="Heading2"/>
      </w:pPr>
      <w:r>
        <w:t>Data analysis</w:t>
      </w:r>
    </w:p>
    <w:p w14:paraId="65B2A812" w14:textId="26B9E73F" w:rsidR="005121C8" w:rsidRDefault="001938E0">
      <w:r w:rsidRPr="001938E0">
        <w:t xml:space="preserve">All analyses were conducted in Python (v3.10–3.11) using PyCharm (JetBrains; project-based virtual environments) and </w:t>
      </w:r>
      <w:proofErr w:type="spellStart"/>
      <w:r w:rsidRPr="001938E0">
        <w:t>Jupyter</w:t>
      </w:r>
      <w:proofErr w:type="spellEnd"/>
      <w:r w:rsidRPr="001938E0">
        <w:t xml:space="preserve"> notebooks for exploratory steps. Core libraries included pandas (data wrangling), </w:t>
      </w:r>
      <w:proofErr w:type="spellStart"/>
      <w:r w:rsidRPr="001938E0">
        <w:rPr>
          <w:i/>
          <w:iCs/>
        </w:rPr>
        <w:t>numpy</w:t>
      </w:r>
      <w:proofErr w:type="spellEnd"/>
      <w:r w:rsidRPr="001938E0">
        <w:t xml:space="preserve"> (</w:t>
      </w:r>
      <w:r w:rsidRPr="001938E0">
        <w:t>numeric</w:t>
      </w:r>
      <w:r w:rsidRPr="001938E0">
        <w:t xml:space="preserve">), </w:t>
      </w:r>
      <w:proofErr w:type="spellStart"/>
      <w:r w:rsidRPr="001938E0">
        <w:rPr>
          <w:i/>
          <w:iCs/>
        </w:rPr>
        <w:t>scipy</w:t>
      </w:r>
      <w:proofErr w:type="spellEnd"/>
      <w:r w:rsidRPr="001938E0">
        <w:t xml:space="preserve"> (statistics), </w:t>
      </w:r>
      <w:r w:rsidRPr="001938E0">
        <w:rPr>
          <w:i/>
          <w:iCs/>
        </w:rPr>
        <w:t>scikit-learn</w:t>
      </w:r>
      <w:r w:rsidRPr="001938E0">
        <w:t xml:space="preserve"> (modeling and validation), and </w:t>
      </w:r>
      <w:r w:rsidRPr="001938E0">
        <w:rPr>
          <w:i/>
          <w:iCs/>
        </w:rPr>
        <w:t>matplotlib</w:t>
      </w:r>
      <w:r w:rsidRPr="001938E0">
        <w:t xml:space="preserve"> (graphics).</w:t>
      </w:r>
    </w:p>
    <w:p w14:paraId="11E6992D" w14:textId="4B12972C" w:rsidR="005121C8" w:rsidRDefault="001938E0">
      <w:pPr>
        <w:pStyle w:val="Heading3"/>
      </w:pPr>
      <w:r>
        <w:t xml:space="preserve">Incubation </w:t>
      </w:r>
      <w:r w:rsidR="00B262FD">
        <w:t>behaviors</w:t>
      </w:r>
      <w:r>
        <w:t xml:space="preserve"> recognition and cauterization</w:t>
      </w:r>
    </w:p>
    <w:p w14:paraId="568F16A2" w14:textId="77777777" w:rsidR="005121C8" w:rsidRDefault="001938E0">
      <w:pPr>
        <w:jc w:val="both"/>
      </w:pPr>
      <w:r>
        <w:t xml:space="preserve">We analyzed incubation behavior in </w:t>
      </w:r>
      <w:proofErr w:type="spellStart"/>
      <w:r>
        <w:rPr>
          <w:i/>
        </w:rPr>
        <w:t>Myioborus</w:t>
      </w:r>
      <w:proofErr w:type="spellEnd"/>
      <w:r>
        <w:rPr>
          <w:i/>
        </w:rPr>
        <w:t xml:space="preserve"> </w:t>
      </w:r>
      <w:proofErr w:type="spellStart"/>
      <w:r>
        <w:rPr>
          <w:i/>
        </w:rPr>
        <w:t>miniatus</w:t>
      </w:r>
      <w:proofErr w:type="spellEnd"/>
      <w:r>
        <w:t xml:space="preserve">, </w:t>
      </w:r>
      <w:r>
        <w:rPr>
          <w:i/>
        </w:rPr>
        <w:t xml:space="preserve">M. </w:t>
      </w:r>
      <w:proofErr w:type="spellStart"/>
      <w:r>
        <w:rPr>
          <w:i/>
        </w:rPr>
        <w:t>melanocephalus</w:t>
      </w:r>
      <w:proofErr w:type="spellEnd"/>
      <w:r>
        <w:t xml:space="preserve">, and </w:t>
      </w:r>
      <w:r>
        <w:rPr>
          <w:i/>
        </w:rPr>
        <w:t xml:space="preserve">M. </w:t>
      </w:r>
      <w:proofErr w:type="spellStart"/>
      <w:r>
        <w:rPr>
          <w:i/>
        </w:rPr>
        <w:t>ornatus</w:t>
      </w:r>
      <w:proofErr w:type="spellEnd"/>
      <w:r>
        <w:t xml:space="preserve"> using nest temperature time series collected from multiple sites in Colombia and Peru. All files were standardized and processed using the </w:t>
      </w:r>
      <w:proofErr w:type="spellStart"/>
      <w:r>
        <w:t>BoutScout</w:t>
      </w:r>
      <w:proofErr w:type="spellEnd"/>
      <w:r>
        <w:t xml:space="preserve"> pipeline and deep learning model (Lizarazo &amp; </w:t>
      </w:r>
      <w:proofErr w:type="spellStart"/>
      <w:r>
        <w:t>Londoño</w:t>
      </w:r>
      <w:proofErr w:type="spellEnd"/>
      <w:r>
        <w:t>, in print), which performs automated cleaning, 24-hou</w:t>
      </w:r>
      <w:r>
        <w:t>r segmentation (1,440 minutes), and transformation of time into a cyclical feature via sin(2π·minutes/1440). Sequences were passed into its pre-trained Bidirectional Long Short-Term Memory (</w:t>
      </w:r>
      <w:proofErr w:type="spellStart"/>
      <w:r>
        <w:t>BiLSTM</w:t>
      </w:r>
      <w:proofErr w:type="spellEnd"/>
      <w:r>
        <w:t>) model that assigns a behavioral state—on-bout, off-bout, o</w:t>
      </w:r>
      <w:r>
        <w:t>r nocturnal—to each minute. Model outputs were compiled with metadata including the source file, day index, and temperature values.</w:t>
      </w:r>
    </w:p>
    <w:p w14:paraId="4A642309" w14:textId="77777777" w:rsidR="005121C8" w:rsidRDefault="001938E0">
      <w:pPr>
        <w:jc w:val="both"/>
      </w:pPr>
      <w:r>
        <w:t xml:space="preserve">Post-inference, we filtered out sequences with sensor errors, misaligned timestamps, or implausible behavioral patterns. To </w:t>
      </w:r>
      <w:r>
        <w:t>quantify daily incubation strategies, we computed a set of behavioral metrics per nest-day. These included the duration of the diurnal period (defined as the start from the first off-bout to the start of the final nocturnal bout), nest attentiveness (propo</w:t>
      </w:r>
      <w:r>
        <w:t>rtion of time spent in on-bouts during the diurnal period), total and average on-, off-, and nocturnal bout durations, bout counts. These summaries were merged with daily mean ambient temperature and enriched with morphological attributes, including elevat</w:t>
      </w:r>
      <w:r>
        <w:t>ion, egg mass, length, and width, included at the end a full set of 15 variables.</w:t>
      </w:r>
    </w:p>
    <w:p w14:paraId="7EA0F678" w14:textId="77777777" w:rsidR="005121C8" w:rsidRDefault="001938E0">
      <w:pPr>
        <w:jc w:val="both"/>
      </w:pPr>
      <w:r>
        <w:lastRenderedPageBreak/>
        <w:t>Through exploratory analysis and correlation assessment, retained a subset of nine variables showing the strongest ecological interpretability and non-redundant structure. Th</w:t>
      </w:r>
      <w:r>
        <w:t>ese final features included, nest attentiveness, total on-bout duration, duration of the active diurnal period, average on-, off-, and nocturnal bout durations, daily ambient temperature, elevation, and egg weight.</w:t>
      </w:r>
    </w:p>
    <w:p w14:paraId="001C5082" w14:textId="26D41ACF" w:rsidR="005121C8" w:rsidRDefault="001938E0">
      <w:pPr>
        <w:jc w:val="both"/>
      </w:pPr>
      <w:r>
        <w:t>This refined dataset was z-score normaliz</w:t>
      </w:r>
      <w:r>
        <w:t xml:space="preserve">ed using </w:t>
      </w:r>
      <w:proofErr w:type="spellStart"/>
      <w:r w:rsidRPr="00EA7173">
        <w:rPr>
          <w:i/>
          <w:iCs/>
        </w:rPr>
        <w:t>StandardScaler</w:t>
      </w:r>
      <w:proofErr w:type="spellEnd"/>
      <w:r>
        <w:t xml:space="preserve"> (from the </w:t>
      </w:r>
      <w:proofErr w:type="spellStart"/>
      <w:r>
        <w:rPr>
          <w:i/>
        </w:rPr>
        <w:t>sklearn.preprocessing</w:t>
      </w:r>
      <w:proofErr w:type="spellEnd"/>
      <w:r>
        <w:t xml:space="preserve"> module) and used for Principal Component Analysis (PCA) implemented via the PCA class from </w:t>
      </w:r>
      <w:proofErr w:type="spellStart"/>
      <w:r w:rsidRPr="00EA7173">
        <w:rPr>
          <w:i/>
          <w:iCs/>
        </w:rPr>
        <w:t>sklearn.decomposition</w:t>
      </w:r>
      <w:proofErr w:type="spellEnd"/>
      <w:r>
        <w:t>. The first five components explaining &gt;80% of total variance were retained. K-means clu</w:t>
      </w:r>
      <w:r>
        <w:t>stering was applied to the PCA-transformed space, with the optimal number of clusters (k = 2) selected based on silhouette score and inertia across multiple random initializations. Cluster identity was cross-tabulated with species to evaluate the associati</w:t>
      </w:r>
      <w:r>
        <w:t xml:space="preserve">on between </w:t>
      </w:r>
      <w:r w:rsidR="00B262FD">
        <w:t>behavioral</w:t>
      </w:r>
      <w:r>
        <w:t xml:space="preserve">–morphological groupings and taxonomic identity. A contingency table was constructed using </w:t>
      </w:r>
      <w:proofErr w:type="spellStart"/>
      <w:r w:rsidRPr="00EA7173">
        <w:rPr>
          <w:i/>
          <w:iCs/>
        </w:rPr>
        <w:t>pd.crosstab</w:t>
      </w:r>
      <w:proofErr w:type="spellEnd"/>
      <w:r>
        <w:t xml:space="preserve"> in pandas, and a chi-square test of independence was performed using </w:t>
      </w:r>
      <w:r>
        <w:rPr>
          <w:i/>
        </w:rPr>
        <w:t xml:space="preserve">chi2_contingency </w:t>
      </w:r>
      <w:r>
        <w:t xml:space="preserve">from </w:t>
      </w:r>
      <w:proofErr w:type="spellStart"/>
      <w:r w:rsidRPr="00EA7173">
        <w:rPr>
          <w:i/>
          <w:iCs/>
        </w:rPr>
        <w:t>scipy.stats</w:t>
      </w:r>
      <w:proofErr w:type="spellEnd"/>
      <w:r>
        <w:t xml:space="preserve"> to assess whether the distri</w:t>
      </w:r>
      <w:r>
        <w:t>bution of species differed significantly across clusters. To characterize the behavioral and ecological composition of each cluster, we computed the mean and standard deviation of each variable included in the PCA input for all individuals within each grou</w:t>
      </w:r>
      <w:r>
        <w:t>p to facilitate ecological interpretation and cross-cluster comparison.</w:t>
      </w:r>
    </w:p>
    <w:p w14:paraId="4E3EF820" w14:textId="2E71F6A7" w:rsidR="00163FCF" w:rsidRDefault="00163FCF" w:rsidP="00163FCF">
      <w:pPr>
        <w:pStyle w:val="Heading3"/>
      </w:pPr>
      <w:r>
        <w:t>G</w:t>
      </w:r>
      <w:r w:rsidRPr="00163FCF">
        <w:t>rowth-curve modeling</w:t>
      </w:r>
    </w:p>
    <w:p w14:paraId="66FDC1F7" w14:textId="505D7194" w:rsidR="00163FCF" w:rsidRDefault="00163FCF" w:rsidP="0010546D">
      <w:pPr>
        <w:jc w:val="both"/>
      </w:pPr>
      <w:r w:rsidRPr="00163FCF">
        <w:t>We estimated missing post-hatch ages</w:t>
      </w:r>
      <w:r>
        <w:t xml:space="preserve"> from </w:t>
      </w:r>
      <w:proofErr w:type="spellStart"/>
      <w:r w:rsidRPr="00163FCF">
        <w:rPr>
          <w:i/>
          <w:iCs/>
        </w:rPr>
        <w:t>Myioborus</w:t>
      </w:r>
      <w:proofErr w:type="spellEnd"/>
      <w:r w:rsidRPr="00163FCF">
        <w:rPr>
          <w:i/>
          <w:iCs/>
        </w:rPr>
        <w:t xml:space="preserve"> </w:t>
      </w:r>
      <w:proofErr w:type="spellStart"/>
      <w:r w:rsidRPr="00163FCF">
        <w:rPr>
          <w:i/>
          <w:iCs/>
        </w:rPr>
        <w:t>miniatus</w:t>
      </w:r>
      <w:proofErr w:type="spellEnd"/>
      <w:r>
        <w:t xml:space="preserve"> and </w:t>
      </w:r>
      <w:r w:rsidRPr="00163FCF">
        <w:rPr>
          <w:i/>
          <w:iCs/>
        </w:rPr>
        <w:t>M</w:t>
      </w:r>
      <w:r w:rsidRPr="00163FCF">
        <w:rPr>
          <w:i/>
          <w:iCs/>
        </w:rPr>
        <w:t>.</w:t>
      </w:r>
      <w:r w:rsidRPr="00163FCF">
        <w:rPr>
          <w:i/>
          <w:iCs/>
        </w:rPr>
        <w:t xml:space="preserve"> </w:t>
      </w:r>
      <w:proofErr w:type="spellStart"/>
      <w:r w:rsidRPr="00163FCF">
        <w:rPr>
          <w:i/>
          <w:iCs/>
        </w:rPr>
        <w:t>melanocephalus</w:t>
      </w:r>
      <w:proofErr w:type="spellEnd"/>
      <w:r w:rsidRPr="00163FCF">
        <w:t xml:space="preserve"> </w:t>
      </w:r>
      <w:r w:rsidRPr="00163FCF">
        <w:t>using a species-specific Decision Tree Regressor (scikit-learn) that maps body measurements to age.</w:t>
      </w:r>
      <w:r>
        <w:t xml:space="preserve"> </w:t>
      </w:r>
      <w:r>
        <w:t>Age in days was the response; predictors were body mass and tarsus length</w:t>
      </w:r>
      <w:r>
        <w:t xml:space="preserve"> (Supplementary S2)</w:t>
      </w:r>
      <w:r>
        <w:t>. Model fitting was restricted to records with complete age and predictors.</w:t>
      </w:r>
      <w:r>
        <w:t xml:space="preserve"> </w:t>
      </w:r>
      <w:r w:rsidRPr="00163FCF">
        <w:t xml:space="preserve">For each species, we fit a </w:t>
      </w:r>
      <w:proofErr w:type="spellStart"/>
      <w:r w:rsidRPr="00B262FD">
        <w:rPr>
          <w:i/>
          <w:iCs/>
        </w:rPr>
        <w:t>DecisionTreeRegressor</w:t>
      </w:r>
      <w:proofErr w:type="spellEnd"/>
      <w:r w:rsidRPr="00B262FD">
        <w:rPr>
          <w:i/>
          <w:iCs/>
        </w:rPr>
        <w:t xml:space="preserve"> </w:t>
      </w:r>
      <w:r w:rsidRPr="00163FCF">
        <w:t>(</w:t>
      </w:r>
      <w:proofErr w:type="spellStart"/>
      <w:r w:rsidRPr="00163FCF">
        <w:t>max_depth</w:t>
      </w:r>
      <w:proofErr w:type="spellEnd"/>
      <w:r w:rsidRPr="00163FCF">
        <w:t xml:space="preserve"> = 3, </w:t>
      </w:r>
      <w:proofErr w:type="spellStart"/>
      <w:r w:rsidRPr="00163FCF">
        <w:t>random_state</w:t>
      </w:r>
      <w:proofErr w:type="spellEnd"/>
      <w:r w:rsidRPr="00163FCF">
        <w:t xml:space="preserve"> = 42). Train/test splits were 85/15 for </w:t>
      </w:r>
      <w:r w:rsidRPr="0010546D">
        <w:rPr>
          <w:i/>
          <w:iCs/>
        </w:rPr>
        <w:t>M</w:t>
      </w:r>
      <w:r w:rsidR="0010546D" w:rsidRPr="0010546D">
        <w:rPr>
          <w:i/>
          <w:iCs/>
        </w:rPr>
        <w:t>.</w:t>
      </w:r>
      <w:r w:rsidRPr="0010546D">
        <w:rPr>
          <w:i/>
          <w:iCs/>
        </w:rPr>
        <w:t xml:space="preserve"> </w:t>
      </w:r>
      <w:proofErr w:type="spellStart"/>
      <w:r w:rsidRPr="0010546D">
        <w:rPr>
          <w:i/>
          <w:iCs/>
        </w:rPr>
        <w:t>miniatus</w:t>
      </w:r>
      <w:proofErr w:type="spellEnd"/>
      <w:r w:rsidR="0010546D">
        <w:t xml:space="preserve"> (</w:t>
      </w:r>
      <w:r w:rsidR="0033671B">
        <w:t xml:space="preserve">N= </w:t>
      </w:r>
      <w:r w:rsidR="0033671B" w:rsidRPr="0010546D">
        <w:t>232</w:t>
      </w:r>
      <w:r w:rsidR="0033671B">
        <w:t xml:space="preserve">, </w:t>
      </w:r>
      <w:r w:rsidR="0010546D">
        <w:t>RMSE=</w:t>
      </w:r>
      <w:r w:rsidR="00B262FD">
        <w:t>1.</w:t>
      </w:r>
      <w:r w:rsidR="0033671B">
        <w:t>01</w:t>
      </w:r>
      <w:r w:rsidR="0010546D">
        <w:t xml:space="preserve">, </w:t>
      </w:r>
      <w:r w:rsidR="0010546D">
        <w:t>MAE</w:t>
      </w:r>
      <w:r w:rsidR="0010546D">
        <w:t>=</w:t>
      </w:r>
      <w:r w:rsidR="00B262FD">
        <w:t xml:space="preserve"> </w:t>
      </w:r>
      <w:r w:rsidR="0033671B">
        <w:t>0.80,</w:t>
      </w:r>
      <w:r w:rsidR="0010546D">
        <w:t xml:space="preserve"> </w:t>
      </w:r>
      <w:r w:rsidR="0010546D">
        <w:rPr>
          <w:rStyle w:val="mord"/>
        </w:rPr>
        <w:t>R</w:t>
      </w:r>
      <w:r w:rsidR="0010546D" w:rsidRPr="0010546D">
        <w:rPr>
          <w:rStyle w:val="mord"/>
          <w:vertAlign w:val="superscript"/>
        </w:rPr>
        <w:t>2</w:t>
      </w:r>
      <w:r w:rsidR="0010546D">
        <w:t xml:space="preserve"> =</w:t>
      </w:r>
      <w:r w:rsidR="00B262FD">
        <w:t>0.</w:t>
      </w:r>
      <w:r w:rsidR="0033671B">
        <w:t>84</w:t>
      </w:r>
      <w:r w:rsidR="0010546D">
        <w:t>)</w:t>
      </w:r>
      <w:r w:rsidRPr="00163FCF">
        <w:t xml:space="preserve"> and 90/10 for </w:t>
      </w:r>
      <w:r w:rsidRPr="0010546D">
        <w:rPr>
          <w:i/>
          <w:iCs/>
        </w:rPr>
        <w:t xml:space="preserve">M. </w:t>
      </w:r>
      <w:proofErr w:type="spellStart"/>
      <w:r w:rsidRPr="0010546D">
        <w:rPr>
          <w:i/>
          <w:iCs/>
        </w:rPr>
        <w:t>melanocephalus</w:t>
      </w:r>
      <w:proofErr w:type="spellEnd"/>
      <w:r w:rsidR="0010546D">
        <w:t xml:space="preserve"> (</w:t>
      </w:r>
      <w:r w:rsidR="0033671B">
        <w:t xml:space="preserve">N= </w:t>
      </w:r>
      <w:r w:rsidR="0033671B" w:rsidRPr="0010546D">
        <w:t>16</w:t>
      </w:r>
      <w:r w:rsidR="0033671B">
        <w:t>,</w:t>
      </w:r>
      <w:r w:rsidR="0033671B" w:rsidRPr="0010546D">
        <w:t xml:space="preserve"> </w:t>
      </w:r>
      <w:r w:rsidR="0010546D">
        <w:t xml:space="preserve">RMSE </w:t>
      </w:r>
      <w:r w:rsidR="00B262FD">
        <w:t>=</w:t>
      </w:r>
      <w:r w:rsidR="00B262FD">
        <w:t xml:space="preserve">1.28, MAE= 1.25, </w:t>
      </w:r>
      <w:r w:rsidR="00B262FD">
        <w:rPr>
          <w:rStyle w:val="mord"/>
        </w:rPr>
        <w:t>R</w:t>
      </w:r>
      <w:r w:rsidR="00B262FD" w:rsidRPr="0010546D">
        <w:rPr>
          <w:rStyle w:val="mord"/>
          <w:vertAlign w:val="superscript"/>
        </w:rPr>
        <w:t>2</w:t>
      </w:r>
      <w:r w:rsidR="00B262FD">
        <w:t xml:space="preserve"> =0.93</w:t>
      </w:r>
      <w:r w:rsidR="0010546D">
        <w:t>)</w:t>
      </w:r>
      <w:r w:rsidRPr="00163FCF">
        <w:t xml:space="preserve">. </w:t>
      </w:r>
      <w:r w:rsidR="0010546D">
        <w:t>After training, we imputed age where age was missing and both predictors were present</w:t>
      </w:r>
      <w:r w:rsidR="0010546D">
        <w:t xml:space="preserve"> (</w:t>
      </w:r>
      <w:r w:rsidR="0010546D" w:rsidRPr="0010546D">
        <w:rPr>
          <w:i/>
          <w:iCs/>
        </w:rPr>
        <w:t xml:space="preserve">M. </w:t>
      </w:r>
      <w:proofErr w:type="spellStart"/>
      <w:r w:rsidR="0010546D" w:rsidRPr="0010546D">
        <w:rPr>
          <w:i/>
          <w:iCs/>
        </w:rPr>
        <w:t>miniatus</w:t>
      </w:r>
      <w:proofErr w:type="spellEnd"/>
      <w:r w:rsidR="0010546D" w:rsidRPr="0010546D">
        <w:t>: imputed ages for</w:t>
      </w:r>
      <w:r w:rsidR="0010546D">
        <w:t xml:space="preserve"> 30; </w:t>
      </w:r>
      <w:r w:rsidR="0010546D" w:rsidRPr="0010546D">
        <w:rPr>
          <w:i/>
          <w:iCs/>
        </w:rPr>
        <w:t xml:space="preserve">M. </w:t>
      </w:r>
      <w:proofErr w:type="spellStart"/>
      <w:r w:rsidR="0010546D" w:rsidRPr="0010546D">
        <w:rPr>
          <w:i/>
          <w:iCs/>
        </w:rPr>
        <w:t>melanocephalus</w:t>
      </w:r>
      <w:proofErr w:type="spellEnd"/>
      <w:r w:rsidR="0010546D" w:rsidRPr="0010546D">
        <w:t>: imputed ages for</w:t>
      </w:r>
      <w:r w:rsidR="0010546D">
        <w:t xml:space="preserve"> 4)</w:t>
      </w:r>
      <w:r w:rsidR="0010546D">
        <w:t>, writing predictions into the age column and applying half-up rounding to integer days for reporting</w:t>
      </w:r>
      <w:r w:rsidR="0010546D">
        <w:t xml:space="preserve">. </w:t>
      </w:r>
      <w:r w:rsidR="0010546D">
        <w:rPr>
          <w:rStyle w:val="Emphasis"/>
        </w:rPr>
        <w:t xml:space="preserve">M. </w:t>
      </w:r>
      <w:proofErr w:type="spellStart"/>
      <w:r w:rsidR="0010546D">
        <w:rPr>
          <w:rStyle w:val="Emphasis"/>
        </w:rPr>
        <w:t>ornatus</w:t>
      </w:r>
      <w:proofErr w:type="spellEnd"/>
      <w:r w:rsidR="0010546D">
        <w:t>,</w:t>
      </w:r>
      <w:r w:rsidR="0010546D">
        <w:t xml:space="preserve"> no imputation was performed </w:t>
      </w:r>
      <w:r w:rsidR="0010546D">
        <w:t>owing to</w:t>
      </w:r>
      <w:r w:rsidR="0010546D">
        <w:t xml:space="preserve"> one nest with complete nestling data</w:t>
      </w:r>
      <w:r w:rsidR="0010546D">
        <w:t xml:space="preserve"> (</w:t>
      </w:r>
      <w:r w:rsidR="0010546D">
        <w:t>remaining records contained egg-only information).</w:t>
      </w:r>
    </w:p>
    <w:p w14:paraId="68EA5E02" w14:textId="76EF7D02" w:rsidR="0010546D" w:rsidRDefault="0010546D" w:rsidP="00706705">
      <w:pPr>
        <w:jc w:val="both"/>
      </w:pPr>
      <w:r>
        <w:t xml:space="preserve">We conducted </w:t>
      </w:r>
      <w:r>
        <w:t xml:space="preserve">a </w:t>
      </w:r>
      <w:r>
        <w:t xml:space="preserve">growth-curve analyses using the </w:t>
      </w:r>
      <w:r w:rsidRPr="00706705">
        <w:rPr>
          <w:i/>
          <w:iCs/>
        </w:rPr>
        <w:t>Nestling Growth App</w:t>
      </w:r>
      <w:r>
        <w:t xml:space="preserve"> (cite)</w:t>
      </w:r>
      <w:r>
        <w:t>. For each species × trait (mass</w:t>
      </w:r>
      <w:r w:rsidR="00706705">
        <w:t xml:space="preserve">, </w:t>
      </w:r>
      <w:r w:rsidR="00706705">
        <w:t>wing, tarsus</w:t>
      </w:r>
      <w:r>
        <w:t xml:space="preserve">) the app fit a standard panel of biological functions—Logistic, </w:t>
      </w:r>
      <w:proofErr w:type="spellStart"/>
      <w:r>
        <w:t>Gompertz</w:t>
      </w:r>
      <w:proofErr w:type="spellEnd"/>
      <w:r>
        <w:t xml:space="preserve">, Richards, von </w:t>
      </w:r>
      <w:proofErr w:type="spellStart"/>
      <w:r>
        <w:t>Bertalanffy</w:t>
      </w:r>
      <w:proofErr w:type="spellEnd"/>
      <w:r>
        <w:t xml:space="preserve">, and EVF—and exported parameter estimates and information-criterion tables (AIC/BIC) alongside figures and </w:t>
      </w:r>
      <w:r w:rsidR="00706705">
        <w:t>their results</w:t>
      </w:r>
      <w:r>
        <w:t>. We retained the top-ranked model per trait by AIC/BIC; when the Logistic model was not top-ranked, we additionally report its rate parameter</w:t>
      </w:r>
      <w:r w:rsidR="00706705">
        <w:t>s K and T</w:t>
      </w:r>
      <w:r w:rsidR="00B262FD">
        <w:t>0</w:t>
      </w:r>
      <w:r>
        <w:t xml:space="preserve"> to facilitate cross-trait/species comparison</w:t>
      </w:r>
      <w:r w:rsidR="00706705">
        <w:t>s</w:t>
      </w:r>
      <w:r>
        <w:t>.</w:t>
      </w:r>
      <w:r w:rsidR="00706705">
        <w:t xml:space="preserve"> </w:t>
      </w:r>
    </w:p>
    <w:p w14:paraId="6555FBB7" w14:textId="77777777" w:rsidR="005121C8" w:rsidRDefault="001938E0">
      <w:pPr>
        <w:pStyle w:val="Heading1"/>
      </w:pPr>
      <w:r>
        <w:t>Results</w:t>
      </w:r>
    </w:p>
    <w:p w14:paraId="2EA697F0" w14:textId="72B9F673" w:rsidR="005121C8" w:rsidRPr="001938E0" w:rsidRDefault="001938E0">
      <w:pPr>
        <w:rPr>
          <w:lang w:val="es-CO"/>
        </w:rPr>
      </w:pPr>
      <w:r w:rsidRPr="001938E0">
        <w:rPr>
          <w:highlight w:val="yellow"/>
          <w:lang w:val="es-CO"/>
        </w:rPr>
        <w:t>Se encontraron tantos nidos de los cuales tantos con huevos frescos, tantos con huevos en desarrollo, tantos con polluelos. Fueron depredados tantos…. Etc.</w:t>
      </w:r>
    </w:p>
    <w:p w14:paraId="481FA0B6" w14:textId="20F2C094" w:rsidR="005121C8" w:rsidRPr="001938E0" w:rsidRDefault="001938E0" w:rsidP="001938E0">
      <w:pPr>
        <w:pStyle w:val="Heading2"/>
        <w:rPr>
          <w:lang w:val="es-CO"/>
        </w:rPr>
      </w:pPr>
      <w:proofErr w:type="spellStart"/>
      <w:r w:rsidRPr="001938E0">
        <w:rPr>
          <w:lang w:val="es-CO"/>
        </w:rPr>
        <w:t>Nest</w:t>
      </w:r>
      <w:proofErr w:type="spellEnd"/>
    </w:p>
    <w:p w14:paraId="1BD2AB36" w14:textId="790E01C9" w:rsidR="001938E0" w:rsidRPr="001938E0" w:rsidRDefault="001938E0">
      <w:pPr>
        <w:rPr>
          <w:lang w:val="es-CO"/>
        </w:rPr>
      </w:pPr>
      <w:r w:rsidRPr="001938E0">
        <w:rPr>
          <w:highlight w:val="yellow"/>
          <w:lang w:val="es-CO"/>
        </w:rPr>
        <w:t xml:space="preserve">Nidos domo en tal áreas, con este </w:t>
      </w:r>
      <w:proofErr w:type="spellStart"/>
      <w:r w:rsidRPr="001938E0">
        <w:rPr>
          <w:highlight w:val="yellow"/>
          <w:lang w:val="es-CO"/>
        </w:rPr>
        <w:t>placement</w:t>
      </w:r>
      <w:proofErr w:type="spellEnd"/>
      <w:r w:rsidRPr="001938E0">
        <w:rPr>
          <w:highlight w:val="yellow"/>
          <w:lang w:val="es-CO"/>
        </w:rPr>
        <w:t xml:space="preserve"> en tal parte a tantos metros sobre el suelo… etc. Medidas internas esto, medidas externas </w:t>
      </w:r>
      <w:proofErr w:type="spellStart"/>
      <w:r w:rsidRPr="001938E0">
        <w:rPr>
          <w:highlight w:val="yellow"/>
          <w:lang w:val="es-CO"/>
        </w:rPr>
        <w:t>exto</w:t>
      </w:r>
      <w:proofErr w:type="spellEnd"/>
      <w:r w:rsidRPr="001938E0">
        <w:rPr>
          <w:highlight w:val="yellow"/>
          <w:lang w:val="es-CO"/>
        </w:rPr>
        <w:t>…..</w:t>
      </w:r>
      <w:proofErr w:type="spellStart"/>
      <w:r w:rsidRPr="001938E0">
        <w:rPr>
          <w:highlight w:val="yellow"/>
          <w:lang w:val="es-CO"/>
        </w:rPr>
        <w:t>etc</w:t>
      </w:r>
      <w:proofErr w:type="spellEnd"/>
      <w:r w:rsidRPr="001938E0">
        <w:rPr>
          <w:highlight w:val="yellow"/>
          <w:lang w:val="es-CO"/>
        </w:rPr>
        <w:t xml:space="preserve"> materiales fueron ….. diferencias </w:t>
      </w:r>
      <w:proofErr w:type="spellStart"/>
      <w:r w:rsidRPr="001938E0">
        <w:rPr>
          <w:highlight w:val="yellow"/>
          <w:lang w:val="es-CO"/>
        </w:rPr>
        <w:t>genrales</w:t>
      </w:r>
      <w:proofErr w:type="spellEnd"/>
      <w:r w:rsidRPr="001938E0">
        <w:rPr>
          <w:highlight w:val="yellow"/>
          <w:lang w:val="es-CO"/>
        </w:rPr>
        <w:t xml:space="preserve"> entre los tres y similitudes.</w:t>
      </w:r>
      <w:r>
        <w:rPr>
          <w:lang w:val="es-CO"/>
        </w:rPr>
        <w:t xml:space="preserve"> </w:t>
      </w:r>
    </w:p>
    <w:p w14:paraId="1E7F8836" w14:textId="77777777" w:rsidR="001938E0" w:rsidRPr="001938E0" w:rsidRDefault="001938E0">
      <w:pPr>
        <w:rPr>
          <w:lang w:val="es-CO"/>
        </w:rPr>
      </w:pPr>
    </w:p>
    <w:p w14:paraId="00654DBF" w14:textId="5C20C2E6" w:rsidR="005121C8" w:rsidRDefault="001938E0">
      <w:pPr>
        <w:pStyle w:val="Heading2"/>
      </w:pPr>
      <w:r>
        <w:t xml:space="preserve">Incubation </w:t>
      </w:r>
      <w:r w:rsidR="00B262FD">
        <w:t>behaviors</w:t>
      </w:r>
      <w:r>
        <w:t xml:space="preserve"> and its ecology</w:t>
      </w:r>
    </w:p>
    <w:p w14:paraId="496453E1" w14:textId="77777777" w:rsidR="005121C8" w:rsidRDefault="001938E0">
      <w:pPr>
        <w:jc w:val="both"/>
      </w:pPr>
      <w:r>
        <w:t xml:space="preserve">Clustering analysis based on behavioral and morphological traits revealed two distinct incubation strategies across the evaluated </w:t>
      </w:r>
      <w:proofErr w:type="spellStart"/>
      <w:r>
        <w:rPr>
          <w:i/>
        </w:rPr>
        <w:t>Myioborus</w:t>
      </w:r>
      <w:proofErr w:type="spellEnd"/>
      <w:r>
        <w:t xml:space="preserve"> species, which were not structured by taxonomy </w:t>
      </w:r>
      <w:r>
        <w:rPr>
          <w:i/>
        </w:rPr>
        <w:t>per se</w:t>
      </w:r>
      <w:r>
        <w:t>. Instead, the clusters reflected variation in incubation behav</w:t>
      </w:r>
      <w:r>
        <w:t xml:space="preserve">ior within species. Particularly within </w:t>
      </w:r>
      <w:r>
        <w:rPr>
          <w:i/>
        </w:rPr>
        <w:t xml:space="preserve">M. </w:t>
      </w:r>
      <w:proofErr w:type="spellStart"/>
      <w:r>
        <w:rPr>
          <w:i/>
        </w:rPr>
        <w:t>miniatus</w:t>
      </w:r>
      <w:proofErr w:type="spellEnd"/>
      <w:r>
        <w:t>, the most abundant taxon in both groups (75% in each; Table S3).</w:t>
      </w:r>
    </w:p>
    <w:p w14:paraId="28F2C11F" w14:textId="77777777" w:rsidR="005121C8" w:rsidRDefault="001938E0">
      <w:pPr>
        <w:jc w:val="both"/>
      </w:pPr>
      <w:r>
        <w:t>The first group (Cluster 1; Figure 3) exhibited longer diurnal periods (650 ± 312 min), lower nest attentiveness (0.36 ± 0.17 %), more freq</w:t>
      </w:r>
      <w:r>
        <w:t>uent and prolonged off-bouts (30.57 ± 18.95 min), and shorter nocturnal incubation (401 ± 155 min). This group was also associated with slightly warmer ambient temperatures (17.13 ± 5.85 °C), lower elevation (1882 ± 457 m), and lighter eggs (1.56 ± 0.25 g)</w:t>
      </w:r>
      <w:r>
        <w:t>. In contrast, the second group (Cluster 2) showed higher attentiveness (0.61 ± 0.11), shorter diurnal periods (334 ± 188 min), brief off-bouts (12.67 ± 4.35 min), and prolonged nocturnal incubation (709 ± 57 min). Nests in this group were generally locate</w:t>
      </w:r>
      <w:r>
        <w:t>d at higher elevations (1928 ± 556 m), in slightly cooler environments (16.29 ± 4.43 °C), and had marginally heavier egg masses (1.61 ± 0.23 g).</w:t>
      </w:r>
    </w:p>
    <w:p w14:paraId="51FF96FC" w14:textId="6AEE42EC" w:rsidR="00B262FD" w:rsidRDefault="001938E0">
      <w:pPr>
        <w:jc w:val="both"/>
      </w:pPr>
      <w:r>
        <w:t>Although the chi-square test indicated a statistically significant association between species and cluster iden</w:t>
      </w:r>
      <w:r>
        <w:t xml:space="preserve">tity (χ² = 18.51, p &lt; 0.001), this was primarily driven by the skewed distributions of the less frequent species. </w:t>
      </w:r>
      <w:r>
        <w:rPr>
          <w:i/>
        </w:rPr>
        <w:t xml:space="preserve">M. </w:t>
      </w:r>
      <w:proofErr w:type="spellStart"/>
      <w:r>
        <w:rPr>
          <w:i/>
        </w:rPr>
        <w:t>melanocephalus</w:t>
      </w:r>
      <w:proofErr w:type="spellEnd"/>
      <w:r>
        <w:t xml:space="preserve"> was strongly concentrated in Cluster 2 (33 of 36 individuals), while </w:t>
      </w:r>
      <w:r>
        <w:rPr>
          <w:i/>
        </w:rPr>
        <w:t xml:space="preserve">M. </w:t>
      </w:r>
      <w:proofErr w:type="spellStart"/>
      <w:r>
        <w:rPr>
          <w:i/>
        </w:rPr>
        <w:t>ornatus</w:t>
      </w:r>
      <w:proofErr w:type="spellEnd"/>
      <w:r>
        <w:t xml:space="preserve"> occurred predominantly in Cluster 1 (6 of 8 </w:t>
      </w:r>
      <w:r>
        <w:t>individuals). Suggesting that elevation and its associated environmental constraints may play a key factor shaping incubation strategies, with more continuous and thermally buffered incubation observed at higher elevations.</w:t>
      </w:r>
    </w:p>
    <w:p w14:paraId="7BF2A53F" w14:textId="345655D4" w:rsidR="00B262FD" w:rsidRDefault="00B262FD" w:rsidP="00B262FD">
      <w:pPr>
        <w:pStyle w:val="Heading2"/>
      </w:pPr>
      <w:r w:rsidRPr="00B262FD">
        <w:t>Nestling growth modeling</w:t>
      </w:r>
    </w:p>
    <w:p w14:paraId="6F2773A4" w14:textId="578C3B4F" w:rsidR="001938E0" w:rsidRDefault="001938E0" w:rsidP="001938E0"/>
    <w:p w14:paraId="39CC32B8" w14:textId="0464ED8A" w:rsidR="001938E0" w:rsidRPr="001938E0" w:rsidRDefault="001938E0" w:rsidP="001938E0">
      <w:pPr>
        <w:rPr>
          <w:lang w:val="es-CO"/>
        </w:rPr>
      </w:pPr>
      <w:proofErr w:type="spellStart"/>
      <w:r w:rsidRPr="001938E0">
        <w:rPr>
          <w:highlight w:val="yellow"/>
          <w:lang w:val="es-CO"/>
        </w:rPr>
        <w:t>Informacion</w:t>
      </w:r>
      <w:proofErr w:type="spellEnd"/>
      <w:r w:rsidRPr="001938E0">
        <w:rPr>
          <w:highlight w:val="yellow"/>
          <w:lang w:val="es-CO"/>
        </w:rPr>
        <w:t xml:space="preserve"> sobre los polluelos de forma cualitativa. Al primer </w:t>
      </w:r>
      <w:proofErr w:type="spellStart"/>
      <w:r w:rsidRPr="001938E0">
        <w:rPr>
          <w:highlight w:val="yellow"/>
          <w:lang w:val="es-CO"/>
        </w:rPr>
        <w:t>dia</w:t>
      </w:r>
      <w:proofErr w:type="spellEnd"/>
      <w:r w:rsidRPr="001938E0">
        <w:rPr>
          <w:highlight w:val="yellow"/>
          <w:lang w:val="es-CO"/>
        </w:rPr>
        <w:t xml:space="preserve"> tal cosa con </w:t>
      </w:r>
      <w:proofErr w:type="spellStart"/>
      <w:r w:rsidRPr="001938E0">
        <w:rPr>
          <w:highlight w:val="yellow"/>
          <w:lang w:val="es-CO"/>
        </w:rPr>
        <w:t>downy</w:t>
      </w:r>
      <w:proofErr w:type="spellEnd"/>
      <w:r w:rsidRPr="001938E0">
        <w:rPr>
          <w:highlight w:val="yellow"/>
          <w:lang w:val="es-CO"/>
        </w:rPr>
        <w:t xml:space="preserve"> </w:t>
      </w:r>
      <w:proofErr w:type="spellStart"/>
      <w:r w:rsidRPr="001938E0">
        <w:rPr>
          <w:highlight w:val="yellow"/>
          <w:lang w:val="es-CO"/>
        </w:rPr>
        <w:t>prehatching</w:t>
      </w:r>
      <w:proofErr w:type="spellEnd"/>
      <w:r w:rsidRPr="001938E0">
        <w:rPr>
          <w:highlight w:val="yellow"/>
          <w:lang w:val="es-CO"/>
        </w:rPr>
        <w:t xml:space="preserve">…. Cuatro </w:t>
      </w:r>
      <w:proofErr w:type="spellStart"/>
      <w:r w:rsidRPr="001938E0">
        <w:rPr>
          <w:highlight w:val="yellow"/>
          <w:lang w:val="es-CO"/>
        </w:rPr>
        <w:t>dia</w:t>
      </w:r>
      <w:proofErr w:type="spellEnd"/>
      <w:r w:rsidRPr="001938E0">
        <w:rPr>
          <w:highlight w:val="yellow"/>
          <w:lang w:val="es-CO"/>
        </w:rPr>
        <w:t xml:space="preserve"> tal cosa, octavo </w:t>
      </w:r>
      <w:proofErr w:type="spellStart"/>
      <w:r w:rsidRPr="001938E0">
        <w:rPr>
          <w:highlight w:val="yellow"/>
          <w:lang w:val="es-CO"/>
        </w:rPr>
        <w:t>dia</w:t>
      </w:r>
      <w:proofErr w:type="spellEnd"/>
      <w:r w:rsidRPr="001938E0">
        <w:rPr>
          <w:highlight w:val="yellow"/>
          <w:lang w:val="es-CO"/>
        </w:rPr>
        <w:t xml:space="preserve"> tal cosa. En promedio el periodo de polluelos duro……</w:t>
      </w:r>
      <w:proofErr w:type="spellStart"/>
      <w:r w:rsidRPr="001938E0">
        <w:rPr>
          <w:highlight w:val="yellow"/>
          <w:lang w:val="es-CO"/>
        </w:rPr>
        <w:t>etc</w:t>
      </w:r>
      <w:proofErr w:type="spellEnd"/>
    </w:p>
    <w:p w14:paraId="6890AAF1" w14:textId="08CE1360" w:rsidR="00762D20" w:rsidRPr="009B6CDB" w:rsidRDefault="00F76E14" w:rsidP="00B00ACE">
      <w:pPr>
        <w:jc w:val="both"/>
        <w:rPr>
          <w:rFonts w:asciiTheme="minorHAnsi" w:hAnsiTheme="minorHAnsi" w:cstheme="minorHAnsi"/>
        </w:rPr>
      </w:pPr>
      <w:r w:rsidRPr="009B6CDB">
        <w:rPr>
          <w:rFonts w:asciiTheme="minorHAnsi" w:hAnsiTheme="minorHAnsi" w:cstheme="minorHAnsi"/>
        </w:rPr>
        <w:t>Nestling mass followed a shared sigmoidal increase across species, with modest differences in rate.</w:t>
      </w:r>
      <w:r w:rsidR="00B00ACE" w:rsidRPr="009B6CDB">
        <w:rPr>
          <w:rFonts w:asciiTheme="minorHAnsi" w:hAnsiTheme="minorHAnsi" w:cstheme="minorHAnsi"/>
        </w:rPr>
        <w:t xml:space="preserve"> T</w:t>
      </w:r>
      <w:r w:rsidR="00B00ACE" w:rsidRPr="009B6CDB">
        <w:rPr>
          <w:rFonts w:asciiTheme="minorHAnsi" w:hAnsiTheme="minorHAnsi" w:cstheme="minorHAnsi"/>
        </w:rPr>
        <w:t>he schedule of growth is strikingly similar</w:t>
      </w:r>
      <w:r w:rsidR="0015004B" w:rsidRPr="009B6CDB">
        <w:rPr>
          <w:rFonts w:asciiTheme="minorHAnsi" w:hAnsiTheme="minorHAnsi" w:cstheme="minorHAnsi"/>
        </w:rPr>
        <w:t xml:space="preserve"> (Table S2)</w:t>
      </w:r>
      <w:r w:rsidR="00B00ACE" w:rsidRPr="009B6CDB">
        <w:rPr>
          <w:rFonts w:asciiTheme="minorHAnsi" w:hAnsiTheme="minorHAnsi" w:cstheme="minorHAnsi"/>
        </w:rPr>
        <w:t xml:space="preserve">, peak mass accumulation occurs at 4–5 days post-hatching (logistic </w:t>
      </w:r>
      <w:r w:rsidR="00B00ACE" w:rsidRPr="009B6CDB">
        <w:rPr>
          <w:rFonts w:ascii="Cambria Math" w:hAnsi="Cambria Math" w:cs="Cambria Math"/>
        </w:rPr>
        <w:t>𝑇</w:t>
      </w:r>
      <w:r w:rsidR="009B6CDB" w:rsidRPr="009B6CDB">
        <w:rPr>
          <w:rFonts w:asciiTheme="minorHAnsi" w:hAnsiTheme="minorHAnsi" w:cstheme="minorHAnsi"/>
        </w:rPr>
        <w:t xml:space="preserve">; Figure </w:t>
      </w:r>
      <w:r w:rsidR="001A58C8">
        <w:rPr>
          <w:rFonts w:asciiTheme="minorHAnsi" w:hAnsiTheme="minorHAnsi" w:cstheme="minorHAnsi"/>
        </w:rPr>
        <w:t>4</w:t>
      </w:r>
      <w:r w:rsidR="00B00ACE" w:rsidRPr="009B6CDB">
        <w:rPr>
          <w:rFonts w:asciiTheme="minorHAnsi" w:hAnsiTheme="minorHAnsi" w:cstheme="minorHAnsi"/>
        </w:rPr>
        <w:t>).</w:t>
      </w:r>
      <w:r w:rsidRPr="009B6CDB">
        <w:rPr>
          <w:rFonts w:asciiTheme="minorHAnsi" w:hAnsiTheme="minorHAnsi" w:cstheme="minorHAnsi"/>
        </w:rPr>
        <w:t xml:space="preserve"> </w:t>
      </w:r>
      <w:r w:rsidRPr="009B6CDB">
        <w:rPr>
          <w:rFonts w:asciiTheme="minorHAnsi" w:hAnsiTheme="minorHAnsi" w:cstheme="minorHAnsi"/>
          <w:i/>
          <w:iCs/>
        </w:rPr>
        <w:t xml:space="preserve">M. </w:t>
      </w:r>
      <w:proofErr w:type="spellStart"/>
      <w:r w:rsidRPr="009B6CDB">
        <w:rPr>
          <w:rFonts w:asciiTheme="minorHAnsi" w:hAnsiTheme="minorHAnsi" w:cstheme="minorHAnsi"/>
          <w:i/>
          <w:iCs/>
        </w:rPr>
        <w:t>miniatus</w:t>
      </w:r>
      <w:proofErr w:type="spellEnd"/>
      <w:r w:rsidRPr="009B6CDB">
        <w:rPr>
          <w:rFonts w:asciiTheme="minorHAnsi" w:hAnsiTheme="minorHAnsi" w:cstheme="minorHAnsi"/>
        </w:rPr>
        <w:t xml:space="preserve"> showed the slowest </w:t>
      </w:r>
      <w:r w:rsidR="00B00ACE" w:rsidRPr="009B6CDB">
        <w:rPr>
          <w:rFonts w:asciiTheme="minorHAnsi" w:hAnsiTheme="minorHAnsi" w:cstheme="minorHAnsi"/>
        </w:rPr>
        <w:t xml:space="preserve">general </w:t>
      </w:r>
      <w:r w:rsidRPr="009B6CDB">
        <w:rPr>
          <w:rFonts w:asciiTheme="minorHAnsi" w:hAnsiTheme="minorHAnsi" w:cstheme="minorHAnsi"/>
        </w:rPr>
        <w:t xml:space="preserve">rise (best fit: Richards; AIC = −22.11, BIC = −5.47; logistic </w:t>
      </w:r>
      <w:r w:rsidRPr="009B6CDB">
        <w:rPr>
          <w:rFonts w:ascii="Cambria Math" w:hAnsi="Cambria Math" w:cs="Cambria Math"/>
        </w:rPr>
        <w:t>𝑘</w:t>
      </w:r>
      <w:r w:rsidRPr="009B6CDB">
        <w:rPr>
          <w:rFonts w:asciiTheme="minorHAnsi" w:hAnsiTheme="minorHAnsi" w:cstheme="minorHAnsi"/>
        </w:rPr>
        <w:t xml:space="preserve"> = 0.466, </w:t>
      </w:r>
      <w:r w:rsidRPr="009B6CDB">
        <w:rPr>
          <w:rFonts w:ascii="Cambria Math" w:hAnsi="Cambria Math" w:cs="Cambria Math"/>
        </w:rPr>
        <w:t>𝑇</w:t>
      </w:r>
      <w:r w:rsidRPr="009B6CDB">
        <w:rPr>
          <w:rFonts w:asciiTheme="minorHAnsi" w:hAnsiTheme="minorHAnsi" w:cstheme="minorHAnsi"/>
        </w:rPr>
        <w:t xml:space="preserve"> = 4.</w:t>
      </w:r>
      <w:r w:rsidR="00B00ACE" w:rsidRPr="009B6CDB">
        <w:rPr>
          <w:rFonts w:asciiTheme="minorHAnsi" w:hAnsiTheme="minorHAnsi" w:cstheme="minorHAnsi"/>
        </w:rPr>
        <w:t>4</w:t>
      </w:r>
      <w:r w:rsidR="005F28DE" w:rsidRPr="009B6CDB">
        <w:rPr>
          <w:rFonts w:asciiTheme="minorHAnsi" w:hAnsiTheme="minorHAnsi" w:cstheme="minorHAnsi"/>
        </w:rPr>
        <w:t xml:space="preserve"> day</w:t>
      </w:r>
      <w:r w:rsidR="009B6CDB" w:rsidRPr="009B6CDB">
        <w:rPr>
          <w:rFonts w:asciiTheme="minorHAnsi" w:hAnsiTheme="minorHAnsi" w:cstheme="minorHAnsi"/>
        </w:rPr>
        <w:t xml:space="preserve">; </w:t>
      </w:r>
      <w:r w:rsidR="009B6CDB" w:rsidRPr="009B6CDB">
        <w:rPr>
          <w:rFonts w:asciiTheme="minorHAnsi" w:hAnsiTheme="minorHAnsi" w:cstheme="minorHAnsi"/>
        </w:rPr>
        <w:t xml:space="preserve">Figure </w:t>
      </w:r>
      <w:r w:rsidR="001A58C8">
        <w:rPr>
          <w:rFonts w:asciiTheme="minorHAnsi" w:hAnsiTheme="minorHAnsi" w:cstheme="minorHAnsi"/>
        </w:rPr>
        <w:t>4</w:t>
      </w:r>
      <w:r w:rsidR="009B6CDB" w:rsidRPr="009B6CDB">
        <w:rPr>
          <w:rFonts w:asciiTheme="minorHAnsi" w:hAnsiTheme="minorHAnsi" w:cstheme="minorHAnsi"/>
        </w:rPr>
        <w:t>(a)</w:t>
      </w:r>
      <w:r w:rsidRPr="009B6CDB">
        <w:rPr>
          <w:rFonts w:asciiTheme="minorHAnsi" w:hAnsiTheme="minorHAnsi" w:cstheme="minorHAnsi"/>
        </w:rPr>
        <w:t xml:space="preserve">), whereas </w:t>
      </w:r>
      <w:r w:rsidRPr="009B6CDB">
        <w:rPr>
          <w:rFonts w:asciiTheme="minorHAnsi" w:hAnsiTheme="minorHAnsi" w:cstheme="minorHAnsi"/>
          <w:i/>
          <w:iCs/>
        </w:rPr>
        <w:t xml:space="preserve">M. </w:t>
      </w:r>
      <w:proofErr w:type="spellStart"/>
      <w:r w:rsidRPr="009B6CDB">
        <w:rPr>
          <w:rFonts w:asciiTheme="minorHAnsi" w:hAnsiTheme="minorHAnsi" w:cstheme="minorHAnsi"/>
          <w:i/>
          <w:iCs/>
        </w:rPr>
        <w:t>melanocephalus</w:t>
      </w:r>
      <w:proofErr w:type="spellEnd"/>
      <w:r w:rsidRPr="009B6CDB">
        <w:rPr>
          <w:rFonts w:asciiTheme="minorHAnsi" w:hAnsiTheme="minorHAnsi" w:cstheme="minorHAnsi"/>
        </w:rPr>
        <w:t xml:space="preserve"> was faster (best fit: logistic; </w:t>
      </w:r>
      <w:r w:rsidRPr="009B6CDB">
        <w:rPr>
          <w:rFonts w:ascii="Cambria Math" w:hAnsi="Cambria Math" w:cs="Cambria Math"/>
        </w:rPr>
        <w:t>𝑘</w:t>
      </w:r>
      <w:r w:rsidRPr="009B6CDB">
        <w:rPr>
          <w:rFonts w:asciiTheme="minorHAnsi" w:hAnsiTheme="minorHAnsi" w:cstheme="minorHAnsi"/>
        </w:rPr>
        <w:t xml:space="preserve"> = 0.647, </w:t>
      </w:r>
      <w:r w:rsidRPr="009B6CDB">
        <w:rPr>
          <w:rFonts w:ascii="Cambria Math" w:hAnsi="Cambria Math" w:cs="Cambria Math"/>
        </w:rPr>
        <w:t>𝑇</w:t>
      </w:r>
      <w:r w:rsidRPr="009B6CDB">
        <w:rPr>
          <w:rFonts w:asciiTheme="minorHAnsi" w:hAnsiTheme="minorHAnsi" w:cstheme="minorHAnsi"/>
        </w:rPr>
        <w:t xml:space="preserve"> = 3.</w:t>
      </w:r>
      <w:r w:rsidR="00B00ACE" w:rsidRPr="009B6CDB">
        <w:rPr>
          <w:rFonts w:asciiTheme="minorHAnsi" w:hAnsiTheme="minorHAnsi" w:cstheme="minorHAnsi"/>
        </w:rPr>
        <w:t>9</w:t>
      </w:r>
      <w:r w:rsidRPr="009B6CDB">
        <w:rPr>
          <w:rFonts w:asciiTheme="minorHAnsi" w:hAnsiTheme="minorHAnsi" w:cstheme="minorHAnsi"/>
        </w:rPr>
        <w:t xml:space="preserve"> </w:t>
      </w:r>
      <w:r w:rsidR="005F28DE" w:rsidRPr="009B6CDB">
        <w:rPr>
          <w:rFonts w:asciiTheme="minorHAnsi" w:hAnsiTheme="minorHAnsi" w:cstheme="minorHAnsi"/>
        </w:rPr>
        <w:t>day</w:t>
      </w:r>
      <w:r w:rsidR="009B6CDB">
        <w:rPr>
          <w:rFonts w:asciiTheme="minorHAnsi" w:hAnsiTheme="minorHAnsi" w:cstheme="minorHAnsi"/>
        </w:rPr>
        <w:t xml:space="preserve">; </w:t>
      </w:r>
      <w:r w:rsidR="009B6CDB" w:rsidRPr="009B6CDB">
        <w:rPr>
          <w:rFonts w:asciiTheme="minorHAnsi" w:hAnsiTheme="minorHAnsi" w:cstheme="minorHAnsi"/>
        </w:rPr>
        <w:t xml:space="preserve">Figure </w:t>
      </w:r>
      <w:r w:rsidR="001A58C8">
        <w:rPr>
          <w:rFonts w:asciiTheme="minorHAnsi" w:hAnsiTheme="minorHAnsi" w:cstheme="minorHAnsi"/>
        </w:rPr>
        <w:t>4</w:t>
      </w:r>
      <w:r w:rsidR="009B6CDB" w:rsidRPr="009B6CDB">
        <w:rPr>
          <w:rFonts w:asciiTheme="minorHAnsi" w:hAnsiTheme="minorHAnsi" w:cstheme="minorHAnsi"/>
        </w:rPr>
        <w:t>(</w:t>
      </w:r>
      <w:r w:rsidR="009B6CDB">
        <w:rPr>
          <w:rFonts w:asciiTheme="minorHAnsi" w:hAnsiTheme="minorHAnsi" w:cstheme="minorHAnsi"/>
        </w:rPr>
        <w:t>b</w:t>
      </w:r>
      <w:r w:rsidR="009B6CDB" w:rsidRPr="009B6CDB">
        <w:rPr>
          <w:rFonts w:asciiTheme="minorHAnsi" w:hAnsiTheme="minorHAnsi" w:cstheme="minorHAnsi"/>
        </w:rPr>
        <w:t>)</w:t>
      </w:r>
      <w:r w:rsidRPr="009B6CDB">
        <w:rPr>
          <w:rFonts w:asciiTheme="minorHAnsi" w:hAnsiTheme="minorHAnsi" w:cstheme="minorHAnsi"/>
        </w:rPr>
        <w:t xml:space="preserve">) and </w:t>
      </w:r>
      <w:r w:rsidRPr="009B6CDB">
        <w:rPr>
          <w:rFonts w:asciiTheme="minorHAnsi" w:hAnsiTheme="minorHAnsi" w:cstheme="minorHAnsi"/>
          <w:i/>
          <w:iCs/>
        </w:rPr>
        <w:t xml:space="preserve">M. </w:t>
      </w:r>
      <w:proofErr w:type="spellStart"/>
      <w:r w:rsidRPr="009B6CDB">
        <w:rPr>
          <w:rFonts w:asciiTheme="minorHAnsi" w:hAnsiTheme="minorHAnsi" w:cstheme="minorHAnsi"/>
          <w:i/>
          <w:iCs/>
        </w:rPr>
        <w:t>ornatus</w:t>
      </w:r>
      <w:proofErr w:type="spellEnd"/>
      <w:r w:rsidRPr="009B6CDB">
        <w:rPr>
          <w:rFonts w:asciiTheme="minorHAnsi" w:hAnsiTheme="minorHAnsi" w:cstheme="minorHAnsi"/>
        </w:rPr>
        <w:t xml:space="preserve"> was similarly fast (best fit: logistic </w:t>
      </w:r>
      <w:r w:rsidRPr="009B6CDB">
        <w:rPr>
          <w:rFonts w:ascii="Cambria Math" w:hAnsi="Cambria Math" w:cs="Cambria Math"/>
        </w:rPr>
        <w:t>𝑘</w:t>
      </w:r>
      <w:r w:rsidRPr="009B6CDB">
        <w:rPr>
          <w:rFonts w:asciiTheme="minorHAnsi" w:hAnsiTheme="minorHAnsi" w:cstheme="minorHAnsi"/>
        </w:rPr>
        <w:t xml:space="preserve"> = 0.609, </w:t>
      </w:r>
      <w:r w:rsidRPr="009B6CDB">
        <w:rPr>
          <w:rFonts w:ascii="Cambria Math" w:hAnsi="Cambria Math" w:cs="Cambria Math"/>
        </w:rPr>
        <w:t>𝑇</w:t>
      </w:r>
      <w:r w:rsidRPr="009B6CDB">
        <w:rPr>
          <w:rFonts w:asciiTheme="minorHAnsi" w:hAnsiTheme="minorHAnsi" w:cstheme="minorHAnsi"/>
        </w:rPr>
        <w:t xml:space="preserve"> = 4.7</w:t>
      </w:r>
      <w:r w:rsidR="005F28DE" w:rsidRPr="009B6CDB">
        <w:rPr>
          <w:rFonts w:asciiTheme="minorHAnsi" w:hAnsiTheme="minorHAnsi" w:cstheme="minorHAnsi"/>
        </w:rPr>
        <w:t xml:space="preserve"> day</w:t>
      </w:r>
      <w:r w:rsidR="009B6CDB">
        <w:rPr>
          <w:rFonts w:asciiTheme="minorHAnsi" w:hAnsiTheme="minorHAnsi" w:cstheme="minorHAnsi"/>
        </w:rPr>
        <w:t xml:space="preserve">; </w:t>
      </w:r>
      <w:r w:rsidR="009B6CDB" w:rsidRPr="009B6CDB">
        <w:rPr>
          <w:rFonts w:asciiTheme="minorHAnsi" w:hAnsiTheme="minorHAnsi" w:cstheme="minorHAnsi"/>
        </w:rPr>
        <w:t>Figure 2(</w:t>
      </w:r>
      <w:r w:rsidR="009B6CDB">
        <w:rPr>
          <w:rFonts w:asciiTheme="minorHAnsi" w:hAnsiTheme="minorHAnsi" w:cstheme="minorHAnsi"/>
        </w:rPr>
        <w:t>c</w:t>
      </w:r>
      <w:r w:rsidR="009B6CDB" w:rsidRPr="009B6CDB">
        <w:rPr>
          <w:rFonts w:asciiTheme="minorHAnsi" w:hAnsiTheme="minorHAnsi" w:cstheme="minorHAnsi"/>
        </w:rPr>
        <w:t>)</w:t>
      </w:r>
      <w:r w:rsidRPr="009B6CDB">
        <w:rPr>
          <w:rFonts w:asciiTheme="minorHAnsi" w:hAnsiTheme="minorHAnsi" w:cstheme="minorHAnsi"/>
        </w:rPr>
        <w:t>).</w:t>
      </w:r>
      <w:r w:rsidR="00762D20" w:rsidRPr="009B6CDB">
        <w:rPr>
          <w:rFonts w:asciiTheme="minorHAnsi" w:hAnsiTheme="minorHAnsi" w:cstheme="minorHAnsi"/>
        </w:rPr>
        <w:t xml:space="preserve"> </w:t>
      </w:r>
    </w:p>
    <w:p w14:paraId="75512436" w14:textId="0AE0C34E" w:rsidR="00444C6E" w:rsidRDefault="00B00ACE">
      <w:pPr>
        <w:jc w:val="both"/>
      </w:pPr>
      <w:r w:rsidRPr="00B00ACE">
        <w:t>For wing</w:t>
      </w:r>
      <w:r w:rsidR="0015004B">
        <w:t xml:space="preserve"> (</w:t>
      </w:r>
      <w:r w:rsidR="0015004B">
        <w:t>Table S</w:t>
      </w:r>
      <w:r w:rsidR="0015004B">
        <w:t>3)</w:t>
      </w:r>
      <w:r w:rsidRPr="00B00ACE">
        <w:t xml:space="preserve">, </w:t>
      </w:r>
      <w:r w:rsidRPr="00DE268F">
        <w:rPr>
          <w:i/>
          <w:iCs/>
        </w:rPr>
        <w:t xml:space="preserve">M. </w:t>
      </w:r>
      <w:proofErr w:type="spellStart"/>
      <w:r w:rsidRPr="00DE268F">
        <w:rPr>
          <w:i/>
          <w:iCs/>
        </w:rPr>
        <w:t>miniatus</w:t>
      </w:r>
      <w:proofErr w:type="spellEnd"/>
      <w:r w:rsidRPr="00B00ACE">
        <w:t xml:space="preserve"> was best described by a logistic curve (</w:t>
      </w:r>
      <w:r w:rsidRPr="00B00ACE">
        <w:rPr>
          <w:rFonts w:ascii="Cambria Math" w:hAnsi="Cambria Math" w:cs="Cambria Math"/>
        </w:rPr>
        <w:t>𝑘</w:t>
      </w:r>
      <w:r w:rsidRPr="00B00ACE">
        <w:t xml:space="preserve"> = 0.330, </w:t>
      </w:r>
      <w:r w:rsidRPr="00B00ACE">
        <w:rPr>
          <w:rFonts w:ascii="Cambria Math" w:hAnsi="Cambria Math" w:cs="Cambria Math"/>
        </w:rPr>
        <w:t>𝑇</w:t>
      </w:r>
      <w:r w:rsidRPr="00B00ACE">
        <w:t xml:space="preserve"> = 6.8 d</w:t>
      </w:r>
      <w:r w:rsidR="00DE268F">
        <w:t>ay</w:t>
      </w:r>
      <w:r w:rsidR="009B6CDB">
        <w:t xml:space="preserve">; </w:t>
      </w:r>
      <w:r w:rsidR="009B6CDB" w:rsidRPr="009B6CDB">
        <w:rPr>
          <w:rFonts w:asciiTheme="minorHAnsi" w:hAnsiTheme="minorHAnsi" w:cstheme="minorHAnsi"/>
        </w:rPr>
        <w:t xml:space="preserve">Figure </w:t>
      </w:r>
      <w:r w:rsidR="001A58C8">
        <w:rPr>
          <w:rFonts w:asciiTheme="minorHAnsi" w:hAnsiTheme="minorHAnsi" w:cstheme="minorHAnsi"/>
        </w:rPr>
        <w:t>4</w:t>
      </w:r>
      <w:r w:rsidR="009B6CDB" w:rsidRPr="009B6CDB">
        <w:rPr>
          <w:rFonts w:asciiTheme="minorHAnsi" w:hAnsiTheme="minorHAnsi" w:cstheme="minorHAnsi"/>
        </w:rPr>
        <w:t>(</w:t>
      </w:r>
      <w:r w:rsidR="009B6CDB">
        <w:rPr>
          <w:rFonts w:asciiTheme="minorHAnsi" w:hAnsiTheme="minorHAnsi" w:cstheme="minorHAnsi"/>
        </w:rPr>
        <w:t>a</w:t>
      </w:r>
      <w:r w:rsidR="009B6CDB" w:rsidRPr="009B6CDB">
        <w:rPr>
          <w:rFonts w:asciiTheme="minorHAnsi" w:hAnsiTheme="minorHAnsi" w:cstheme="minorHAnsi"/>
        </w:rPr>
        <w:t>)</w:t>
      </w:r>
      <w:r w:rsidRPr="00B00ACE">
        <w:t xml:space="preserve">). </w:t>
      </w:r>
      <w:r w:rsidRPr="00DE268F">
        <w:rPr>
          <w:i/>
          <w:iCs/>
        </w:rPr>
        <w:t xml:space="preserve">M. </w:t>
      </w:r>
      <w:proofErr w:type="spellStart"/>
      <w:r w:rsidRPr="00DE268F">
        <w:rPr>
          <w:i/>
          <w:iCs/>
        </w:rPr>
        <w:t>melanocephalus</w:t>
      </w:r>
      <w:proofErr w:type="spellEnd"/>
      <w:r w:rsidRPr="00B00ACE">
        <w:t xml:space="preserve"> favored </w:t>
      </w:r>
      <w:proofErr w:type="spellStart"/>
      <w:r w:rsidRPr="00B00ACE">
        <w:t>Gompertz</w:t>
      </w:r>
      <w:proofErr w:type="spellEnd"/>
      <w:r w:rsidRPr="00B00ACE">
        <w:t xml:space="preserve"> (AIC = 62.70, BIC = 66.10; logistic for comparison: </w:t>
      </w:r>
      <w:r w:rsidRPr="00B00ACE">
        <w:rPr>
          <w:rFonts w:ascii="Cambria Math" w:hAnsi="Cambria Math" w:cs="Cambria Math"/>
        </w:rPr>
        <w:t>𝑘</w:t>
      </w:r>
      <w:r w:rsidRPr="00B00ACE">
        <w:t xml:space="preserve"> = 0.34, </w:t>
      </w:r>
      <w:r w:rsidRPr="00B00ACE">
        <w:rPr>
          <w:rFonts w:ascii="Cambria Math" w:hAnsi="Cambria Math" w:cs="Cambria Math"/>
        </w:rPr>
        <w:t>𝑇</w:t>
      </w:r>
      <w:r w:rsidRPr="00B00ACE">
        <w:t xml:space="preserve"> = 7.1</w:t>
      </w:r>
      <w:r w:rsidR="00DE268F">
        <w:t xml:space="preserve"> </w:t>
      </w:r>
      <w:r w:rsidRPr="00B00ACE">
        <w:t>d</w:t>
      </w:r>
      <w:r w:rsidR="00DE268F">
        <w:t>ay</w:t>
      </w:r>
      <w:r w:rsidR="009B6CDB">
        <w:t xml:space="preserve">; </w:t>
      </w:r>
      <w:r w:rsidR="009B6CDB" w:rsidRPr="009B6CDB">
        <w:rPr>
          <w:rFonts w:asciiTheme="minorHAnsi" w:hAnsiTheme="minorHAnsi" w:cstheme="minorHAnsi"/>
        </w:rPr>
        <w:t>Figure</w:t>
      </w:r>
      <w:r w:rsidR="001A58C8">
        <w:rPr>
          <w:rFonts w:asciiTheme="minorHAnsi" w:hAnsiTheme="minorHAnsi" w:cstheme="minorHAnsi"/>
        </w:rPr>
        <w:t xml:space="preserve"> 4</w:t>
      </w:r>
      <w:r w:rsidR="009B6CDB" w:rsidRPr="009B6CDB">
        <w:rPr>
          <w:rFonts w:asciiTheme="minorHAnsi" w:hAnsiTheme="minorHAnsi" w:cstheme="minorHAnsi"/>
        </w:rPr>
        <w:t>(</w:t>
      </w:r>
      <w:r w:rsidR="009B6CDB">
        <w:rPr>
          <w:rFonts w:asciiTheme="minorHAnsi" w:hAnsiTheme="minorHAnsi" w:cstheme="minorHAnsi"/>
        </w:rPr>
        <w:t>b</w:t>
      </w:r>
      <w:r w:rsidR="009B6CDB" w:rsidRPr="009B6CDB">
        <w:rPr>
          <w:rFonts w:asciiTheme="minorHAnsi" w:hAnsiTheme="minorHAnsi" w:cstheme="minorHAnsi"/>
        </w:rPr>
        <w:t>)</w:t>
      </w:r>
      <w:r w:rsidRPr="00B00ACE">
        <w:t xml:space="preserve">). </w:t>
      </w:r>
      <w:r w:rsidRPr="00DE268F">
        <w:rPr>
          <w:i/>
          <w:iCs/>
        </w:rPr>
        <w:t xml:space="preserve">M. </w:t>
      </w:r>
      <w:proofErr w:type="spellStart"/>
      <w:r w:rsidRPr="00DE268F">
        <w:rPr>
          <w:i/>
          <w:iCs/>
        </w:rPr>
        <w:t>ornatus</w:t>
      </w:r>
      <w:proofErr w:type="spellEnd"/>
      <w:r w:rsidRPr="00B00ACE">
        <w:t xml:space="preserve"> showed a tie among logistic/</w:t>
      </w:r>
      <w:proofErr w:type="spellStart"/>
      <w:r w:rsidRPr="00B00ACE">
        <w:t>Gompertz</w:t>
      </w:r>
      <w:proofErr w:type="spellEnd"/>
      <w:r w:rsidRPr="00B00ACE">
        <w:t xml:space="preserve">/von </w:t>
      </w:r>
      <w:proofErr w:type="spellStart"/>
      <w:r w:rsidRPr="00B00ACE">
        <w:t>Bertalanffy</w:t>
      </w:r>
      <w:proofErr w:type="spellEnd"/>
      <w:r w:rsidRPr="00B00ACE">
        <w:t xml:space="preserve"> (ΔAIC ≈ 0; AIC = −11.95; logistic: </w:t>
      </w:r>
      <w:r w:rsidRPr="00B00ACE">
        <w:rPr>
          <w:rFonts w:ascii="Cambria Math" w:hAnsi="Cambria Math" w:cs="Cambria Math"/>
        </w:rPr>
        <w:t>𝑘</w:t>
      </w:r>
      <w:r w:rsidRPr="00B00ACE">
        <w:t xml:space="preserve"> = 0.45, </w:t>
      </w:r>
      <w:r w:rsidRPr="00B00ACE">
        <w:rPr>
          <w:rFonts w:ascii="Cambria Math" w:hAnsi="Cambria Math" w:cs="Cambria Math"/>
        </w:rPr>
        <w:t>𝑇</w:t>
      </w:r>
      <w:r w:rsidRPr="00B00ACE">
        <w:t xml:space="preserve"> = 6.</w:t>
      </w:r>
      <w:r w:rsidR="00DE268F">
        <w:t>6</w:t>
      </w:r>
      <w:r w:rsidRPr="00B00ACE">
        <w:t xml:space="preserve"> d</w:t>
      </w:r>
      <w:r w:rsidR="00DE268F">
        <w:t>ay</w:t>
      </w:r>
      <w:r w:rsidR="009B6CDB">
        <w:t xml:space="preserve">; </w:t>
      </w:r>
      <w:r w:rsidR="009B6CDB" w:rsidRPr="009B6CDB">
        <w:rPr>
          <w:rFonts w:asciiTheme="minorHAnsi" w:hAnsiTheme="minorHAnsi" w:cstheme="minorHAnsi"/>
        </w:rPr>
        <w:t xml:space="preserve">Figure </w:t>
      </w:r>
      <w:r w:rsidR="001A58C8">
        <w:rPr>
          <w:rFonts w:asciiTheme="minorHAnsi" w:hAnsiTheme="minorHAnsi" w:cstheme="minorHAnsi"/>
        </w:rPr>
        <w:t>4</w:t>
      </w:r>
      <w:r w:rsidR="009B6CDB" w:rsidRPr="009B6CDB">
        <w:rPr>
          <w:rFonts w:asciiTheme="minorHAnsi" w:hAnsiTheme="minorHAnsi" w:cstheme="minorHAnsi"/>
        </w:rPr>
        <w:t>(</w:t>
      </w:r>
      <w:r w:rsidR="009B6CDB">
        <w:rPr>
          <w:rFonts w:asciiTheme="minorHAnsi" w:hAnsiTheme="minorHAnsi" w:cstheme="minorHAnsi"/>
        </w:rPr>
        <w:t>d</w:t>
      </w:r>
      <w:r w:rsidR="009B6CDB" w:rsidRPr="009B6CDB">
        <w:rPr>
          <w:rFonts w:asciiTheme="minorHAnsi" w:hAnsiTheme="minorHAnsi" w:cstheme="minorHAnsi"/>
        </w:rPr>
        <w:t>)</w:t>
      </w:r>
      <w:r w:rsidRPr="00B00ACE">
        <w:t xml:space="preserve">). </w:t>
      </w:r>
      <w:r w:rsidR="00444C6E" w:rsidRPr="00444C6E">
        <w:t xml:space="preserve">Taken together, </w:t>
      </w:r>
      <w:proofErr w:type="spellStart"/>
      <w:r w:rsidR="00444C6E" w:rsidRPr="00444C6E">
        <w:rPr>
          <w:i/>
          <w:iCs/>
        </w:rPr>
        <w:t>ornatus</w:t>
      </w:r>
      <w:proofErr w:type="spellEnd"/>
      <w:r w:rsidR="00444C6E" w:rsidRPr="00444C6E">
        <w:t xml:space="preserve"> exhibits the fastest apparent wing elongation (highest logistic </w:t>
      </w:r>
      <w:r w:rsidR="00444C6E" w:rsidRPr="00444C6E">
        <w:rPr>
          <w:rFonts w:ascii="Cambria Math" w:hAnsi="Cambria Math" w:cs="Cambria Math"/>
        </w:rPr>
        <w:t>𝑘</w:t>
      </w:r>
      <w:r w:rsidR="00444C6E" w:rsidRPr="00444C6E">
        <w:t xml:space="preserve">), with </w:t>
      </w:r>
      <w:proofErr w:type="spellStart"/>
      <w:r w:rsidR="00444C6E" w:rsidRPr="00444C6E">
        <w:rPr>
          <w:i/>
          <w:iCs/>
        </w:rPr>
        <w:t>miniatus</w:t>
      </w:r>
      <w:proofErr w:type="spellEnd"/>
      <w:r w:rsidR="00444C6E" w:rsidRPr="00444C6E">
        <w:t xml:space="preserve"> and </w:t>
      </w:r>
      <w:proofErr w:type="spellStart"/>
      <w:r w:rsidR="00444C6E" w:rsidRPr="00444C6E">
        <w:rPr>
          <w:i/>
          <w:iCs/>
        </w:rPr>
        <w:t>melanocephalus</w:t>
      </w:r>
      <w:proofErr w:type="spellEnd"/>
      <w:r w:rsidR="00444C6E" w:rsidRPr="00444C6E">
        <w:t xml:space="preserve"> similar and slightly slower. </w:t>
      </w:r>
      <w:r w:rsidR="00444C6E">
        <w:t>T</w:t>
      </w:r>
      <w:r w:rsidR="00444C6E" w:rsidRPr="00444C6E">
        <w:t xml:space="preserve">he timing of peak wing growth (logistic </w:t>
      </w:r>
      <w:r w:rsidR="00444C6E" w:rsidRPr="00444C6E">
        <w:rPr>
          <w:rFonts w:ascii="Cambria Math" w:hAnsi="Cambria Math" w:cs="Cambria Math"/>
        </w:rPr>
        <w:t>𝑇</w:t>
      </w:r>
      <w:r w:rsidR="00444C6E" w:rsidRPr="00444C6E">
        <w:t>) clustered at 6–7 days post-hatching.</w:t>
      </w:r>
    </w:p>
    <w:p w14:paraId="59F1F31D" w14:textId="7A6FC0C2" w:rsidR="00B00ACE" w:rsidRDefault="00B00ACE">
      <w:pPr>
        <w:jc w:val="both"/>
      </w:pPr>
      <w:r w:rsidRPr="00B00ACE">
        <w:t xml:space="preserve"> For tarsus</w:t>
      </w:r>
      <w:r w:rsidR="0015004B">
        <w:t xml:space="preserve"> (</w:t>
      </w:r>
      <w:r w:rsidR="0015004B">
        <w:t>Table S</w:t>
      </w:r>
      <w:r w:rsidR="0015004B">
        <w:t>3)</w:t>
      </w:r>
      <w:r w:rsidRPr="00B00ACE">
        <w:t xml:space="preserve">, </w:t>
      </w:r>
      <w:r w:rsidRPr="00DE268F">
        <w:rPr>
          <w:i/>
          <w:iCs/>
        </w:rPr>
        <w:t xml:space="preserve">M. </w:t>
      </w:r>
      <w:proofErr w:type="spellStart"/>
      <w:r w:rsidRPr="00DE268F">
        <w:rPr>
          <w:i/>
          <w:iCs/>
        </w:rPr>
        <w:t>miniatus</w:t>
      </w:r>
      <w:proofErr w:type="spellEnd"/>
      <w:r w:rsidRPr="00B00ACE">
        <w:t xml:space="preserve"> was best fit by logistic (</w:t>
      </w:r>
      <w:r w:rsidRPr="00B00ACE">
        <w:rPr>
          <w:rFonts w:ascii="Cambria Math" w:hAnsi="Cambria Math" w:cs="Cambria Math"/>
        </w:rPr>
        <w:t>𝑘</w:t>
      </w:r>
      <w:r w:rsidRPr="00B00ACE">
        <w:t xml:space="preserve"> = 0.303, </w:t>
      </w:r>
      <w:r w:rsidRPr="00B00ACE">
        <w:rPr>
          <w:rFonts w:ascii="Cambria Math" w:hAnsi="Cambria Math" w:cs="Cambria Math"/>
        </w:rPr>
        <w:t>𝑇</w:t>
      </w:r>
      <w:r w:rsidRPr="00B00ACE">
        <w:t xml:space="preserve"> = 3.548 d</w:t>
      </w:r>
      <w:r w:rsidR="00DE268F">
        <w:t>ay</w:t>
      </w:r>
      <w:r w:rsidR="009B6CDB">
        <w:t xml:space="preserve">; </w:t>
      </w:r>
      <w:r w:rsidR="009B6CDB" w:rsidRPr="009B6CDB">
        <w:rPr>
          <w:rFonts w:asciiTheme="minorHAnsi" w:hAnsiTheme="minorHAnsi" w:cstheme="minorHAnsi"/>
        </w:rPr>
        <w:t>Figure</w:t>
      </w:r>
      <w:r w:rsidR="001A58C8">
        <w:rPr>
          <w:rFonts w:asciiTheme="minorHAnsi" w:hAnsiTheme="minorHAnsi" w:cstheme="minorHAnsi"/>
        </w:rPr>
        <w:t xml:space="preserve"> 4</w:t>
      </w:r>
      <w:r w:rsidR="009B6CDB" w:rsidRPr="009B6CDB">
        <w:rPr>
          <w:rFonts w:asciiTheme="minorHAnsi" w:hAnsiTheme="minorHAnsi" w:cstheme="minorHAnsi"/>
        </w:rPr>
        <w:t>(</w:t>
      </w:r>
      <w:r w:rsidR="009B6CDB">
        <w:rPr>
          <w:rFonts w:asciiTheme="minorHAnsi" w:hAnsiTheme="minorHAnsi" w:cstheme="minorHAnsi"/>
        </w:rPr>
        <w:t>a</w:t>
      </w:r>
      <w:r w:rsidR="009B6CDB" w:rsidRPr="009B6CDB">
        <w:rPr>
          <w:rFonts w:asciiTheme="minorHAnsi" w:hAnsiTheme="minorHAnsi" w:cstheme="minorHAnsi"/>
        </w:rPr>
        <w:t>)</w:t>
      </w:r>
      <w:r w:rsidRPr="00B00ACE">
        <w:t xml:space="preserve">). </w:t>
      </w:r>
      <w:r w:rsidRPr="00DE268F">
        <w:rPr>
          <w:i/>
          <w:iCs/>
        </w:rPr>
        <w:t xml:space="preserve">M. </w:t>
      </w:r>
      <w:proofErr w:type="spellStart"/>
      <w:r w:rsidRPr="00DE268F">
        <w:rPr>
          <w:i/>
          <w:iCs/>
        </w:rPr>
        <w:t>melanocephalus</w:t>
      </w:r>
      <w:proofErr w:type="spellEnd"/>
      <w:r w:rsidRPr="00B00ACE">
        <w:t xml:space="preserve"> slightly favored </w:t>
      </w:r>
      <w:proofErr w:type="spellStart"/>
      <w:r w:rsidRPr="00B00ACE">
        <w:t>Gompertz</w:t>
      </w:r>
      <w:proofErr w:type="spellEnd"/>
      <w:r w:rsidRPr="00B00ACE">
        <w:t xml:space="preserve"> (AIC = 25.22, BIC = 28.63; logistic for comparison: </w:t>
      </w:r>
      <w:r w:rsidRPr="00B00ACE">
        <w:rPr>
          <w:rFonts w:ascii="Cambria Math" w:hAnsi="Cambria Math" w:cs="Cambria Math"/>
        </w:rPr>
        <w:t>𝑘</w:t>
      </w:r>
      <w:r w:rsidRPr="00B00ACE">
        <w:t xml:space="preserve"> = 0.39, </w:t>
      </w:r>
      <w:r w:rsidRPr="00B00ACE">
        <w:rPr>
          <w:rFonts w:ascii="Cambria Math" w:hAnsi="Cambria Math" w:cs="Cambria Math"/>
        </w:rPr>
        <w:t>𝑇</w:t>
      </w:r>
      <w:r w:rsidRPr="00B00ACE">
        <w:t xml:space="preserve"> = 3.9 d</w:t>
      </w:r>
      <w:r w:rsidR="00DE268F">
        <w:t>ay</w:t>
      </w:r>
      <w:r w:rsidR="009B6CDB">
        <w:t xml:space="preserve">; </w:t>
      </w:r>
      <w:r w:rsidR="009B6CDB" w:rsidRPr="009B6CDB">
        <w:rPr>
          <w:rFonts w:asciiTheme="minorHAnsi" w:hAnsiTheme="minorHAnsi" w:cstheme="minorHAnsi"/>
        </w:rPr>
        <w:t xml:space="preserve">Figure </w:t>
      </w:r>
      <w:r w:rsidR="001A58C8">
        <w:rPr>
          <w:rFonts w:asciiTheme="minorHAnsi" w:hAnsiTheme="minorHAnsi" w:cstheme="minorHAnsi"/>
        </w:rPr>
        <w:t>4</w:t>
      </w:r>
      <w:r w:rsidR="009B6CDB" w:rsidRPr="009B6CDB">
        <w:rPr>
          <w:rFonts w:asciiTheme="minorHAnsi" w:hAnsiTheme="minorHAnsi" w:cstheme="minorHAnsi"/>
        </w:rPr>
        <w:t>(</w:t>
      </w:r>
      <w:r w:rsidR="009B6CDB">
        <w:rPr>
          <w:rFonts w:asciiTheme="minorHAnsi" w:hAnsiTheme="minorHAnsi" w:cstheme="minorHAnsi"/>
        </w:rPr>
        <w:t>b</w:t>
      </w:r>
      <w:r w:rsidR="009B6CDB" w:rsidRPr="009B6CDB">
        <w:rPr>
          <w:rFonts w:asciiTheme="minorHAnsi" w:hAnsiTheme="minorHAnsi" w:cstheme="minorHAnsi"/>
        </w:rPr>
        <w:t>)</w:t>
      </w:r>
      <w:r w:rsidRPr="00B00ACE">
        <w:t xml:space="preserve">). </w:t>
      </w:r>
      <w:r w:rsidRPr="00DE268F">
        <w:rPr>
          <w:i/>
          <w:iCs/>
        </w:rPr>
        <w:t xml:space="preserve">M. </w:t>
      </w:r>
      <w:proofErr w:type="spellStart"/>
      <w:r w:rsidRPr="00DE268F">
        <w:rPr>
          <w:i/>
          <w:iCs/>
        </w:rPr>
        <w:t>ornatus</w:t>
      </w:r>
      <w:proofErr w:type="spellEnd"/>
      <w:r w:rsidRPr="00B00ACE">
        <w:t xml:space="preserve"> again showed a tie (logistic/</w:t>
      </w:r>
      <w:proofErr w:type="spellStart"/>
      <w:r w:rsidRPr="00B00ACE">
        <w:t>Gompertz</w:t>
      </w:r>
      <w:proofErr w:type="spellEnd"/>
      <w:r w:rsidRPr="00B00ACE">
        <w:t xml:space="preserve">, ΔAIC ≈ 0; AIC = −6.40; logistic: </w:t>
      </w:r>
      <w:r w:rsidRPr="00B00ACE">
        <w:rPr>
          <w:rFonts w:ascii="Cambria Math" w:hAnsi="Cambria Math" w:cs="Cambria Math"/>
        </w:rPr>
        <w:t>𝑘</w:t>
      </w:r>
      <w:r w:rsidRPr="00B00ACE">
        <w:t xml:space="preserve"> = 0.16, </w:t>
      </w:r>
      <w:r w:rsidRPr="00B00ACE">
        <w:rPr>
          <w:rFonts w:ascii="Cambria Math" w:hAnsi="Cambria Math" w:cs="Cambria Math"/>
        </w:rPr>
        <w:t>𝑇</w:t>
      </w:r>
      <w:r w:rsidRPr="00B00ACE">
        <w:t xml:space="preserve"> = 11.9 d</w:t>
      </w:r>
      <w:r w:rsidR="00DE268F">
        <w:t>ay</w:t>
      </w:r>
      <w:r w:rsidR="009B6CDB">
        <w:t xml:space="preserve">; </w:t>
      </w:r>
      <w:r w:rsidR="009B6CDB" w:rsidRPr="009B6CDB">
        <w:rPr>
          <w:rFonts w:asciiTheme="minorHAnsi" w:hAnsiTheme="minorHAnsi" w:cstheme="minorHAnsi"/>
        </w:rPr>
        <w:t xml:space="preserve">Figure </w:t>
      </w:r>
      <w:r w:rsidR="001A58C8">
        <w:rPr>
          <w:rFonts w:asciiTheme="minorHAnsi" w:hAnsiTheme="minorHAnsi" w:cstheme="minorHAnsi"/>
        </w:rPr>
        <w:t>4</w:t>
      </w:r>
      <w:r w:rsidR="009B6CDB" w:rsidRPr="009B6CDB">
        <w:rPr>
          <w:rFonts w:asciiTheme="minorHAnsi" w:hAnsiTheme="minorHAnsi" w:cstheme="minorHAnsi"/>
        </w:rPr>
        <w:t>(</w:t>
      </w:r>
      <w:r w:rsidR="009B6CDB">
        <w:rPr>
          <w:rFonts w:asciiTheme="minorHAnsi" w:hAnsiTheme="minorHAnsi" w:cstheme="minorHAnsi"/>
        </w:rPr>
        <w:t>d</w:t>
      </w:r>
      <w:r w:rsidR="009B6CDB" w:rsidRPr="009B6CDB">
        <w:rPr>
          <w:rFonts w:asciiTheme="minorHAnsi" w:hAnsiTheme="minorHAnsi" w:cstheme="minorHAnsi"/>
        </w:rPr>
        <w:t>)</w:t>
      </w:r>
      <w:r w:rsidRPr="00B00ACE">
        <w:t xml:space="preserve">). Consistent with these rates, </w:t>
      </w:r>
      <w:proofErr w:type="spellStart"/>
      <w:r w:rsidRPr="00DE268F">
        <w:rPr>
          <w:i/>
          <w:iCs/>
        </w:rPr>
        <w:t>melanocephalus</w:t>
      </w:r>
      <w:proofErr w:type="spellEnd"/>
      <w:r w:rsidRPr="00B00ACE">
        <w:t xml:space="preserve"> displays the fastest tarsus </w:t>
      </w:r>
      <w:r w:rsidRPr="00B00ACE">
        <w:lastRenderedPageBreak/>
        <w:t xml:space="preserve">growth, </w:t>
      </w:r>
      <w:proofErr w:type="spellStart"/>
      <w:r w:rsidRPr="00DE268F">
        <w:rPr>
          <w:i/>
          <w:iCs/>
        </w:rPr>
        <w:t>miniatus</w:t>
      </w:r>
      <w:proofErr w:type="spellEnd"/>
      <w:r w:rsidRPr="00B00ACE">
        <w:t xml:space="preserve"> is intermediate, and </w:t>
      </w:r>
      <w:proofErr w:type="spellStart"/>
      <w:r w:rsidRPr="00DE268F">
        <w:rPr>
          <w:i/>
          <w:iCs/>
        </w:rPr>
        <w:t>ornatus</w:t>
      </w:r>
      <w:proofErr w:type="spellEnd"/>
      <w:r w:rsidRPr="00B00ACE">
        <w:t xml:space="preserve"> is slowest and markedly later in timing.</w:t>
      </w:r>
      <w:r w:rsidR="00444C6E" w:rsidRPr="00444C6E">
        <w:t xml:space="preserve"> </w:t>
      </w:r>
      <w:r w:rsidR="00444C6E">
        <w:t>P</w:t>
      </w:r>
      <w:r w:rsidR="00444C6E">
        <w:t xml:space="preserve">eak tarsus growth (logistic </w:t>
      </w:r>
      <w:r w:rsidR="00444C6E">
        <w:rPr>
          <w:rStyle w:val="katex-mathml"/>
        </w:rPr>
        <w:t>T</w:t>
      </w:r>
      <w:r w:rsidR="00444C6E">
        <w:t xml:space="preserve">) occurred early (3.5–4.0 days) in </w:t>
      </w:r>
      <w:proofErr w:type="spellStart"/>
      <w:r w:rsidR="00444C6E">
        <w:rPr>
          <w:rStyle w:val="Emphasis"/>
        </w:rPr>
        <w:t>miniatus</w:t>
      </w:r>
      <w:proofErr w:type="spellEnd"/>
      <w:r w:rsidR="00444C6E">
        <w:t xml:space="preserve"> and </w:t>
      </w:r>
      <w:proofErr w:type="spellStart"/>
      <w:r w:rsidR="00444C6E">
        <w:rPr>
          <w:rStyle w:val="Emphasis"/>
        </w:rPr>
        <w:t>melanocephalus</w:t>
      </w:r>
      <w:proofErr w:type="spellEnd"/>
      <w:r w:rsidR="00444C6E">
        <w:t xml:space="preserve">, but was delayed to ~12 days in </w:t>
      </w:r>
      <w:proofErr w:type="spellStart"/>
      <w:r w:rsidR="00444C6E">
        <w:rPr>
          <w:rStyle w:val="Emphasis"/>
        </w:rPr>
        <w:t>ornatus</w:t>
      </w:r>
      <w:proofErr w:type="spellEnd"/>
      <w:r w:rsidR="00444C6E">
        <w:t>.</w:t>
      </w:r>
    </w:p>
    <w:p w14:paraId="669BCBC8" w14:textId="77777777" w:rsidR="005121C8" w:rsidRDefault="001938E0">
      <w:pPr>
        <w:pStyle w:val="Heading1"/>
      </w:pPr>
      <w:r>
        <w:t>Discussion</w:t>
      </w:r>
    </w:p>
    <w:p w14:paraId="01E5989E" w14:textId="77777777" w:rsidR="005121C8" w:rsidRDefault="005121C8"/>
    <w:p w14:paraId="601C9A85" w14:textId="77777777" w:rsidR="005121C8" w:rsidRDefault="005121C8"/>
    <w:p w14:paraId="4460D834" w14:textId="77777777" w:rsidR="005121C8" w:rsidRDefault="005121C8"/>
    <w:p w14:paraId="52532558" w14:textId="77777777" w:rsidR="005121C8" w:rsidRDefault="001938E0">
      <w:pPr>
        <w:pStyle w:val="Heading1"/>
      </w:pPr>
      <w:r>
        <w:t>Funding</w:t>
      </w:r>
    </w:p>
    <w:p w14:paraId="5ACC94BB" w14:textId="77777777" w:rsidR="005121C8" w:rsidRDefault="001938E0">
      <w:r>
        <w:t>Field work</w:t>
      </w:r>
      <w:r>
        <w:t xml:space="preserve"> was supported by the National Science Foundation [Grant number DEB-1120682​].</w:t>
      </w:r>
    </w:p>
    <w:p w14:paraId="7572BC1F" w14:textId="77777777" w:rsidR="005121C8" w:rsidRDefault="001938E0">
      <w:pPr>
        <w:pStyle w:val="Heading1"/>
      </w:pPr>
      <w:r>
        <w:t>Acknowledgements</w:t>
      </w:r>
    </w:p>
    <w:p w14:paraId="4DA7EA92" w14:textId="77777777" w:rsidR="005121C8" w:rsidRDefault="005121C8"/>
    <w:p w14:paraId="3DDEBFE0" w14:textId="77777777" w:rsidR="005121C8" w:rsidRDefault="005121C8"/>
    <w:p w14:paraId="2573D03D" w14:textId="77777777" w:rsidR="005121C8" w:rsidRDefault="001938E0">
      <w:pPr>
        <w:pStyle w:val="Heading1"/>
      </w:pPr>
      <w:r>
        <w:t>References</w:t>
      </w:r>
    </w:p>
    <w:p w14:paraId="67088229" w14:textId="77777777" w:rsidR="005121C8" w:rsidRDefault="005121C8"/>
    <w:p w14:paraId="4C763C1B" w14:textId="77777777" w:rsidR="005121C8" w:rsidRDefault="001938E0">
      <w:pPr>
        <w:pStyle w:val="Heading1"/>
      </w:pPr>
      <w:r>
        <w:t>Figure Legend</w:t>
      </w:r>
    </w:p>
    <w:p w14:paraId="6EECB026" w14:textId="77777777" w:rsidR="005121C8" w:rsidRDefault="005121C8"/>
    <w:p w14:paraId="092E8191" w14:textId="04044322" w:rsidR="005121C8" w:rsidRDefault="001938E0">
      <w:pPr>
        <w:jc w:val="both"/>
      </w:pPr>
      <w:r>
        <w:t xml:space="preserve">Figure 3. </w:t>
      </w:r>
      <w:r w:rsidR="001A58C8">
        <w:t>Behavioral</w:t>
      </w:r>
      <w:r>
        <w:t xml:space="preserve">–morphological clustering of incubation strategies in </w:t>
      </w:r>
      <w:proofErr w:type="spellStart"/>
      <w:r>
        <w:rPr>
          <w:i/>
        </w:rPr>
        <w:t>Myioborus</w:t>
      </w:r>
      <w:proofErr w:type="spellEnd"/>
      <w:r>
        <w:t xml:space="preserve"> species. Principal Component Analysis (PCA) ba</w:t>
      </w:r>
      <w:r>
        <w:t xml:space="preserve">sed on incubation </w:t>
      </w:r>
      <w:r w:rsidR="001A58C8">
        <w:t>behavior</w:t>
      </w:r>
      <w:r>
        <w:t>, ambient temperature, elevation, and egg morphological traits with group partitioning based on K-means clustering applied to the first five principal components (explaining 82.0% of total variance). The optimal number of cluster</w:t>
      </w:r>
      <w:r>
        <w:t>s (k = 2) was selected using silhouette score maximization. Cluster 1 (green) and Cluster 2 (purple) represent two distinct incubation strategies, differing in nest attentiveness, diurnal bout structure, and nocturnal incubation duration (Table S2). Cluste</w:t>
      </w:r>
      <w:r>
        <w:t xml:space="preserve">r centroids are shown as X symbols. Species identity was significantly associated with cluster membership (χ² = 18.51, p &lt; 0.001) driven by the restricted distribution of M. </w:t>
      </w:r>
      <w:proofErr w:type="spellStart"/>
      <w:r>
        <w:t>melanocephalus</w:t>
      </w:r>
      <w:proofErr w:type="spellEnd"/>
      <w:r>
        <w:t xml:space="preserve"> (mostly in Cluster 2) and M. </w:t>
      </w:r>
      <w:proofErr w:type="spellStart"/>
      <w:r>
        <w:t>ornatus</w:t>
      </w:r>
      <w:proofErr w:type="spellEnd"/>
      <w:r>
        <w:t xml:space="preserve"> (mostly in Cluster 1). Neverth</w:t>
      </w:r>
      <w:r>
        <w:t xml:space="preserve">eless, </w:t>
      </w:r>
      <w:r>
        <w:rPr>
          <w:i/>
        </w:rPr>
        <w:t xml:space="preserve">M. </w:t>
      </w:r>
      <w:proofErr w:type="spellStart"/>
      <w:r>
        <w:rPr>
          <w:i/>
        </w:rPr>
        <w:t>miniatus</w:t>
      </w:r>
      <w:proofErr w:type="spellEnd"/>
      <w:r>
        <w:t xml:space="preserve"> is distributed across both clusters, highlighting </w:t>
      </w:r>
      <w:r w:rsidR="001A58C8">
        <w:t>behavioral</w:t>
      </w:r>
      <w:r>
        <w:t xml:space="preserve"> divergence within species. Shapes represent species identity, circles (</w:t>
      </w:r>
      <w:r>
        <w:rPr>
          <w:i/>
        </w:rPr>
        <w:t xml:space="preserve">M. </w:t>
      </w:r>
      <w:proofErr w:type="spellStart"/>
      <w:r>
        <w:rPr>
          <w:i/>
        </w:rPr>
        <w:t>melanocephalus</w:t>
      </w:r>
      <w:proofErr w:type="spellEnd"/>
      <w:r>
        <w:t>), squares (</w:t>
      </w:r>
      <w:r>
        <w:rPr>
          <w:i/>
        </w:rPr>
        <w:t xml:space="preserve">M. </w:t>
      </w:r>
      <w:proofErr w:type="spellStart"/>
      <w:r>
        <w:rPr>
          <w:i/>
        </w:rPr>
        <w:t>miniatus</w:t>
      </w:r>
      <w:proofErr w:type="spellEnd"/>
      <w:r>
        <w:t>), and diamonds (</w:t>
      </w:r>
      <w:r>
        <w:rPr>
          <w:i/>
        </w:rPr>
        <w:t xml:space="preserve">M. </w:t>
      </w:r>
      <w:proofErr w:type="spellStart"/>
      <w:r>
        <w:rPr>
          <w:i/>
        </w:rPr>
        <w:t>ornatus</w:t>
      </w:r>
      <w:proofErr w:type="spellEnd"/>
      <w:r>
        <w:t xml:space="preserve">). </w:t>
      </w:r>
      <w:r w:rsidR="001A58C8">
        <w:t>Watercolor</w:t>
      </w:r>
      <w:r>
        <w:t xml:space="preserve"> illustrations by Jorge</w:t>
      </w:r>
      <w:r>
        <w:t xml:space="preserve"> Lizarazo.</w:t>
      </w:r>
    </w:p>
    <w:p w14:paraId="32901F75" w14:textId="60D27023" w:rsidR="00EF3CB5" w:rsidRDefault="00EF3CB5" w:rsidP="00EF3CB5">
      <w:pPr>
        <w:jc w:val="both"/>
      </w:pPr>
      <w:r>
        <w:t xml:space="preserve">Figure 4. </w:t>
      </w:r>
      <w:r>
        <w:t xml:space="preserve">Nestling growth in three </w:t>
      </w:r>
      <w:proofErr w:type="spellStart"/>
      <w:r w:rsidRPr="00EF3CB5">
        <w:rPr>
          <w:i/>
          <w:iCs/>
        </w:rPr>
        <w:t>Myioborus</w:t>
      </w:r>
      <w:proofErr w:type="spellEnd"/>
      <w:r>
        <w:t xml:space="preserve"> </w:t>
      </w:r>
      <w:r>
        <w:t xml:space="preserve">species. </w:t>
      </w:r>
      <w:r>
        <w:t xml:space="preserve">Panels show body mass (left column) and appendage growth (right column) as a function of days post-hatching for (a) </w:t>
      </w:r>
      <w:r w:rsidRPr="00EF3CB5">
        <w:rPr>
          <w:i/>
          <w:iCs/>
        </w:rPr>
        <w:t xml:space="preserve">M. </w:t>
      </w:r>
      <w:proofErr w:type="spellStart"/>
      <w:r w:rsidRPr="00EF3CB5">
        <w:rPr>
          <w:i/>
          <w:iCs/>
        </w:rPr>
        <w:t>miniatus</w:t>
      </w:r>
      <w:proofErr w:type="spellEnd"/>
      <w:r>
        <w:t xml:space="preserve">, (b) </w:t>
      </w:r>
      <w:r w:rsidRPr="00EF3CB5">
        <w:rPr>
          <w:i/>
          <w:iCs/>
        </w:rPr>
        <w:t xml:space="preserve">M. </w:t>
      </w:r>
      <w:proofErr w:type="spellStart"/>
      <w:r w:rsidRPr="00EF3CB5">
        <w:rPr>
          <w:i/>
          <w:iCs/>
        </w:rPr>
        <w:t>melanocephalus</w:t>
      </w:r>
      <w:proofErr w:type="spellEnd"/>
      <w:r>
        <w:t xml:space="preserve">, and (c) </w:t>
      </w:r>
      <w:r w:rsidRPr="00EF3CB5">
        <w:rPr>
          <w:i/>
          <w:iCs/>
        </w:rPr>
        <w:t xml:space="preserve">M. </w:t>
      </w:r>
      <w:proofErr w:type="spellStart"/>
      <w:r w:rsidRPr="00EF3CB5">
        <w:rPr>
          <w:i/>
          <w:iCs/>
        </w:rPr>
        <w:t>ornatus</w:t>
      </w:r>
      <w:proofErr w:type="spellEnd"/>
      <w:r>
        <w:t xml:space="preserve">. </w:t>
      </w:r>
      <w:r>
        <w:t>P</w:t>
      </w:r>
      <w:r>
        <w:t>oints are individual observations</w:t>
      </w:r>
      <w:r>
        <w:t xml:space="preserve"> and</w:t>
      </w:r>
      <w:r>
        <w:t xml:space="preserve"> the solid line</w:t>
      </w:r>
      <w:r>
        <w:t>s</w:t>
      </w:r>
      <w:r>
        <w:t xml:space="preserve"> </w:t>
      </w:r>
      <w:r>
        <w:t>are</w:t>
      </w:r>
      <w:r>
        <w:t xml:space="preserve"> the best-fit trend for that species. Model fits follow the best model per species × trait (AIC/BIC</w:t>
      </w:r>
      <w:r>
        <w:t>; Table S2, S3, S4</w:t>
      </w:r>
      <w:r>
        <w:t>)</w:t>
      </w:r>
      <w:r>
        <w:t>.</w:t>
      </w:r>
    </w:p>
    <w:p w14:paraId="582D508C" w14:textId="77777777" w:rsidR="005121C8" w:rsidRDefault="001938E0">
      <w:r>
        <w:rPr>
          <w:noProof/>
        </w:rPr>
        <w:lastRenderedPageBreak/>
        <w:drawing>
          <wp:inline distT="0" distB="0" distL="0" distR="0" wp14:anchorId="0DA2157A" wp14:editId="1E1E92E8">
            <wp:extent cx="5943600" cy="428434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4284345"/>
                    </a:xfrm>
                    <a:prstGeom prst="rect">
                      <a:avLst/>
                    </a:prstGeom>
                    <a:ln/>
                  </pic:spPr>
                </pic:pic>
              </a:graphicData>
            </a:graphic>
          </wp:inline>
        </w:drawing>
      </w:r>
    </w:p>
    <w:p w14:paraId="5D77DF87" w14:textId="77777777" w:rsidR="005121C8" w:rsidRDefault="005121C8"/>
    <w:p w14:paraId="5AC7219F" w14:textId="77777777" w:rsidR="005121C8" w:rsidRDefault="005121C8"/>
    <w:p w14:paraId="2461B9F7" w14:textId="77777777" w:rsidR="005121C8" w:rsidRDefault="005121C8"/>
    <w:p w14:paraId="5427ED1B" w14:textId="77777777" w:rsidR="005121C8" w:rsidRDefault="005121C8"/>
    <w:p w14:paraId="1ABFFD60" w14:textId="77777777" w:rsidR="005121C8" w:rsidRDefault="005121C8"/>
    <w:p w14:paraId="52681A2D" w14:textId="77777777" w:rsidR="005121C8" w:rsidRDefault="005121C8"/>
    <w:p w14:paraId="7EC10311" w14:textId="77777777" w:rsidR="005121C8" w:rsidRDefault="005121C8"/>
    <w:p w14:paraId="4D9F9165" w14:textId="75EA0724" w:rsidR="005121C8" w:rsidRDefault="0015004B">
      <w:r>
        <w:rPr>
          <w:noProof/>
        </w:rPr>
        <w:lastRenderedPageBreak/>
        <w:drawing>
          <wp:inline distT="0" distB="0" distL="0" distR="0" wp14:anchorId="6D3AFEB6" wp14:editId="7340BC91">
            <wp:extent cx="5943600" cy="560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602605"/>
                    </a:xfrm>
                    <a:prstGeom prst="rect">
                      <a:avLst/>
                    </a:prstGeom>
                    <a:noFill/>
                    <a:ln>
                      <a:noFill/>
                    </a:ln>
                  </pic:spPr>
                </pic:pic>
              </a:graphicData>
            </a:graphic>
          </wp:inline>
        </w:drawing>
      </w:r>
    </w:p>
    <w:p w14:paraId="7D99B105" w14:textId="77777777" w:rsidR="005121C8" w:rsidRDefault="005121C8"/>
    <w:p w14:paraId="0C290B26" w14:textId="77777777" w:rsidR="005121C8" w:rsidRDefault="005121C8"/>
    <w:p w14:paraId="1D9D6DE0" w14:textId="77777777" w:rsidR="005121C8" w:rsidRDefault="005121C8"/>
    <w:p w14:paraId="3B8CDF46" w14:textId="77777777" w:rsidR="005121C8" w:rsidRDefault="005121C8"/>
    <w:p w14:paraId="265E6369" w14:textId="77777777" w:rsidR="005121C8" w:rsidRDefault="005121C8"/>
    <w:p w14:paraId="0E188AF7" w14:textId="77777777" w:rsidR="005121C8" w:rsidRDefault="005121C8"/>
    <w:p w14:paraId="5E97D4B5" w14:textId="77777777" w:rsidR="005121C8" w:rsidRDefault="005121C8"/>
    <w:p w14:paraId="01C81FB0" w14:textId="77777777" w:rsidR="005121C8" w:rsidRDefault="005121C8"/>
    <w:p w14:paraId="7574670B" w14:textId="77777777" w:rsidR="005121C8" w:rsidRDefault="005121C8"/>
    <w:sectPr w:rsidR="005121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Quattrocento Sans">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C8"/>
    <w:rsid w:val="0010546D"/>
    <w:rsid w:val="0015004B"/>
    <w:rsid w:val="00163FCF"/>
    <w:rsid w:val="001938E0"/>
    <w:rsid w:val="001A58C8"/>
    <w:rsid w:val="0033671B"/>
    <w:rsid w:val="00444C6E"/>
    <w:rsid w:val="005121C8"/>
    <w:rsid w:val="005E2493"/>
    <w:rsid w:val="005F28DE"/>
    <w:rsid w:val="00706705"/>
    <w:rsid w:val="00762D20"/>
    <w:rsid w:val="00810AB1"/>
    <w:rsid w:val="00936EE4"/>
    <w:rsid w:val="009B6CDB"/>
    <w:rsid w:val="00B00ACE"/>
    <w:rsid w:val="00B262FD"/>
    <w:rsid w:val="00DE268F"/>
    <w:rsid w:val="00EA7173"/>
    <w:rsid w:val="00EF3CB5"/>
    <w:rsid w:val="00F311D0"/>
    <w:rsid w:val="00F7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AB7B"/>
  <w15:docId w15:val="{B80F3CC2-5D4A-4D17-8295-E5604024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063E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063EC"/>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8063EC"/>
    <w:rPr>
      <w:rFonts w:asciiTheme="majorHAnsi" w:eastAsiaTheme="majorEastAsia" w:hAnsiTheme="majorHAnsi" w:cstheme="majorBidi"/>
      <w:color w:val="1F3763" w:themeColor="accent1" w:themeShade="7F"/>
      <w:sz w:val="24"/>
      <w:szCs w:val="24"/>
      <w:lang w:val="en-GB"/>
    </w:rPr>
  </w:style>
  <w:style w:type="character" w:styleId="Emphasis">
    <w:name w:val="Emphasis"/>
    <w:basedOn w:val="DefaultParagraphFont"/>
    <w:uiPriority w:val="20"/>
    <w:qFormat/>
    <w:rsid w:val="0071370E"/>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63FCF"/>
    <w:rPr>
      <w:rFonts w:ascii="Courier New" w:eastAsia="Times New Roman" w:hAnsi="Courier New" w:cs="Courier New"/>
      <w:sz w:val="20"/>
      <w:szCs w:val="20"/>
    </w:rPr>
  </w:style>
  <w:style w:type="character" w:customStyle="1" w:styleId="mord">
    <w:name w:val="mord"/>
    <w:basedOn w:val="DefaultParagraphFont"/>
    <w:rsid w:val="0010546D"/>
  </w:style>
  <w:style w:type="character" w:customStyle="1" w:styleId="katex-mathml">
    <w:name w:val="katex-mathml"/>
    <w:basedOn w:val="DefaultParagraphFont"/>
    <w:rsid w:val="0010546D"/>
  </w:style>
  <w:style w:type="character" w:styleId="Strong">
    <w:name w:val="Strong"/>
    <w:basedOn w:val="DefaultParagraphFont"/>
    <w:uiPriority w:val="22"/>
    <w:qFormat/>
    <w:rsid w:val="00F76E14"/>
    <w:rPr>
      <w:b/>
      <w:bCs/>
    </w:rPr>
  </w:style>
  <w:style w:type="character" w:customStyle="1" w:styleId="mrel">
    <w:name w:val="mrel"/>
    <w:basedOn w:val="DefaultParagraphFont"/>
    <w:rsid w:val="00F7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04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wwiL9caaxWj7eDAl/VpFaC2nGQ==">CgMxLjA4AHIhMVJqQUF6U1NaakdRaTNZVWlwU2RNMlRIS21hSFNoMDlz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Eduardo Lizarazo Borrero</dc:creator>
  <cp:lastModifiedBy>Jorge Eduardo Lizarazo Borrero</cp:lastModifiedBy>
  <cp:revision>13</cp:revision>
  <dcterms:created xsi:type="dcterms:W3CDTF">2025-07-20T22:11:00Z</dcterms:created>
  <dcterms:modified xsi:type="dcterms:W3CDTF">2025-10-07T17:35:00Z</dcterms:modified>
</cp:coreProperties>
</file>