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Pergunta de Negócio Orientadora no Desenvolvimento dos Modelos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É sabido que produtividade (ou seja, o quanto se produz de riqueza numa região a partir da população economicamente ativa), trata-se de um indicador (proxy) importante para compreender a capacidade de geração de riqueza de cada trabalhador empregado. Fatores como educação, maior emprego de tecnologia no trabalho, capital estrutural, cultura de trabalho, entre outros fatores podem influenciar diretamente na capacidade de uma região gerar riqueza.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Dentro deste cenário e considerando os dados que possuem à disposição neste dataset, quais fatores estruturais dos municípios mais influenciam no ganho de produtividade dos trabalhadores?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