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0"/>
      </w:pPr>
      <w:r>
        <w:rPr>
          <w:b/>
          <w:color w:val="2A78D6"/>
          <w:sz w:val="26"/>
        </w:rPr>
        <w:t>TECH CHALLENGE · FASE 2</w:t>
      </w:r>
    </w:p>
    <w:p>
      <w:pPr>
        <w:spacing w:after="40"/>
      </w:pPr>
      <w:r>
        <w:rPr>
          <w:b/>
          <w:color w:val="1F3A5F"/>
          <w:sz w:val="56"/>
        </w:rPr>
        <w:t>Olist Intelligent Marketplace</w:t>
      </w:r>
    </w:p>
    <w:p>
      <w:pPr>
        <w:spacing w:after="520"/>
      </w:pPr>
      <w:r>
        <w:rPr>
          <w:color w:val="52514E"/>
          <w:sz w:val="32"/>
        </w:rPr>
        <w:t>Do diagnóstico à operação: como os agentes de IA vão funcionar na Olist</w:t>
      </w:r>
    </w:p>
    <w:p>
      <w:r>
        <w:rPr>
          <w:b/>
          <w:sz w:val="22"/>
        </w:rPr>
        <w:t>Relatório Executivo · evolução do relatório da Fase 1</w:t>
      </w:r>
    </w:p>
    <w:p>
      <w:r>
        <w:rPr>
          <w:sz w:val="20"/>
        </w:rPr>
        <w:t>Pós-graduação em IA Agêntica · FIAP</w:t>
      </w:r>
    </w:p>
    <w:p>
      <w:r>
        <w:rPr>
          <w:sz w:val="20"/>
        </w:rPr>
        <w:t>Base: Brazilian E-Commerce Public Dataset by Olist (2016–2018) · 99.441 pedidos · R$ 16 milhões</w:t>
      </w:r>
    </w:p>
    <w:p>
      <w:pPr>
        <w:spacing w:after="520"/>
      </w:pPr>
      <w:r>
        <w:rPr>
          <w:color w:val="52514E"/>
          <w:sz w:val="20"/>
        </w:rPr>
        <w:t>Versão rascunho para revisão do grupo · 27 de outubro de 2026</w:t>
      </w:r>
    </w:p>
    <w:p>
      <w:pPr>
        <w:spacing w:after="40"/>
      </w:pPr>
      <w:r>
        <w:rPr>
          <w:b/>
          <w:sz w:val="20"/>
        </w:rPr>
        <w:t>Equipe</w:t>
      </w:r>
    </w:p>
    <w:p>
      <w:pPr>
        <w:spacing w:after="20"/>
      </w:pPr>
      <w:r>
        <w:rPr>
          <w:sz w:val="18"/>
        </w:rPr>
        <w:t>Leonardo Granjeiro · lgranjeiro@bol.com.br</w:t>
      </w:r>
    </w:p>
    <w:p>
      <w:pPr>
        <w:spacing w:after="20"/>
      </w:pPr>
      <w:r>
        <w:rPr>
          <w:sz w:val="18"/>
        </w:rPr>
        <w:t>Jorge Leandro Piva · jorgelpiva@gmail.com</w:t>
      </w:r>
    </w:p>
    <w:p>
      <w:pPr>
        <w:spacing w:after="20"/>
      </w:pPr>
      <w:r>
        <w:rPr>
          <w:sz w:val="18"/>
        </w:rPr>
        <w:t>Caio Sousa · caio.rios.sousa@gmail.com</w:t>
      </w:r>
    </w:p>
    <w:p>
      <w:pPr>
        <w:spacing w:after="20"/>
      </w:pPr>
      <w:r>
        <w:rPr>
          <w:sz w:val="18"/>
        </w:rPr>
        <w:t>Lucas Vinicius Oliveira Mendes · lucasviniciusom@gmail.com</w:t>
      </w:r>
    </w:p>
    <w:p>
      <w:pPr>
        <w:spacing w:after="40" w:before="440"/>
      </w:pPr>
      <w:r>
        <w:rPr>
          <w:b/>
          <w:sz w:val="20"/>
        </w:rPr>
        <w:t>Pergunta da Fase 2</w:t>
      </w:r>
    </w:p>
    <w:p>
      <w:r>
        <w:rPr>
          <w:color w:val="1F3A5F"/>
          <w:sz w:val="24"/>
        </w:rPr>
        <w:t>“Como os agentes de IA irão interagir com usuários, dados e processos da Olist para gerar valor real ao negócio?”</w:t>
      </w:r>
    </w:p>
    <w:p>
      <w:pPr>
        <w:spacing w:after="20" w:before="360"/>
      </w:pPr>
      <w:r>
        <w:rPr>
          <w:b/>
          <w:sz w:val="18"/>
        </w:rPr>
        <w:t xml:space="preserve">Vídeo executivo (Fase 2): </w:t>
      </w:r>
      <w:r>
        <w:rPr>
          <w:sz w:val="18"/>
        </w:rPr>
        <w:t>[link do vídeo pendente]</w:t>
      </w:r>
    </w:p>
    <w:p>
      <w:pPr>
        <w:spacing w:after="20"/>
      </w:pPr>
      <w:r>
        <w:rPr>
          <w:b/>
          <w:sz w:val="18"/>
        </w:rPr>
        <w:t xml:space="preserve">Repositório: </w:t>
      </w:r>
      <w:hyperlink r:id="rId11">
        <w:r>
          <w:rPr>
            <w:color w:val="2A78D6"/>
            <w:u w:val="single"/>
            <w:sz w:val="18"/>
          </w:rPr>
          <w:t xml:space="preserve">https://github.com/jorgelpiva/tech-challenge-fiap-agentes-ia</w:t>
        </w:r>
      </w:hyperlink>
    </w:p>
    <w:p>
      <w:r>
        <w:br w:type="page"/>
      </w:r>
    </w:p>
    <w:p>
      <w:pPr>
        <w:pStyle w:val="Heading1"/>
      </w:pPr>
      <w:r>
        <w:t>1. Sumário Executivo</w:t>
      </w:r>
    </w:p>
    <w:p>
      <w:r>
        <w:t xml:space="preserve">Na Fase 1, mostramos </w:t>
      </w:r>
      <w:r>
        <w:rPr>
          <w:b/>
        </w:rPr>
        <w:t>onde</w:t>
      </w:r>
      <w:r>
        <w:t xml:space="preserve"> a Olist perde valor. A Fase 2 responde à pergunta da diretoria: </w:t>
      </w:r>
      <w:r>
        <w:rPr>
          <w:b/>
        </w:rPr>
        <w:t>como os agentes de IA vão interagir com usuários, dados e processos para gerar valor real?</w:t>
      </w:r>
    </w:p>
    <w:p>
      <w:r>
        <w:t xml:space="preserve">A resposta parte de uma constatação dos dados. Os problemas de experiência, reputação e recorrência </w:t>
      </w:r>
      <w:r>
        <w:rPr>
          <w:b/>
        </w:rPr>
        <w:t>nascem no mesmo lugar: a jornada do pedido</w:t>
      </w:r>
      <w:r>
        <w:t xml:space="preserve">. Quando o pedido atrasa, </w:t>
      </w:r>
      <w:r>
        <w:rPr>
          <w:b/>
        </w:rPr>
        <w:t>54%</w:t>
      </w:r>
      <w:r>
        <w:t xml:space="preserve"> dos clientes dão nota 1 ou 2, contra </w:t>
      </w:r>
      <w:r>
        <w:rPr>
          <w:b/>
        </w:rPr>
        <w:t>9%</w:t>
      </w:r>
      <w:r>
        <w:t xml:space="preserve"> quando chega no prazo. </w:t>
      </w:r>
      <w:r>
        <w:rPr>
          <w:b/>
        </w:rPr>
        <w:t>Um quarto</w:t>
      </w:r>
      <w:r>
        <w:t xml:space="preserve"> dos atrasos (27%) começa antes da transportadora, com o seller postando depois do limite. E quem teve a primeira compra atrasada volta menos (1,56% contra 2,13%).</w:t>
      </w:r>
    </w:p>
    <w:p>
      <w:r>
        <w:t xml:space="preserve">Por isso, </w:t>
      </w:r>
      <w:r>
        <w:rPr>
          <w:b/>
        </w:rPr>
        <w:t>concentramos a iniciativa em três agentes especializados</w:t>
      </w:r>
      <w:r>
        <w:t xml:space="preserve"> que atuam em sequência na jornada do pedido, em vez dos seis propostos na Fase 1: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C9CED6"/>
          <w:left w:val="single" w:sz="4" w:color="C9CED6"/>
          <w:bottom w:val="single" w:sz="4" w:color="C9CED6"/>
          <w:right w:val="single" w:sz="4" w:color="C9CED6"/>
          <w:insideH w:val="single" w:sz="4" w:color="C9CED6"/>
          <w:insideV w:val="single" w:sz="4" w:color="C9CED6"/>
        </w:tblBorders>
        <w:tblCellMar>
          <w:top w:w="68" w:type="dxa"/>
          <w:bottom w:w="68" w:type="dxa"/>
          <w:left w:w="68" w:type="dxa"/>
          <w:right w:w="68" w:type="dxa"/>
        </w:tblCellMar>
      </w:tblPr>
      <w:tblGrid>
        <w:gridCol w:w="2040"/>
        <w:gridCol w:w="2040"/>
        <w:gridCol w:w="2040"/>
        <w:gridCol w:w="2040"/>
        <w:gridCol w:w="2040"/>
      </w:tblGrid>
      <w:tr>
        <w:trPr>
          <w:tblHeader w:val="true"/>
          <w:cantSplit w:val="true"/>
        </w:trPr>
        <w:tc>
          <w:tcPr>
            <w:tcW w:type="dxa" w:w="1965"/>
            <w:shd w:val="clear" w:color="auto" w:fill="E8EEF7"/>
          </w:tcPr>
          <w:p>
            <w:pPr>
              <w:spacing w:after="0" w:line="240" w:lineRule="auto"/>
            </w:pPr>
            <w:r/>
            <w:r>
              <w:rPr>
                <w:b/>
                <w:color w:val="1F3A5F"/>
                <w:sz w:val="15"/>
              </w:rPr>
              <w:t>Agente</w:t>
            </w:r>
          </w:p>
        </w:tc>
        <w:tc>
          <w:tcPr>
            <w:tcW w:type="dxa" w:w="2466"/>
            <w:shd w:val="clear" w:color="auto" w:fill="E8EEF7"/>
          </w:tcPr>
          <w:p>
            <w:pPr>
              <w:spacing w:after="0" w:line="240" w:lineRule="auto"/>
            </w:pPr>
            <w:r/>
            <w:r>
              <w:rPr>
                <w:b/>
                <w:color w:val="1F3A5F"/>
                <w:sz w:val="15"/>
              </w:rPr>
              <w:t>Papel único na operação</w:t>
            </w:r>
          </w:p>
        </w:tc>
        <w:tc>
          <w:tcPr>
            <w:tcW w:type="dxa" w:w="1756"/>
            <w:shd w:val="clear" w:color="auto" w:fill="E8EEF7"/>
          </w:tcPr>
          <w:p>
            <w:pPr>
              <w:spacing w:after="0" w:line="240" w:lineRule="auto"/>
            </w:pPr>
            <w:r/>
            <w:r>
              <w:rPr>
                <w:b/>
                <w:color w:val="1F3A5F"/>
                <w:sz w:val="15"/>
              </w:rPr>
              <w:t>Gatilho</w:t>
            </w:r>
          </w:p>
        </w:tc>
        <w:tc>
          <w:tcPr>
            <w:tcW w:type="dxa" w:w="2299"/>
            <w:shd w:val="clear" w:color="auto" w:fill="E8EEF7"/>
          </w:tcPr>
          <w:p>
            <w:pPr>
              <w:spacing w:after="0" w:line="240" w:lineRule="auto"/>
            </w:pPr>
            <w:r/>
            <w:r>
              <w:rPr>
                <w:b/>
                <w:color w:val="1F3A5F"/>
                <w:sz w:val="15"/>
              </w:rPr>
              <w:t>Humano decide quando…</w:t>
            </w:r>
          </w:p>
        </w:tc>
        <w:tc>
          <w:tcPr>
            <w:tcW w:type="dxa" w:w="1714"/>
            <w:shd w:val="clear" w:color="auto" w:fill="E8EEF7"/>
          </w:tcPr>
          <w:p>
            <w:pPr>
              <w:spacing w:after="0" w:line="240" w:lineRule="auto"/>
            </w:pPr>
            <w:r/>
            <w:r>
              <w:rPr>
                <w:b/>
                <w:color w:val="1F3A5F"/>
                <w:sz w:val="15"/>
              </w:rPr>
              <w:t>KPI principal</w:t>
            </w:r>
          </w:p>
        </w:tc>
      </w:tr>
      <w:tr>
        <w:trPr>
          <w:cantSplit w:val="true"/>
        </w:trPr>
        <w:tc>
          <w:tcPr>
            <w:tcW w:type="dxa" w:w="1965"/>
          </w:tcPr>
          <w:p>
            <w:pPr>
              <w:spacing w:after="0" w:line="240" w:lineRule="auto"/>
            </w:pPr>
            <w:r/>
            <w:r>
              <w:rPr>
                <w:b/>
                <w:sz w:val="15"/>
              </w:rPr>
              <w:t>LogiPredict</w:t>
            </w:r>
            <w:r>
              <w:rPr>
                <w:sz w:val="15"/>
              </w:rPr>
              <w:t xml:space="preserve"> · Guardião do Prazo</w:t>
            </w:r>
          </w:p>
        </w:tc>
        <w:tc>
          <w:tcPr>
            <w:tcW w:type="dxa" w:w="2466"/>
          </w:tcPr>
          <w:p>
            <w:pPr>
              <w:spacing w:after="0" w:line="240" w:lineRule="auto"/>
            </w:pPr>
            <w:r/>
            <w:r>
              <w:rPr>
                <w:sz w:val="15"/>
              </w:rPr>
              <w:t>Detectar o risco de atraso e agir antes do vencimento</w:t>
            </w:r>
          </w:p>
        </w:tc>
        <w:tc>
          <w:tcPr>
            <w:tcW w:type="dxa" w:w="1756"/>
          </w:tcPr>
          <w:p>
            <w:pPr>
              <w:spacing w:after="0" w:line="240" w:lineRule="auto"/>
            </w:pPr>
            <w:r/>
            <w:r>
              <w:rPr>
                <w:sz w:val="15"/>
              </w:rPr>
              <w:t>Limite de postagem, postagem, D-3 do prazo</w:t>
            </w:r>
          </w:p>
        </w:tc>
        <w:tc>
          <w:tcPr>
            <w:tcW w:type="dxa" w:w="2299"/>
          </w:tcPr>
          <w:p>
            <w:pPr>
              <w:spacing w:after="0" w:line="240" w:lineRule="auto"/>
            </w:pPr>
            <w:r/>
            <w:r>
              <w:rPr>
                <w:sz w:val="15"/>
              </w:rPr>
              <w:t>Risco alto exige tratativa com a transportadora</w:t>
            </w:r>
          </w:p>
        </w:tc>
        <w:tc>
          <w:tcPr>
            <w:tcW w:type="dxa" w:w="1714"/>
          </w:tcPr>
          <w:p>
            <w:pPr>
              <w:spacing w:after="0" w:line="240" w:lineRule="auto"/>
            </w:pPr>
            <w:r/>
            <w:r>
              <w:rPr>
                <w:sz w:val="15"/>
              </w:rPr>
              <w:t>Taxa de atraso (8,11%)</w:t>
            </w:r>
          </w:p>
        </w:tc>
      </w:tr>
      <w:tr>
        <w:trPr>
          <w:cantSplit w:val="true"/>
        </w:trPr>
        <w:tc>
          <w:tcPr>
            <w:tcW w:type="dxa" w:w="1965"/>
          </w:tcPr>
          <w:p>
            <w:pPr>
              <w:spacing w:after="0" w:line="240" w:lineRule="auto"/>
            </w:pPr>
            <w:r/>
            <w:r>
              <w:rPr>
                <w:b/>
                <w:sz w:val="15"/>
              </w:rPr>
              <w:t>SentimentDesk</w:t>
            </w:r>
            <w:r>
              <w:rPr>
                <w:sz w:val="15"/>
              </w:rPr>
              <w:t xml:space="preserve"> · Triagem de Avaliações Negativas</w:t>
            </w:r>
          </w:p>
        </w:tc>
        <w:tc>
          <w:tcPr>
            <w:tcW w:type="dxa" w:w="2466"/>
          </w:tcPr>
          <w:p>
            <w:pPr>
              <w:spacing w:after="0" w:line="240" w:lineRule="auto"/>
            </w:pPr>
            <w:r/>
            <w:r>
              <w:rPr>
                <w:sz w:val="15"/>
              </w:rPr>
              <w:t>Classificar o motivo, responder e rotear cada avaliação 1–3</w:t>
            </w:r>
          </w:p>
        </w:tc>
        <w:tc>
          <w:tcPr>
            <w:tcW w:type="dxa" w:w="1756"/>
          </w:tcPr>
          <w:p>
            <w:pPr>
              <w:spacing w:after="0" w:line="240" w:lineRule="auto"/>
            </w:pPr>
            <w:r/>
            <w:r>
              <w:rPr>
                <w:sz w:val="15"/>
              </w:rPr>
              <w:t>Avaliação publicada</w:t>
            </w:r>
          </w:p>
        </w:tc>
        <w:tc>
          <w:tcPr>
            <w:tcW w:type="dxa" w:w="2299"/>
          </w:tcPr>
          <w:p>
            <w:pPr>
              <w:spacing w:after="0" w:line="240" w:lineRule="auto"/>
            </w:pPr>
            <w:r/>
            <w:r>
              <w:rPr>
                <w:sz w:val="15"/>
              </w:rPr>
              <w:t>O caso é crítico, a confiança é baixa ou há compensação</w:t>
            </w:r>
          </w:p>
        </w:tc>
        <w:tc>
          <w:tcPr>
            <w:tcW w:type="dxa" w:w="1714"/>
          </w:tcPr>
          <w:p>
            <w:pPr>
              <w:spacing w:after="0" w:line="240" w:lineRule="auto"/>
            </w:pPr>
            <w:r/>
            <w:r>
              <w:rPr>
                <w:sz w:val="15"/>
              </w:rPr>
              <w:t>Tempo até a 1ª resposta</w:t>
            </w:r>
          </w:p>
        </w:tc>
      </w:tr>
      <w:tr>
        <w:trPr>
          <w:cantSplit w:val="true"/>
        </w:trPr>
        <w:tc>
          <w:tcPr>
            <w:tcW w:type="dxa" w:w="1965"/>
          </w:tcPr>
          <w:p>
            <w:pPr>
              <w:spacing w:after="0" w:line="240" w:lineRule="auto"/>
            </w:pPr>
            <w:r/>
            <w:r>
              <w:rPr>
                <w:b/>
                <w:sz w:val="15"/>
              </w:rPr>
              <w:t>WinBack</w:t>
            </w:r>
            <w:r>
              <w:rPr>
                <w:sz w:val="15"/>
              </w:rPr>
              <w:t xml:space="preserve"> · Segunda Compra</w:t>
            </w:r>
          </w:p>
        </w:tc>
        <w:tc>
          <w:tcPr>
            <w:tcW w:type="dxa" w:w="2466"/>
          </w:tcPr>
          <w:p>
            <w:pPr>
              <w:spacing w:after="0" w:line="240" w:lineRule="auto"/>
            </w:pPr>
            <w:r/>
            <w:r>
              <w:rPr>
                <w:sz w:val="15"/>
              </w:rPr>
              <w:t>Converter a 1ª compra em 2ª dentro da janela de 90 dias</w:t>
            </w:r>
          </w:p>
        </w:tc>
        <w:tc>
          <w:tcPr>
            <w:tcW w:type="dxa" w:w="1756"/>
          </w:tcPr>
          <w:p>
            <w:pPr>
              <w:spacing w:after="0" w:line="240" w:lineRule="auto"/>
            </w:pPr>
            <w:r/>
            <w:r>
              <w:rPr>
                <w:sz w:val="15"/>
              </w:rPr>
              <w:t>D+7 após a 1ª entrega</w:t>
            </w:r>
          </w:p>
        </w:tc>
        <w:tc>
          <w:tcPr>
            <w:tcW w:type="dxa" w:w="2299"/>
          </w:tcPr>
          <w:p>
            <w:pPr>
              <w:spacing w:after="0" w:line="240" w:lineRule="auto"/>
            </w:pPr>
            <w:r/>
            <w:r>
              <w:rPr>
                <w:sz w:val="15"/>
              </w:rPr>
              <w:t>O incentivo passa do teto de 10%</w:t>
            </w:r>
          </w:p>
        </w:tc>
        <w:tc>
          <w:tcPr>
            <w:tcW w:type="dxa" w:w="1714"/>
          </w:tcPr>
          <w:p>
            <w:pPr>
              <w:spacing w:after="0" w:line="240" w:lineRule="auto"/>
            </w:pPr>
            <w:r/>
            <w:r>
              <w:rPr>
                <w:sz w:val="15"/>
              </w:rPr>
              <w:t>Conversão em 2ª compra (1,13% em 90 dias)</w:t>
            </w:r>
          </w:p>
        </w:tc>
      </w:tr>
    </w:tbl>
    <w:p>
      <w:pPr>
        <w:spacing w:after="40"/>
      </w:pPr>
    </w:p>
    <w:p>
      <w:r>
        <w:rPr>
          <w:b/>
        </w:rPr>
        <w:t>Valor esperado no cenário base (12 meses, na escala do dataset):</w:t>
      </w:r>
      <w:r>
        <w:t xml:space="preserve"> 670 atrasos evitados e cerca de 300 avaliações 1–2 a menos (LogiPredict); 1.229 horas de triagem poupadas, ou R$ 55 mil (SentimentDesk); 358 segundas compras adicionais, ou R$ 53 mil de receita (WinBack). As premissas são conservadoras e estão explícitas na Seção 9.</w:t>
      </w:r>
    </w:p>
    <w:p>
      <w:r>
        <w:rPr>
          <w:b/>
        </w:rPr>
        <w:t>Recomendação:</w:t>
      </w:r>
      <w:r>
        <w:t xml:space="preserve"> aprovar um </w:t>
      </w:r>
      <w:r>
        <w:rPr>
          <w:b/>
        </w:rPr>
        <w:t>piloto de 90 dias da Wave 1 (LogiPredict + SentimentDesk)</w:t>
      </w:r>
      <w:r>
        <w:t>. Os dois agentes usam dados que a Olist já possui, decidem dentro de casa e têm efeito mensurável em semanas. O WinBack entra na Wave 2, quando opt-in e grupo controle estiverem prontos.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F2C6AE"/>
          <w:left w:val="single" w:sz="4" w:color="F2C6AE"/>
          <w:bottom w:val="single" w:sz="4" w:color="F2C6AE"/>
          <w:right w:val="single" w:sz="4" w:color="F2C6AE"/>
          <w:insideH w:val="single" w:sz="4" w:color="F2C6AE"/>
          <w:insideV w:val="single" w:sz="4" w:color="F2C6AE"/>
        </w:tblBorders>
        <w:tblCellMar>
          <w:top w:w="113" w:type="dxa"/>
          <w:bottom w:w="113" w:type="dxa"/>
          <w:left w:w="113" w:type="dxa"/>
          <w:right w:w="113" w:type="dxa"/>
        </w:tblCellMar>
      </w:tblPr>
      <w:tblGrid>
        <w:gridCol w:w="10200"/>
      </w:tblGrid>
      <w:tr>
        <w:tc>
          <w:tcPr>
            <w:tcW w:type="dxa" w:w="10199"/>
            <w:shd w:val="clear" w:color="auto" w:fill="FDF3EC"/>
          </w:tcPr>
          <w:p>
            <w:pPr>
              <w:spacing w:after="60" w:line="240" w:lineRule="auto"/>
            </w:pPr>
            <w:r/>
            <w:r>
              <w:rPr>
                <w:b/>
                <w:sz w:val="19"/>
              </w:rPr>
              <w:t>Links:</w:t>
            </w:r>
            <w:r>
              <w:rPr>
                <w:sz w:val="19"/>
              </w:rPr>
              <w:t xml:space="preserve"> vídeo executivo da Fase 2: [link do vídeo pendente] · repositório: </w:t>
            </w:r>
            <w:hyperlink r:id="rId11">
              <w:r>
                <w:rPr>
                  <w:color w:val="2A78D6"/>
                  <w:u w:val="single"/>
                  <w:sz w:val="19"/>
                </w:rPr>
                <w:t xml:space="preserve">https://github.com/jorgelpiva/tech-challenge-fiap-agentes-ia</w:t>
              </w:r>
            </w:hyperlink>
            <w:r>
              <w:rPr>
                <w:sz w:val="19"/>
              </w:rPr>
              <w:t xml:space="preserve"> · vídeo da Fase 1: </w:t>
            </w:r>
            <w:hyperlink r:id="rId12">
              <w:r>
                <w:rPr>
                  <w:color w:val="2A78D6"/>
                  <w:u w:val="single"/>
                  <w:sz w:val="19"/>
                </w:rPr>
                <w:t xml:space="preserve">https://drive.google.com/file/d/1t1Yk40IJMqkFO4Q3YDFspaHaz7X0K7UJ/view?usp=sharing</w:t>
              </w:r>
            </w:hyperlink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2. Evolução do Projeto: da Fase 1 para a Fase 2</w:t>
      </w:r>
    </w:p>
    <w:p>
      <w:pPr>
        <w:pStyle w:val="Heading2"/>
      </w:pPr>
      <w:r>
        <w:t>2.1 O que mantivemos</w:t>
      </w:r>
    </w:p>
    <w:p>
      <w:r>
        <w:t>A base analítica da Fase 1 continua válida: 99.441 pedidos, sete frentes de análise (EDA, RFM, clusterização, correlações, testes de hipótese, análise geoespacial e NLP) e as quatro fricções do diagnóstico (retenção, logística, experiência e sellers). Os nomes dos agentes também foram mantidos, para preservar a rastreabilidade.</w:t>
      </w:r>
    </w:p>
    <w:p>
      <w:pPr>
        <w:pStyle w:val="Heading2"/>
      </w:pPr>
      <w:r>
        <w:t>2.2 O que aprendemos com a avaliação da Fase 1 e como respondemos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C9CED6"/>
          <w:left w:val="single" w:sz="4" w:color="C9CED6"/>
          <w:bottom w:val="single" w:sz="4" w:color="C9CED6"/>
          <w:right w:val="single" w:sz="4" w:color="C9CED6"/>
          <w:insideH w:val="single" w:sz="4" w:color="C9CED6"/>
          <w:insideV w:val="single" w:sz="4" w:color="C9CED6"/>
        </w:tblBorders>
        <w:tblCellMar>
          <w:top w:w="68" w:type="dxa"/>
          <w:bottom w:w="68" w:type="dxa"/>
          <w:left w:w="68" w:type="dxa"/>
          <w:right w:w="68" w:type="dxa"/>
        </w:tblCellMar>
      </w:tblPr>
      <w:tblGrid>
        <w:gridCol w:w="3400"/>
        <w:gridCol w:w="3400"/>
        <w:gridCol w:w="3400"/>
      </w:tblGrid>
      <w:tr>
        <w:trPr>
          <w:tblHeader w:val="true"/>
          <w:cantSplit w:val="true"/>
        </w:trPr>
        <w:tc>
          <w:tcPr>
            <w:tcW w:type="dxa" w:w="4223"/>
            <w:shd w:val="clear" w:color="auto" w:fill="E8EEF7"/>
          </w:tcPr>
          <w:p>
            <w:pPr>
              <w:spacing w:after="0" w:line="240" w:lineRule="auto"/>
            </w:pPr>
            <w:r/>
            <w:r>
              <w:rPr>
                <w:b/>
                <w:color w:val="1F3A5F"/>
                <w:sz w:val="17"/>
              </w:rPr>
              <w:t>Ponto da avaliação</w:t>
            </w:r>
          </w:p>
        </w:tc>
        <w:tc>
          <w:tcPr>
            <w:tcW w:type="dxa" w:w="4781"/>
            <w:shd w:val="clear" w:color="auto" w:fill="E8EEF7"/>
          </w:tcPr>
          <w:p>
            <w:pPr>
              <w:spacing w:after="0" w:line="240" w:lineRule="auto"/>
            </w:pPr>
            <w:r/>
            <w:r>
              <w:rPr>
                <w:b/>
                <w:color w:val="1F3A5F"/>
                <w:sz w:val="17"/>
              </w:rPr>
              <w:t>O que fizemos na Fase 2</w:t>
            </w:r>
          </w:p>
        </w:tc>
        <w:tc>
          <w:tcPr>
            <w:tcW w:type="dxa" w:w="1195"/>
            <w:shd w:val="clear" w:color="auto" w:fill="E8EEF7"/>
          </w:tcPr>
          <w:p>
            <w:pPr>
              <w:spacing w:after="0" w:line="240" w:lineRule="auto"/>
            </w:pPr>
            <w:r/>
            <w:r>
              <w:rPr>
                <w:b/>
                <w:color w:val="1F3A5F"/>
                <w:sz w:val="17"/>
              </w:rPr>
              <w:t>Onde ver</w:t>
            </w:r>
          </w:p>
        </w:tc>
      </w:tr>
      <w:tr>
        <w:trPr>
          <w:cantSplit w:val="true"/>
        </w:trPr>
        <w:tc>
          <w:tcPr>
            <w:tcW w:type="dxa" w:w="4223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Detalhar o racional de onde partiram os achados</w:t>
            </w:r>
          </w:p>
        </w:tc>
        <w:tc>
          <w:tcPr>
            <w:tcW w:type="dxa" w:w="4781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 xml:space="preserve">Cada achado agora segue uma </w:t>
            </w:r>
            <w:r>
              <w:rPr>
                <w:b/>
                <w:sz w:val="17"/>
              </w:rPr>
              <w:t>cadeia de evidência</w:t>
            </w:r>
            <w:r>
              <w:rPr>
                <w:sz w:val="17"/>
              </w:rPr>
              <w:t>: pergunta → tabela/coluna → método → resultado → decisão de desenho</w:t>
            </w:r>
          </w:p>
        </w:tc>
        <w:tc>
          <w:tcPr>
            <w:tcW w:type="dxa" w:w="1195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Seção 3</w:t>
            </w:r>
          </w:p>
        </w:tc>
      </w:tr>
      <w:tr>
        <w:trPr>
          <w:cantSplit w:val="true"/>
        </w:trPr>
        <w:tc>
          <w:tcPr>
            <w:tcW w:type="dxa" w:w="4223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Ações dos agentes muito amplas, sem especialização</w:t>
            </w:r>
          </w:p>
        </w:tc>
        <w:tc>
          <w:tcPr>
            <w:tcW w:type="dxa" w:w="4781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 xml:space="preserve">Cada agente tem </w:t>
            </w:r>
            <w:r>
              <w:rPr>
                <w:b/>
                <w:sz w:val="17"/>
              </w:rPr>
              <w:t>um objetivo</w:t>
            </w:r>
            <w:r>
              <w:rPr>
                <w:sz w:val="17"/>
              </w:rPr>
              <w:t xml:space="preserve">, </w:t>
            </w:r>
            <w:r>
              <w:rPr>
                <w:b/>
                <w:sz w:val="17"/>
              </w:rPr>
              <w:t>gatilhos definidos</w:t>
            </w:r>
            <w:r>
              <w:rPr>
                <w:sz w:val="17"/>
              </w:rPr>
              <w:t xml:space="preserve">, </w:t>
            </w:r>
            <w:r>
              <w:rPr>
                <w:b/>
                <w:sz w:val="17"/>
              </w:rPr>
              <w:t>lista fechada de ações</w:t>
            </w:r>
            <w:r>
              <w:rPr>
                <w:sz w:val="17"/>
              </w:rPr>
              <w:t xml:space="preserve"> e uma seção explícita do que </w:t>
            </w:r>
            <w:r>
              <w:rPr>
                <w:b/>
                <w:sz w:val="17"/>
              </w:rPr>
              <w:t>não faz</w:t>
            </w:r>
          </w:p>
        </w:tc>
        <w:tc>
          <w:tcPr>
            <w:tcW w:type="dxa" w:w="1195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Seções 5 e 6</w:t>
            </w:r>
          </w:p>
        </w:tc>
      </w:tr>
      <w:tr>
        <w:trPr>
          <w:cantSplit w:val="true"/>
        </w:trPr>
        <w:tc>
          <w:tcPr>
            <w:tcW w:type="dxa" w:w="4223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Muitos objetivos; priorizar o mais próximo do negócio</w:t>
            </w:r>
          </w:p>
        </w:tc>
        <w:tc>
          <w:tcPr>
            <w:tcW w:type="dxa" w:w="4781"/>
          </w:tcPr>
          <w:p>
            <w:pPr>
              <w:spacing w:after="0" w:line="240" w:lineRule="auto"/>
            </w:pPr>
            <w:r/>
            <w:r>
              <w:rPr>
                <w:b/>
                <w:sz w:val="17"/>
              </w:rPr>
              <w:t>Matriz de priorização</w:t>
            </w:r>
            <w:r>
              <w:rPr>
                <w:sz w:val="17"/>
              </w:rPr>
              <w:t xml:space="preserve"> com critérios ponderados: de 6 agentes para </w:t>
            </w:r>
            <w:r>
              <w:rPr>
                <w:b/>
                <w:sz w:val="17"/>
              </w:rPr>
              <w:t>3 detalhados</w:t>
            </w:r>
            <w:r>
              <w:rPr>
                <w:sz w:val="17"/>
              </w:rPr>
              <w:t>, todos na jornada do pedido</w:t>
            </w:r>
          </w:p>
        </w:tc>
        <w:tc>
          <w:tcPr>
            <w:tcW w:type="dxa" w:w="1195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Seção 4</w:t>
            </w:r>
          </w:p>
        </w:tc>
      </w:tr>
      <w:tr>
        <w:trPr>
          <w:cantSplit w:val="true"/>
        </w:trPr>
        <w:tc>
          <w:tcPr>
            <w:tcW w:type="dxa" w:w="4223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Falha de revisão</w:t>
            </w:r>
          </w:p>
        </w:tc>
        <w:tc>
          <w:tcPr>
            <w:tcW w:type="dxa" w:w="4781"/>
          </w:tcPr>
          <w:p>
            <w:pPr>
              <w:spacing w:after="0" w:line="240" w:lineRule="auto"/>
            </w:pPr>
            <w:r/>
            <w:r>
              <w:rPr>
                <w:b/>
                <w:sz w:val="17"/>
              </w:rPr>
              <w:t>Fonte única de números</w:t>
            </w:r>
            <w:r>
              <w:rPr>
                <w:sz w:val="17"/>
              </w:rPr>
              <w:t xml:space="preserve"> gerada por notebook, checklist de QA e apêndice de rastreabilidade</w:t>
            </w:r>
          </w:p>
        </w:tc>
        <w:tc>
          <w:tcPr>
            <w:tcW w:type="dxa" w:w="1195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Apêndices A e B</w:t>
            </w:r>
          </w:p>
        </w:tc>
      </w:tr>
    </w:tbl>
    <w:p>
      <w:pPr>
        <w:spacing w:after="40"/>
      </w:pPr>
    </w:p>
    <w:p>
      <w:pPr>
        <w:pStyle w:val="Heading2"/>
      </w:pPr>
      <w:r>
        <w:t>2.3 Correções de rigor em relação à Fase 1</w:t>
      </w:r>
    </w:p>
    <w:p>
      <w:pPr>
        <w:pStyle w:val="ListBullet"/>
        <w:spacing w:after="40"/>
      </w:pPr>
      <w:r>
        <w:rPr>
          <w:b/>
        </w:rPr>
        <w:t>Tempo médio de entrega:</w:t>
      </w:r>
      <w:r>
        <w:t xml:space="preserve"> padronizado em </w:t>
      </w:r>
      <w:r>
        <w:rPr>
          <w:b/>
        </w:rPr>
        <w:t>12,56 dias</w:t>
      </w:r>
      <w:r>
        <w:t xml:space="preserve"> (compra → entrega, dias corridos fracionados, pedidos entregues). A Fase 1 registrava 12,47 e 12,56 em pontos diferentes.</w:t>
      </w:r>
    </w:p>
    <w:p>
      <w:pPr>
        <w:pStyle w:val="ListBullet"/>
        <w:spacing w:after="40"/>
      </w:pPr>
      <w:r>
        <w:rPr>
          <w:b/>
        </w:rPr>
        <w:t>"Tempo de resposta a reviews (3,15 dias)":</w:t>
      </w:r>
      <w:r>
        <w:t xml:space="preserve"> a coluna </w:t>
      </w:r>
      <w:r>
        <w:rPr>
          <w:rFonts w:ascii="Consolas" w:hAnsi="Consolas"/>
          <w:color w:val="1F3A5F"/>
          <w:sz w:val="18"/>
        </w:rPr>
        <w:t>review_answer_timestamp</w:t>
      </w:r>
      <w:r>
        <w:t xml:space="preserve"> registra quando o </w:t>
      </w:r>
      <w:r>
        <w:rPr>
          <w:b/>
        </w:rPr>
        <w:t>cliente respondeu a pesquisa</w:t>
      </w:r>
      <w:r>
        <w:t xml:space="preserve">, não quando a Olist respondeu o cliente. Retiramos esse número como baseline do SentimentDesk; o tempo real de resposta será </w:t>
      </w:r>
      <w:r>
        <w:rPr>
          <w:b/>
        </w:rPr>
        <w:t>medido no piloto</w:t>
      </w:r>
      <w:r>
        <w:t>.</w:t>
      </w:r>
    </w:p>
    <w:p>
      <w:pPr>
        <w:pStyle w:val="ListBullet"/>
        <w:spacing w:after="40"/>
      </w:pPr>
      <w:r>
        <w:rPr>
          <w:b/>
        </w:rPr>
        <w:t>Público do WinBack:</w:t>
      </w:r>
      <w:r>
        <w:t xml:space="preserve"> na Fase 1, o alvo eram 38.655 clientes inativos há mais de 439 dias. Os dados mostram que </w:t>
      </w:r>
      <w:r>
        <w:rPr>
          <w:b/>
        </w:rPr>
        <w:t>54% das segundas compras acontecem em até 90 dias</w:t>
      </w:r>
      <w:r>
        <w:t xml:space="preserve"> e 75% em até 180. Reativar base antiga tem baixa probabilidade de retorno, então o agente foi </w:t>
      </w:r>
      <w:r>
        <w:rPr>
          <w:b/>
        </w:rPr>
        <w:t>reposicionado para a janela pós-1ª compra</w:t>
      </w:r>
      <w:r>
        <w:t>.</w:t>
      </w:r>
    </w:p>
    <w:p>
      <w:pPr>
        <w:pStyle w:val="ListBullet"/>
        <w:spacing w:after="40"/>
      </w:pPr>
      <w:r>
        <w:rPr>
          <w:b/>
        </w:rPr>
        <w:t>Roadmap:</w:t>
      </w:r>
      <w:r>
        <w:t xml:space="preserve"> a Fase 1 trazia ordens diferentes para as ondas em duas seções. Agora há um roadmap único (Seção 11).</w:t>
      </w:r>
    </w:p>
    <w:p>
      <w:pPr>
        <w:pStyle w:val="Heading2"/>
      </w:pPr>
      <w:r>
        <w:t>2.4 O que é novo nesta fase</w:t>
      </w:r>
    </w:p>
    <w:p>
      <w:r>
        <w:t xml:space="preserve">Casos de uso com os seis elementos pedidos (a–f), </w:t>
      </w:r>
      <w:r>
        <w:rPr>
          <w:b/>
        </w:rPr>
        <w:t>fluxos operacionais</w:t>
      </w:r>
      <w:r>
        <w:t xml:space="preserve"> com gatilhos, decisões e humano no loop, uma </w:t>
      </w:r>
      <w:r>
        <w:rPr>
          <w:b/>
        </w:rPr>
        <w:t>jornada multiagente</w:t>
      </w:r>
      <w:r>
        <w:t xml:space="preserve"> com um pedido real, </w:t>
      </w:r>
      <w:r>
        <w:rPr>
          <w:b/>
        </w:rPr>
        <w:t>prompts v2 testados com casos reais</w:t>
      </w:r>
      <w:r>
        <w:t xml:space="preserve"> do dataset e </w:t>
      </w:r>
      <w:r>
        <w:rPr>
          <w:b/>
        </w:rPr>
        <w:t>business case em três cenários</w:t>
      </w:r>
      <w:r>
        <w:t>.</w:t>
      </w:r>
    </w:p>
    <w:p>
      <w:r>
        <w:br w:type="page"/>
      </w:r>
    </w:p>
    <w:p>
      <w:pPr>
        <w:pStyle w:val="Heading1"/>
      </w:pPr>
      <w:r>
        <w:t>3. Da Evidência à Decisão: o racional dos achados</w:t>
      </w:r>
    </w:p>
    <w:p>
      <w:r>
        <w:t xml:space="preserve">Todos os números desta seção vêm do notebook </w:t>
      </w:r>
      <w:r>
        <w:rPr>
          <w:rFonts w:ascii="Consolas" w:hAnsi="Consolas"/>
          <w:color w:val="1F3A5F"/>
          <w:sz w:val="18"/>
        </w:rPr>
        <w:t>08_fase2_evidencias_business_case.ipynb</w:t>
      </w:r>
      <w:r>
        <w:t>, executado sobre as tabelas públicas da Olist. A tabela mostra o caminho de cada achado até a decisão de desenho do agente.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C9CED6"/>
          <w:left w:val="single" w:sz="4" w:color="C9CED6"/>
          <w:bottom w:val="single" w:sz="4" w:color="C9CED6"/>
          <w:right w:val="single" w:sz="4" w:color="C9CED6"/>
          <w:insideH w:val="single" w:sz="4" w:color="C9CED6"/>
          <w:insideV w:val="single" w:sz="4" w:color="C9CED6"/>
        </w:tblBorders>
        <w:tblCellMar>
          <w:top w:w="68" w:type="dxa"/>
          <w:bottom w:w="68" w:type="dxa"/>
          <w:left w:w="68" w:type="dxa"/>
          <w:right w:w="68" w:type="dxa"/>
        </w:tblCellMar>
      </w:tblPr>
      <w:tblGrid>
        <w:gridCol w:w="1700"/>
        <w:gridCol w:w="1700"/>
        <w:gridCol w:w="1700"/>
        <w:gridCol w:w="1700"/>
        <w:gridCol w:w="1700"/>
        <w:gridCol w:w="1700"/>
      </w:tblGrid>
      <w:tr>
        <w:trPr>
          <w:tblHeader w:val="true"/>
          <w:cantSplit w:val="true"/>
        </w:trPr>
        <w:tc>
          <w:tcPr>
            <w:tcW w:type="dxa" w:w="220"/>
            <w:shd w:val="clear" w:color="auto" w:fill="E8EEF7"/>
          </w:tcPr>
          <w:p>
            <w:pPr>
              <w:spacing w:after="0" w:line="240" w:lineRule="auto"/>
            </w:pPr>
            <w:r/>
            <w:r>
              <w:rPr>
                <w:b/>
                <w:color w:val="1F3A5F"/>
                <w:sz w:val="15"/>
              </w:rPr>
              <w:t>#</w:t>
            </w:r>
          </w:p>
        </w:tc>
        <w:tc>
          <w:tcPr>
            <w:tcW w:type="dxa" w:w="1211"/>
            <w:shd w:val="clear" w:color="auto" w:fill="E8EEF7"/>
          </w:tcPr>
          <w:p>
            <w:pPr>
              <w:spacing w:after="0" w:line="240" w:lineRule="auto"/>
            </w:pPr>
            <w:r/>
            <w:r>
              <w:rPr>
                <w:b/>
                <w:color w:val="1F3A5F"/>
                <w:sz w:val="15"/>
              </w:rPr>
              <w:t>Pergunta de negócio</w:t>
            </w:r>
          </w:p>
        </w:tc>
        <w:tc>
          <w:tcPr>
            <w:tcW w:type="dxa" w:w="2201"/>
            <w:shd w:val="clear" w:color="auto" w:fill="E8EEF7"/>
          </w:tcPr>
          <w:p>
            <w:pPr>
              <w:spacing w:after="0" w:line="240" w:lineRule="auto"/>
            </w:pPr>
            <w:r/>
            <w:r>
              <w:rPr>
                <w:b/>
                <w:color w:val="1F3A5F"/>
                <w:sz w:val="15"/>
              </w:rPr>
              <w:t>Dado utilizado</w:t>
            </w:r>
          </w:p>
        </w:tc>
        <w:tc>
          <w:tcPr>
            <w:tcW w:type="dxa" w:w="2165"/>
            <w:shd w:val="clear" w:color="auto" w:fill="E8EEF7"/>
          </w:tcPr>
          <w:p>
            <w:pPr>
              <w:spacing w:after="0" w:line="240" w:lineRule="auto"/>
            </w:pPr>
            <w:r/>
            <w:r>
              <w:rPr>
                <w:b/>
                <w:color w:val="1F3A5F"/>
                <w:sz w:val="15"/>
              </w:rPr>
              <w:t>Método</w:t>
            </w:r>
          </w:p>
        </w:tc>
        <w:tc>
          <w:tcPr>
            <w:tcW w:type="dxa" w:w="2201"/>
            <w:shd w:val="clear" w:color="auto" w:fill="E8EEF7"/>
          </w:tcPr>
          <w:p>
            <w:pPr>
              <w:spacing w:after="0" w:line="240" w:lineRule="auto"/>
            </w:pPr>
            <w:r/>
            <w:r>
              <w:rPr>
                <w:b/>
                <w:color w:val="1F3A5F"/>
                <w:sz w:val="15"/>
              </w:rPr>
              <w:t>Resultado</w:t>
            </w:r>
          </w:p>
        </w:tc>
        <w:tc>
          <w:tcPr>
            <w:tcW w:type="dxa" w:w="2201"/>
            <w:shd w:val="clear" w:color="auto" w:fill="E8EEF7"/>
          </w:tcPr>
          <w:p>
            <w:pPr>
              <w:spacing w:after="0" w:line="240" w:lineRule="auto"/>
            </w:pPr>
            <w:r/>
            <w:r>
              <w:rPr>
                <w:b/>
                <w:color w:val="1F3A5F"/>
                <w:sz w:val="15"/>
              </w:rPr>
              <w:t>Decisão de desenho</w:t>
            </w:r>
          </w:p>
        </w:tc>
      </w:tr>
      <w:tr>
        <w:trPr>
          <w:cantSplit w:val="true"/>
        </w:trPr>
        <w:tc>
          <w:tcPr>
            <w:tcW w:type="dxa" w:w="220"/>
          </w:tcPr>
          <w:p>
            <w:pPr>
              <w:spacing w:after="0" w:line="240" w:lineRule="auto"/>
            </w:pPr>
            <w:r/>
            <w:r>
              <w:rPr>
                <w:sz w:val="15"/>
              </w:rPr>
              <w:t>E1</w:t>
            </w:r>
          </w:p>
        </w:tc>
        <w:tc>
          <w:tcPr>
            <w:tcW w:type="dxa" w:w="1211"/>
          </w:tcPr>
          <w:p>
            <w:pPr>
              <w:spacing w:after="0" w:line="240" w:lineRule="auto"/>
            </w:pPr>
            <w:r/>
            <w:r>
              <w:rPr>
                <w:sz w:val="15"/>
              </w:rPr>
              <w:t>O atraso pesa na satisfação?</w:t>
            </w:r>
          </w:p>
        </w:tc>
        <w:tc>
          <w:tcPr>
            <w:tcW w:type="dxa" w:w="2201"/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color w:val="1F3A5F"/>
                <w:sz w:val="13"/>
              </w:rPr>
              <w:t>orders</w:t>
            </w:r>
            <w:r>
              <w:rPr>
                <w:sz w:val="15"/>
              </w:rPr>
              <w:t xml:space="preserve"> (entrega × prazo) + </w:t>
            </w:r>
            <w:r>
              <w:rPr>
                <w:rFonts w:ascii="Consolas" w:hAnsi="Consolas"/>
                <w:color w:val="1F3A5F"/>
                <w:sz w:val="13"/>
              </w:rPr>
              <w:t>order_reviews</w:t>
            </w:r>
            <w:r>
              <w:rPr>
                <w:sz w:val="15"/>
              </w:rPr>
              <w:t xml:space="preserve"> (nota)</w:t>
            </w:r>
          </w:p>
        </w:tc>
        <w:tc>
          <w:tcPr>
            <w:tcW w:type="dxa" w:w="2165"/>
          </w:tcPr>
          <w:p>
            <w:pPr>
              <w:spacing w:after="0" w:line="240" w:lineRule="auto"/>
            </w:pPr>
            <w:r/>
            <w:r>
              <w:rPr>
                <w:sz w:val="15"/>
              </w:rPr>
              <w:t>Comparação de proporções entre pedidos atrasados e no prazo</w:t>
            </w:r>
          </w:p>
        </w:tc>
        <w:tc>
          <w:tcPr>
            <w:tcW w:type="dxa" w:w="2201"/>
          </w:tcPr>
          <w:p>
            <w:pPr>
              <w:spacing w:after="0" w:line="240" w:lineRule="auto"/>
            </w:pPr>
            <w:r/>
            <w:r>
              <w:rPr>
                <w:b/>
                <w:sz w:val="15"/>
              </w:rPr>
              <w:t>54,1%</w:t>
            </w:r>
            <w:r>
              <w:rPr>
                <w:sz w:val="15"/>
              </w:rPr>
              <w:t xml:space="preserve"> de notas 1–2 com atraso vs </w:t>
            </w:r>
            <w:r>
              <w:rPr>
                <w:b/>
                <w:sz w:val="15"/>
              </w:rPr>
              <w:t>9,2%</w:t>
            </w:r>
            <w:r>
              <w:rPr>
                <w:sz w:val="15"/>
              </w:rPr>
              <w:t xml:space="preserve"> no prazo; nota média 2,57 vs 4,29</w:t>
            </w:r>
          </w:p>
        </w:tc>
        <w:tc>
          <w:tcPr>
            <w:tcW w:type="dxa" w:w="2201"/>
          </w:tcPr>
          <w:p>
            <w:pPr>
              <w:spacing w:after="0" w:line="240" w:lineRule="auto"/>
            </w:pPr>
            <w:r/>
            <w:r>
              <w:rPr>
                <w:sz w:val="15"/>
              </w:rPr>
              <w:t>Atraso é o primeiro problema a atacar (LogiPredict)</w:t>
            </w:r>
          </w:p>
        </w:tc>
      </w:tr>
      <w:tr>
        <w:trPr>
          <w:cantSplit w:val="true"/>
        </w:trPr>
        <w:tc>
          <w:tcPr>
            <w:tcW w:type="dxa" w:w="220"/>
          </w:tcPr>
          <w:p>
            <w:pPr>
              <w:spacing w:after="0" w:line="240" w:lineRule="auto"/>
            </w:pPr>
            <w:r/>
            <w:r>
              <w:rPr>
                <w:sz w:val="15"/>
              </w:rPr>
              <w:t>E2</w:t>
            </w:r>
          </w:p>
        </w:tc>
        <w:tc>
          <w:tcPr>
            <w:tcW w:type="dxa" w:w="1211"/>
          </w:tcPr>
          <w:p>
            <w:pPr>
              <w:spacing w:after="0" w:line="240" w:lineRule="auto"/>
            </w:pPr>
            <w:r/>
            <w:r>
              <w:rPr>
                <w:sz w:val="15"/>
              </w:rPr>
              <w:t>Onde o atraso nasce?</w:t>
            </w:r>
          </w:p>
        </w:tc>
        <w:tc>
          <w:tcPr>
            <w:tcW w:type="dxa" w:w="2201"/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color w:val="1F3A5F"/>
                <w:sz w:val="13"/>
              </w:rPr>
              <w:t>order_items.shipping_limit_date</w:t>
            </w:r>
            <w:r>
              <w:rPr>
                <w:sz w:val="15"/>
              </w:rPr>
              <w:t xml:space="preserve"> × </w:t>
            </w:r>
            <w:r>
              <w:rPr>
                <w:rFonts w:ascii="Consolas" w:hAnsi="Consolas"/>
                <w:color w:val="1F3A5F"/>
                <w:sz w:val="13"/>
              </w:rPr>
              <w:t>orders.order_delivered_carrier_date</w:t>
            </w:r>
          </w:p>
        </w:tc>
        <w:tc>
          <w:tcPr>
            <w:tcW w:type="dxa" w:w="2165"/>
          </w:tcPr>
          <w:p>
            <w:pPr>
              <w:spacing w:after="0" w:line="240" w:lineRule="auto"/>
            </w:pPr>
            <w:r/>
            <w:r>
              <w:rPr>
                <w:sz w:val="15"/>
              </w:rPr>
              <w:t>Taxa de atraso segmentada pela pontualidade da postagem</w:t>
            </w:r>
          </w:p>
        </w:tc>
        <w:tc>
          <w:tcPr>
            <w:tcW w:type="dxa" w:w="2201"/>
          </w:tcPr>
          <w:p>
            <w:pPr>
              <w:spacing w:after="0" w:line="240" w:lineRule="auto"/>
            </w:pPr>
            <w:r/>
            <w:r>
              <w:rPr>
                <w:sz w:val="15"/>
              </w:rPr>
              <w:t xml:space="preserve">Postagem após o limite em </w:t>
            </w:r>
            <w:r>
              <w:rPr>
                <w:b/>
                <w:sz w:val="15"/>
              </w:rPr>
              <w:t>9,0%</w:t>
            </w:r>
            <w:r>
              <w:rPr>
                <w:sz w:val="15"/>
              </w:rPr>
              <w:t xml:space="preserve"> dos pedidos: atraso de </w:t>
            </w:r>
            <w:r>
              <w:rPr>
                <w:b/>
                <w:sz w:val="15"/>
              </w:rPr>
              <w:t>24,4%</w:t>
            </w:r>
            <w:r>
              <w:rPr>
                <w:sz w:val="15"/>
              </w:rPr>
              <w:t xml:space="preserve"> vs </w:t>
            </w:r>
            <w:r>
              <w:rPr>
                <w:b/>
                <w:sz w:val="15"/>
              </w:rPr>
              <w:t>6,5%</w:t>
            </w:r>
            <w:r>
              <w:rPr>
                <w:sz w:val="15"/>
              </w:rPr>
              <w:t xml:space="preserve">; </w:t>
            </w:r>
            <w:r>
              <w:rPr>
                <w:b/>
                <w:sz w:val="15"/>
              </w:rPr>
              <w:t>27%</w:t>
            </w:r>
            <w:r>
              <w:rPr>
                <w:sz w:val="15"/>
              </w:rPr>
              <w:t xml:space="preserve"> de todos os atrasos</w:t>
            </w:r>
          </w:p>
        </w:tc>
        <w:tc>
          <w:tcPr>
            <w:tcW w:type="dxa" w:w="2201"/>
          </w:tcPr>
          <w:p>
            <w:pPr>
              <w:spacing w:after="0" w:line="240" w:lineRule="auto"/>
            </w:pPr>
            <w:r/>
            <w:r>
              <w:rPr>
                <w:sz w:val="15"/>
              </w:rPr>
              <w:t xml:space="preserve">Primeiro checkpoint do LogiPredict é o </w:t>
            </w:r>
            <w:r>
              <w:rPr>
                <w:b/>
                <w:sz w:val="15"/>
              </w:rPr>
              <w:t>limite de postagem</w:t>
            </w:r>
          </w:p>
        </w:tc>
      </w:tr>
      <w:tr>
        <w:trPr>
          <w:cantSplit w:val="true"/>
        </w:trPr>
        <w:tc>
          <w:tcPr>
            <w:tcW w:type="dxa" w:w="220"/>
          </w:tcPr>
          <w:p>
            <w:pPr>
              <w:spacing w:after="0" w:line="240" w:lineRule="auto"/>
            </w:pPr>
            <w:r/>
            <w:r>
              <w:rPr>
                <w:sz w:val="15"/>
              </w:rPr>
              <w:t>E3</w:t>
            </w:r>
          </w:p>
        </w:tc>
        <w:tc>
          <w:tcPr>
            <w:tcW w:type="dxa" w:w="1211"/>
          </w:tcPr>
          <w:p>
            <w:pPr>
              <w:spacing w:after="0" w:line="240" w:lineRule="auto"/>
            </w:pPr>
            <w:r/>
            <w:r>
              <w:rPr>
                <w:sz w:val="15"/>
              </w:rPr>
              <w:t>Onde o atraso é mais provável?</w:t>
            </w:r>
          </w:p>
        </w:tc>
        <w:tc>
          <w:tcPr>
            <w:tcW w:type="dxa" w:w="2201"/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color w:val="1F3A5F"/>
                <w:sz w:val="13"/>
              </w:rPr>
              <w:t>orders</w:t>
            </w:r>
            <w:r>
              <w:rPr>
                <w:sz w:val="15"/>
              </w:rPr>
              <w:t xml:space="preserve"> + </w:t>
            </w:r>
            <w:r>
              <w:rPr>
                <w:rFonts w:ascii="Consolas" w:hAnsi="Consolas"/>
                <w:color w:val="1F3A5F"/>
                <w:sz w:val="13"/>
              </w:rPr>
              <w:t>customers</w:t>
            </w:r>
            <w:r>
              <w:rPr>
                <w:sz w:val="15"/>
              </w:rPr>
              <w:t xml:space="preserve"> (UF destino)</w:t>
            </w:r>
          </w:p>
        </w:tc>
        <w:tc>
          <w:tcPr>
            <w:tcW w:type="dxa" w:w="2165"/>
          </w:tcPr>
          <w:p>
            <w:pPr>
              <w:spacing w:after="0" w:line="240" w:lineRule="auto"/>
            </w:pPr>
            <w:r/>
            <w:r>
              <w:rPr>
                <w:sz w:val="15"/>
              </w:rPr>
              <w:t>Taxa de atraso por UF</w:t>
            </w:r>
          </w:p>
        </w:tc>
        <w:tc>
          <w:tcPr>
            <w:tcW w:type="dxa" w:w="2201"/>
          </w:tcPr>
          <w:p>
            <w:pPr>
              <w:spacing w:after="0" w:line="240" w:lineRule="auto"/>
            </w:pPr>
            <w:r/>
            <w:r>
              <w:rPr>
                <w:sz w:val="15"/>
              </w:rPr>
              <w:t>AL 23,9%, MA 19,7%, PI 16,0%, CE 15,3% (média 8,11%)</w:t>
            </w:r>
          </w:p>
        </w:tc>
        <w:tc>
          <w:tcPr>
            <w:tcW w:type="dxa" w:w="2201"/>
          </w:tcPr>
          <w:p>
            <w:pPr>
              <w:spacing w:after="0" w:line="240" w:lineRule="auto"/>
            </w:pPr>
            <w:r/>
            <w:r>
              <w:rPr>
                <w:sz w:val="15"/>
              </w:rPr>
              <w:t>UF destino entra no score de risco; piloto começa no Nordeste</w:t>
            </w:r>
          </w:p>
        </w:tc>
      </w:tr>
      <w:tr>
        <w:trPr>
          <w:cantSplit w:val="true"/>
        </w:trPr>
        <w:tc>
          <w:tcPr>
            <w:tcW w:type="dxa" w:w="220"/>
          </w:tcPr>
          <w:p>
            <w:pPr>
              <w:spacing w:after="0" w:line="240" w:lineRule="auto"/>
            </w:pPr>
            <w:r/>
            <w:r>
              <w:rPr>
                <w:sz w:val="15"/>
              </w:rPr>
              <w:t>E4</w:t>
            </w:r>
          </w:p>
        </w:tc>
        <w:tc>
          <w:tcPr>
            <w:tcW w:type="dxa" w:w="1211"/>
          </w:tcPr>
          <w:p>
            <w:pPr>
              <w:spacing w:after="0" w:line="240" w:lineRule="auto"/>
            </w:pPr>
            <w:r/>
            <w:r>
              <w:rPr>
                <w:sz w:val="15"/>
              </w:rPr>
              <w:t>Do que reclamam os insatisfeitos?</w:t>
            </w:r>
          </w:p>
        </w:tc>
        <w:tc>
          <w:tcPr>
            <w:tcW w:type="dxa" w:w="2201"/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color w:val="1F3A5F"/>
                <w:sz w:val="13"/>
              </w:rPr>
              <w:t>order_reviews</w:t>
            </w:r>
            <w:r>
              <w:rPr>
                <w:sz w:val="15"/>
              </w:rPr>
              <w:t xml:space="preserve"> (título + comentário, notas 1–2)</w:t>
            </w:r>
          </w:p>
        </w:tc>
        <w:tc>
          <w:tcPr>
            <w:tcW w:type="dxa" w:w="2165"/>
          </w:tcPr>
          <w:p>
            <w:pPr>
              <w:spacing w:after="0" w:line="240" w:lineRule="auto"/>
            </w:pPr>
            <w:r/>
            <w:r>
              <w:rPr>
                <w:sz w:val="15"/>
              </w:rPr>
              <w:t>Classificação por regras em 10.994 avaliações com texto</w:t>
            </w:r>
          </w:p>
        </w:tc>
        <w:tc>
          <w:tcPr>
            <w:tcW w:type="dxa" w:w="2201"/>
          </w:tcPr>
          <w:p>
            <w:pPr>
              <w:spacing w:after="0" w:line="240" w:lineRule="auto"/>
            </w:pPr>
            <w:r/>
            <w:r>
              <w:rPr>
                <w:b/>
                <w:sz w:val="15"/>
              </w:rPr>
              <w:t>47%</w:t>
            </w:r>
            <w:r>
              <w:rPr>
                <w:sz w:val="15"/>
              </w:rPr>
              <w:t xml:space="preserve"> entrega (39,5% "não recebido"), </w:t>
            </w:r>
            <w:r>
              <w:rPr>
                <w:b/>
                <w:sz w:val="15"/>
              </w:rPr>
              <w:t>18%</w:t>
            </w:r>
            <w:r>
              <w:rPr>
                <w:sz w:val="15"/>
              </w:rPr>
              <w:t xml:space="preserve"> pedido incorreto, </w:t>
            </w:r>
            <w:r>
              <w:rPr>
                <w:b/>
                <w:sz w:val="15"/>
              </w:rPr>
              <w:t>12%</w:t>
            </w:r>
            <w:r>
              <w:rPr>
                <w:sz w:val="15"/>
              </w:rPr>
              <w:t xml:space="preserve"> produto, </w:t>
            </w:r>
            <w:r>
              <w:rPr>
                <w:b/>
                <w:sz w:val="15"/>
              </w:rPr>
              <w:t>5%</w:t>
            </w:r>
            <w:r>
              <w:rPr>
                <w:sz w:val="15"/>
              </w:rPr>
              <w:t xml:space="preserve"> atendimento</w:t>
            </w:r>
          </w:p>
        </w:tc>
        <w:tc>
          <w:tcPr>
            <w:tcW w:type="dxa" w:w="2201"/>
          </w:tcPr>
          <w:p>
            <w:pPr>
              <w:spacing w:after="0" w:line="240" w:lineRule="auto"/>
            </w:pPr>
            <w:r/>
            <w:r>
              <w:rPr>
                <w:sz w:val="15"/>
              </w:rPr>
              <w:t>Taxonomia fixa do SentimentDesk; o motivo define o roteamento</w:t>
            </w:r>
          </w:p>
        </w:tc>
      </w:tr>
      <w:tr>
        <w:trPr>
          <w:cantSplit w:val="true"/>
        </w:trPr>
        <w:tc>
          <w:tcPr>
            <w:tcW w:type="dxa" w:w="220"/>
          </w:tcPr>
          <w:p>
            <w:pPr>
              <w:spacing w:after="0" w:line="240" w:lineRule="auto"/>
            </w:pPr>
            <w:r/>
            <w:r>
              <w:rPr>
                <w:sz w:val="15"/>
              </w:rPr>
              <w:t>E5</w:t>
            </w:r>
          </w:p>
        </w:tc>
        <w:tc>
          <w:tcPr>
            <w:tcW w:type="dxa" w:w="1211"/>
          </w:tcPr>
          <w:p>
            <w:pPr>
              <w:spacing w:after="0" w:line="240" w:lineRule="auto"/>
            </w:pPr>
            <w:r/>
            <w:r>
              <w:rPr>
                <w:sz w:val="15"/>
              </w:rPr>
              <w:t>Quando o cliente volta?</w:t>
            </w:r>
          </w:p>
        </w:tc>
        <w:tc>
          <w:tcPr>
            <w:tcW w:type="dxa" w:w="2201"/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color w:val="1F3A5F"/>
                <w:sz w:val="13"/>
              </w:rPr>
              <w:t>orders</w:t>
            </w:r>
            <w:r>
              <w:rPr>
                <w:sz w:val="15"/>
              </w:rPr>
              <w:t xml:space="preserve"> + </w:t>
            </w:r>
            <w:r>
              <w:rPr>
                <w:rFonts w:ascii="Consolas" w:hAnsi="Consolas"/>
                <w:color w:val="1F3A5F"/>
                <w:sz w:val="13"/>
              </w:rPr>
              <w:t>customers.customer_unique_id</w:t>
            </w:r>
          </w:p>
        </w:tc>
        <w:tc>
          <w:tcPr>
            <w:tcW w:type="dxa" w:w="2165"/>
          </w:tcPr>
          <w:p>
            <w:pPr>
              <w:spacing w:after="0" w:line="240" w:lineRule="auto"/>
            </w:pPr>
            <w:r/>
            <w:r>
              <w:rPr>
                <w:sz w:val="15"/>
              </w:rPr>
              <w:t>Intervalo entre 1ª e 2ª compra (excluindo mesmo dia)</w:t>
            </w:r>
          </w:p>
        </w:tc>
        <w:tc>
          <w:tcPr>
            <w:tcW w:type="dxa" w:w="2201"/>
          </w:tcPr>
          <w:p>
            <w:pPr>
              <w:spacing w:after="0" w:line="240" w:lineRule="auto"/>
            </w:pPr>
            <w:r/>
            <w:r>
              <w:rPr>
                <w:sz w:val="15"/>
              </w:rPr>
              <w:t xml:space="preserve">Mediana de </w:t>
            </w:r>
            <w:r>
              <w:rPr>
                <w:b/>
                <w:sz w:val="15"/>
              </w:rPr>
              <w:t>76 dias</w:t>
            </w:r>
            <w:r>
              <w:rPr>
                <w:sz w:val="15"/>
              </w:rPr>
              <w:t xml:space="preserve">; </w:t>
            </w:r>
            <w:r>
              <w:rPr>
                <w:b/>
                <w:sz w:val="15"/>
              </w:rPr>
              <w:t>54%</w:t>
            </w:r>
            <w:r>
              <w:rPr>
                <w:sz w:val="15"/>
              </w:rPr>
              <w:t xml:space="preserve"> em até 90 dias</w:t>
            </w:r>
          </w:p>
        </w:tc>
        <w:tc>
          <w:tcPr>
            <w:tcW w:type="dxa" w:w="2201"/>
          </w:tcPr>
          <w:p>
            <w:pPr>
              <w:spacing w:after="0" w:line="240" w:lineRule="auto"/>
            </w:pPr>
            <w:r/>
            <w:r>
              <w:rPr>
                <w:sz w:val="15"/>
              </w:rPr>
              <w:t>WinBack atua de D+7 a D+90, não na base antiga</w:t>
            </w:r>
          </w:p>
        </w:tc>
      </w:tr>
      <w:tr>
        <w:trPr>
          <w:cantSplit w:val="true"/>
        </w:trPr>
        <w:tc>
          <w:tcPr>
            <w:tcW w:type="dxa" w:w="220"/>
          </w:tcPr>
          <w:p>
            <w:pPr>
              <w:spacing w:after="0" w:line="240" w:lineRule="auto"/>
            </w:pPr>
            <w:r/>
            <w:r>
              <w:rPr>
                <w:sz w:val="15"/>
              </w:rPr>
              <w:t>E6</w:t>
            </w:r>
          </w:p>
        </w:tc>
        <w:tc>
          <w:tcPr>
            <w:tcW w:type="dxa" w:w="1211"/>
          </w:tcPr>
          <w:p>
            <w:pPr>
              <w:spacing w:after="0" w:line="240" w:lineRule="auto"/>
            </w:pPr>
            <w:r/>
            <w:r>
              <w:rPr>
                <w:sz w:val="15"/>
              </w:rPr>
              <w:t>A experiência afeta a recompra?</w:t>
            </w:r>
          </w:p>
        </w:tc>
        <w:tc>
          <w:tcPr>
            <w:tcW w:type="dxa" w:w="2201"/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color w:val="1F3A5F"/>
                <w:sz w:val="13"/>
              </w:rPr>
              <w:t>orders</w:t>
            </w:r>
            <w:r>
              <w:rPr>
                <w:sz w:val="15"/>
              </w:rPr>
              <w:t xml:space="preserve"> + </w:t>
            </w:r>
            <w:r>
              <w:rPr>
                <w:rFonts w:ascii="Consolas" w:hAnsi="Consolas"/>
                <w:color w:val="1F3A5F"/>
                <w:sz w:val="13"/>
              </w:rPr>
              <w:t>order_reviews</w:t>
            </w:r>
          </w:p>
        </w:tc>
        <w:tc>
          <w:tcPr>
            <w:tcW w:type="dxa" w:w="2165"/>
          </w:tcPr>
          <w:p>
            <w:pPr>
              <w:spacing w:after="0" w:line="240" w:lineRule="auto"/>
            </w:pPr>
            <w:r/>
            <w:r>
              <w:rPr>
                <w:sz w:val="15"/>
              </w:rPr>
              <w:t>Recompra por pontualidade da 1ª compra</w:t>
            </w:r>
          </w:p>
        </w:tc>
        <w:tc>
          <w:tcPr>
            <w:tcW w:type="dxa" w:w="2201"/>
          </w:tcPr>
          <w:p>
            <w:pPr>
              <w:spacing w:after="0" w:line="240" w:lineRule="auto"/>
            </w:pPr>
            <w:r/>
            <w:r>
              <w:rPr>
                <w:sz w:val="15"/>
              </w:rPr>
              <w:t>1,56% (atrasou) vs 2,13% (no prazo)</w:t>
            </w:r>
          </w:p>
        </w:tc>
        <w:tc>
          <w:tcPr>
            <w:tcW w:type="dxa" w:w="2201"/>
          </w:tcPr>
          <w:p>
            <w:pPr>
              <w:spacing w:after="0" w:line="240" w:lineRule="auto"/>
            </w:pPr>
            <w:r/>
            <w:r>
              <w:rPr>
                <w:sz w:val="15"/>
              </w:rPr>
              <w:t xml:space="preserve">WinBack </w:t>
            </w:r>
            <w:r>
              <w:rPr>
                <w:b/>
                <w:sz w:val="15"/>
              </w:rPr>
              <w:t>pausa</w:t>
            </w:r>
            <w:r>
              <w:rPr>
                <w:sz w:val="15"/>
              </w:rPr>
              <w:t xml:space="preserve"> a oferta quando a 1ª experiência foi ruim</w:t>
            </w:r>
          </w:p>
        </w:tc>
      </w:tr>
    </w:tbl>
    <w:p>
      <w:pPr>
        <w:spacing w:after="40"/>
      </w:pP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476399" cy="233030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2_evidencia_atraso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76399" cy="23303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2514E"/>
          <w:sz w:val="17"/>
        </w:rPr>
        <w:t>Atraso e satisfação (E1) e origem do atraso na postagem do seller (E2).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476399" cy="319234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2_motivos_review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476399" cy="31923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2514E"/>
          <w:sz w:val="17"/>
        </w:rPr>
        <w:t>Motivo principal das avaliações 1–2 com comentário (E4). Laranja: motivos ligados à entrega.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476399" cy="307399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2_janela_2a_compra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476399" cy="30739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2514E"/>
          <w:sz w:val="17"/>
        </w:rPr>
        <w:t>Distribuição acumulada do tempo até a 2ª compra (E5).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F2C6AE"/>
          <w:left w:val="single" w:sz="4" w:color="F2C6AE"/>
          <w:bottom w:val="single" w:sz="4" w:color="F2C6AE"/>
          <w:right w:val="single" w:sz="4" w:color="F2C6AE"/>
          <w:insideH w:val="single" w:sz="4" w:color="F2C6AE"/>
          <w:insideV w:val="single" w:sz="4" w:color="F2C6AE"/>
        </w:tblBorders>
        <w:tblCellMar>
          <w:top w:w="113" w:type="dxa"/>
          <w:bottom w:w="113" w:type="dxa"/>
          <w:left w:w="113" w:type="dxa"/>
          <w:right w:w="113" w:type="dxa"/>
        </w:tblCellMar>
      </w:tblPr>
      <w:tblGrid>
        <w:gridCol w:w="10200"/>
      </w:tblGrid>
      <w:tr>
        <w:tc>
          <w:tcPr>
            <w:tcW w:type="dxa" w:w="10199"/>
            <w:shd w:val="clear" w:color="auto" w:fill="FDF3EC"/>
          </w:tcPr>
          <w:p>
            <w:pPr>
              <w:spacing w:after="60" w:line="240" w:lineRule="auto"/>
            </w:pPr>
            <w:r/>
            <w:r>
              <w:rPr>
                <w:b/>
                <w:sz w:val="19"/>
              </w:rPr>
              <w:t>Nota de interpretação.</w:t>
            </w:r>
            <w:r>
              <w:rPr>
                <w:sz w:val="19"/>
              </w:rPr>
              <w:t xml:space="preserve"> São associações observadas em dados históricos (2016–2018), não prova de causalidade. Por isso, cada agente é proposto com </w:t>
            </w:r>
            <w:r>
              <w:rPr>
                <w:b/>
                <w:sz w:val="19"/>
              </w:rPr>
              <w:t>grupo controle no piloto</w:t>
            </w:r>
            <w:r>
              <w:rPr>
                <w:sz w:val="19"/>
              </w:rPr>
              <w:t>, para medir o efeito real antes de escalar.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4. Priorização: por que três agentes</w:t>
      </w:r>
    </w:p>
    <w:p>
      <w:r>
        <w:t xml:space="preserve">Avaliamos os seis agentes da Fase 1 em cinco critérios, com pesos definidos pelo grupo. </w:t>
      </w:r>
      <w:r>
        <w:rPr>
          <w:b/>
        </w:rPr>
        <w:t>Proximidade do core</w:t>
      </w:r>
      <w:r>
        <w:t xml:space="preserve"> mede se o agente atua diretamente na jornada compra → entrega → avaliação → recompra, que é onde está a receita do marketplace.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C9CED6"/>
          <w:left w:val="single" w:sz="4" w:color="C9CED6"/>
          <w:bottom w:val="single" w:sz="4" w:color="C9CED6"/>
          <w:right w:val="single" w:sz="4" w:color="C9CED6"/>
          <w:insideH w:val="single" w:sz="4" w:color="C9CED6"/>
          <w:insideV w:val="single" w:sz="4" w:color="C9CED6"/>
        </w:tblBorders>
        <w:tblCellMar>
          <w:top w:w="68" w:type="dxa"/>
          <w:bottom w:w="68" w:type="dxa"/>
          <w:left w:w="68" w:type="dxa"/>
          <w:right w:w="68" w:type="dxa"/>
        </w:tblCellMar>
      </w:tblPr>
      <w:tblGrid>
        <w:gridCol w:w="1275"/>
        <w:gridCol w:w="1275"/>
        <w:gridCol w:w="1275"/>
        <w:gridCol w:w="1275"/>
        <w:gridCol w:w="1275"/>
        <w:gridCol w:w="1275"/>
        <w:gridCol w:w="1275"/>
        <w:gridCol w:w="1275"/>
      </w:tblGrid>
      <w:tr>
        <w:trPr>
          <w:tblHeader w:val="true"/>
          <w:cantSplit w:val="true"/>
        </w:trPr>
        <w:tc>
          <w:tcPr>
            <w:tcW w:type="dxa" w:w="947"/>
            <w:shd w:val="clear" w:color="auto" w:fill="E8EEF7"/>
          </w:tcPr>
          <w:p>
            <w:pPr>
              <w:spacing w:after="0" w:line="240" w:lineRule="auto"/>
            </w:pPr>
            <w:r/>
            <w:r>
              <w:rPr>
                <w:b/>
                <w:color w:val="1F3A5F"/>
                <w:sz w:val="14"/>
              </w:rPr>
              <w:t>Agente</w:t>
            </w:r>
          </w:p>
        </w:tc>
        <w:tc>
          <w:tcPr>
            <w:tcW w:type="dxa" w:w="947"/>
            <w:shd w:val="clear" w:color="auto" w:fill="E8EEF7"/>
          </w:tcPr>
          <w:p>
            <w:pPr>
              <w:spacing w:after="0" w:line="240" w:lineRule="auto"/>
            </w:pPr>
            <w:r/>
            <w:r>
              <w:rPr>
                <w:b/>
                <w:color w:val="1F3A5F"/>
                <w:sz w:val="14"/>
              </w:rPr>
              <w:t>Impacto (30%)</w:t>
            </w:r>
          </w:p>
        </w:tc>
        <w:tc>
          <w:tcPr>
            <w:tcW w:type="dxa" w:w="1821"/>
            <w:shd w:val="clear" w:color="auto" w:fill="E8EEF7"/>
          </w:tcPr>
          <w:p>
            <w:pPr>
              <w:spacing w:after="0" w:line="240" w:lineRule="auto"/>
            </w:pPr>
            <w:r/>
            <w:r>
              <w:rPr>
                <w:b/>
                <w:color w:val="1F3A5F"/>
                <w:sz w:val="14"/>
              </w:rPr>
              <w:t>Proximidade do core (25%)</w:t>
            </w:r>
          </w:p>
        </w:tc>
        <w:tc>
          <w:tcPr>
            <w:tcW w:type="dxa" w:w="1821"/>
            <w:shd w:val="clear" w:color="auto" w:fill="E8EEF7"/>
          </w:tcPr>
          <w:p>
            <w:pPr>
              <w:spacing w:after="0" w:line="240" w:lineRule="auto"/>
            </w:pPr>
            <w:r/>
            <w:r>
              <w:rPr>
                <w:b/>
                <w:color w:val="1F3A5F"/>
                <w:sz w:val="14"/>
              </w:rPr>
              <w:t>Evidência nos dados (20%)</w:t>
            </w:r>
          </w:p>
        </w:tc>
        <w:tc>
          <w:tcPr>
            <w:tcW w:type="dxa" w:w="1238"/>
            <w:shd w:val="clear" w:color="auto" w:fill="E8EEF7"/>
          </w:tcPr>
          <w:p>
            <w:pPr>
              <w:spacing w:after="0" w:line="240" w:lineRule="auto"/>
            </w:pPr>
            <w:r/>
            <w:r>
              <w:rPr>
                <w:b/>
                <w:color w:val="1F3A5F"/>
                <w:sz w:val="14"/>
              </w:rPr>
              <w:t>Viabilidade (15%)</w:t>
            </w:r>
          </w:p>
        </w:tc>
        <w:tc>
          <w:tcPr>
            <w:tcW w:type="dxa" w:w="1457"/>
            <w:shd w:val="clear" w:color="auto" w:fill="E8EEF7"/>
          </w:tcPr>
          <w:p>
            <w:pPr>
              <w:spacing w:after="0" w:line="240" w:lineRule="auto"/>
            </w:pPr>
            <w:r/>
            <w:r>
              <w:rPr>
                <w:b/>
                <w:color w:val="1F3A5F"/>
                <w:sz w:val="14"/>
              </w:rPr>
              <w:t>Risco, inverso (10%)</w:t>
            </w:r>
          </w:p>
        </w:tc>
        <w:tc>
          <w:tcPr>
            <w:tcW w:type="dxa" w:w="437"/>
            <w:shd w:val="clear" w:color="auto" w:fill="E8EEF7"/>
          </w:tcPr>
          <w:p>
            <w:pPr>
              <w:spacing w:after="0" w:line="240" w:lineRule="auto"/>
            </w:pPr>
            <w:r/>
            <w:r>
              <w:rPr>
                <w:b/>
                <w:color w:val="1F3A5F"/>
                <w:sz w:val="14"/>
              </w:rPr>
              <w:t>Score</w:t>
            </w:r>
          </w:p>
        </w:tc>
        <w:tc>
          <w:tcPr>
            <w:tcW w:type="dxa" w:w="1530"/>
            <w:shd w:val="clear" w:color="auto" w:fill="E8EEF7"/>
          </w:tcPr>
          <w:p>
            <w:pPr>
              <w:spacing w:after="0" w:line="240" w:lineRule="auto"/>
            </w:pPr>
            <w:r/>
            <w:r>
              <w:rPr>
                <w:b/>
                <w:color w:val="1F3A5F"/>
                <w:sz w:val="14"/>
              </w:rPr>
              <w:t>Decisão</w:t>
            </w:r>
          </w:p>
        </w:tc>
      </w:tr>
      <w:tr>
        <w:trPr>
          <w:cantSplit w:val="true"/>
        </w:trPr>
        <w:tc>
          <w:tcPr>
            <w:tcW w:type="dxa" w:w="947"/>
          </w:tcPr>
          <w:p>
            <w:pPr>
              <w:spacing w:after="0" w:line="240" w:lineRule="auto"/>
            </w:pPr>
            <w:r/>
            <w:r>
              <w:rPr>
                <w:b/>
                <w:sz w:val="14"/>
              </w:rPr>
              <w:t>LogiPredict</w:t>
            </w:r>
          </w:p>
        </w:tc>
        <w:tc>
          <w:tcPr>
            <w:tcW w:type="dxa" w:w="947"/>
          </w:tcPr>
          <w:p>
            <w:pPr>
              <w:spacing w:after="0" w:line="240" w:lineRule="auto"/>
            </w:pPr>
            <w:r/>
            <w:r>
              <w:rPr>
                <w:sz w:val="14"/>
              </w:rPr>
              <w:t>5</w:t>
            </w:r>
          </w:p>
        </w:tc>
        <w:tc>
          <w:tcPr>
            <w:tcW w:type="dxa" w:w="1821"/>
          </w:tcPr>
          <w:p>
            <w:pPr>
              <w:spacing w:after="0" w:line="240" w:lineRule="auto"/>
            </w:pPr>
            <w:r/>
            <w:r>
              <w:rPr>
                <w:sz w:val="14"/>
              </w:rPr>
              <w:t>5</w:t>
            </w:r>
          </w:p>
        </w:tc>
        <w:tc>
          <w:tcPr>
            <w:tcW w:type="dxa" w:w="1821"/>
          </w:tcPr>
          <w:p>
            <w:pPr>
              <w:spacing w:after="0" w:line="240" w:lineRule="auto"/>
            </w:pPr>
            <w:r/>
            <w:r>
              <w:rPr>
                <w:sz w:val="14"/>
              </w:rPr>
              <w:t>5</w:t>
            </w:r>
          </w:p>
        </w:tc>
        <w:tc>
          <w:tcPr>
            <w:tcW w:type="dxa" w:w="1238"/>
          </w:tcPr>
          <w:p>
            <w:pPr>
              <w:spacing w:after="0" w:line="240" w:lineRule="auto"/>
            </w:pPr>
            <w:r/>
            <w:r>
              <w:rPr>
                <w:sz w:val="14"/>
              </w:rPr>
              <w:t>4</w:t>
            </w:r>
          </w:p>
        </w:tc>
        <w:tc>
          <w:tcPr>
            <w:tcW w:type="dxa" w:w="1457"/>
          </w:tcPr>
          <w:p>
            <w:pPr>
              <w:spacing w:after="0" w:line="240" w:lineRule="auto"/>
            </w:pPr>
            <w:r/>
            <w:r>
              <w:rPr>
                <w:sz w:val="14"/>
              </w:rPr>
              <w:t>4</w:t>
            </w:r>
          </w:p>
        </w:tc>
        <w:tc>
          <w:tcPr>
            <w:tcW w:type="dxa" w:w="437"/>
          </w:tcPr>
          <w:p>
            <w:pPr>
              <w:spacing w:after="0" w:line="240" w:lineRule="auto"/>
            </w:pPr>
            <w:r/>
            <w:r>
              <w:rPr>
                <w:b/>
                <w:sz w:val="14"/>
              </w:rPr>
              <w:t>4,75</w:t>
            </w:r>
          </w:p>
        </w:tc>
        <w:tc>
          <w:tcPr>
            <w:tcW w:type="dxa" w:w="1530"/>
          </w:tcPr>
          <w:p>
            <w:pPr>
              <w:spacing w:after="0" w:line="240" w:lineRule="auto"/>
            </w:pPr>
            <w:r/>
            <w:r>
              <w:rPr>
                <w:sz w:val="14"/>
              </w:rPr>
              <w:t>Detalhar</w:t>
            </w:r>
          </w:p>
        </w:tc>
      </w:tr>
      <w:tr>
        <w:trPr>
          <w:cantSplit w:val="true"/>
        </w:trPr>
        <w:tc>
          <w:tcPr>
            <w:tcW w:type="dxa" w:w="947"/>
          </w:tcPr>
          <w:p>
            <w:pPr>
              <w:spacing w:after="0" w:line="240" w:lineRule="auto"/>
            </w:pPr>
            <w:r/>
            <w:r>
              <w:rPr>
                <w:b/>
                <w:sz w:val="14"/>
              </w:rPr>
              <w:t>SentimentDesk</w:t>
            </w:r>
          </w:p>
        </w:tc>
        <w:tc>
          <w:tcPr>
            <w:tcW w:type="dxa" w:w="947"/>
          </w:tcPr>
          <w:p>
            <w:pPr>
              <w:spacing w:after="0" w:line="240" w:lineRule="auto"/>
            </w:pPr>
            <w:r/>
            <w:r>
              <w:rPr>
                <w:sz w:val="14"/>
              </w:rPr>
              <w:t>4</w:t>
            </w:r>
          </w:p>
        </w:tc>
        <w:tc>
          <w:tcPr>
            <w:tcW w:type="dxa" w:w="1821"/>
          </w:tcPr>
          <w:p>
            <w:pPr>
              <w:spacing w:after="0" w:line="240" w:lineRule="auto"/>
            </w:pPr>
            <w:r/>
            <w:r>
              <w:rPr>
                <w:sz w:val="14"/>
              </w:rPr>
              <w:t>5</w:t>
            </w:r>
          </w:p>
        </w:tc>
        <w:tc>
          <w:tcPr>
            <w:tcW w:type="dxa" w:w="1821"/>
          </w:tcPr>
          <w:p>
            <w:pPr>
              <w:spacing w:after="0" w:line="240" w:lineRule="auto"/>
            </w:pPr>
            <w:r/>
            <w:r>
              <w:rPr>
                <w:sz w:val="14"/>
              </w:rPr>
              <w:t>5</w:t>
            </w:r>
          </w:p>
        </w:tc>
        <w:tc>
          <w:tcPr>
            <w:tcW w:type="dxa" w:w="1238"/>
          </w:tcPr>
          <w:p>
            <w:pPr>
              <w:spacing w:after="0" w:line="240" w:lineRule="auto"/>
            </w:pPr>
            <w:r/>
            <w:r>
              <w:rPr>
                <w:sz w:val="14"/>
              </w:rPr>
              <w:t>5</w:t>
            </w:r>
          </w:p>
        </w:tc>
        <w:tc>
          <w:tcPr>
            <w:tcW w:type="dxa" w:w="1457"/>
          </w:tcPr>
          <w:p>
            <w:pPr>
              <w:spacing w:after="0" w:line="240" w:lineRule="auto"/>
            </w:pPr>
            <w:r/>
            <w:r>
              <w:rPr>
                <w:sz w:val="14"/>
              </w:rPr>
              <w:t>4</w:t>
            </w:r>
          </w:p>
        </w:tc>
        <w:tc>
          <w:tcPr>
            <w:tcW w:type="dxa" w:w="437"/>
          </w:tcPr>
          <w:p>
            <w:pPr>
              <w:spacing w:after="0" w:line="240" w:lineRule="auto"/>
            </w:pPr>
            <w:r/>
            <w:r>
              <w:rPr>
                <w:b/>
                <w:sz w:val="14"/>
              </w:rPr>
              <w:t>4,60</w:t>
            </w:r>
          </w:p>
        </w:tc>
        <w:tc>
          <w:tcPr>
            <w:tcW w:type="dxa" w:w="1530"/>
          </w:tcPr>
          <w:p>
            <w:pPr>
              <w:spacing w:after="0" w:line="240" w:lineRule="auto"/>
            </w:pPr>
            <w:r/>
            <w:r>
              <w:rPr>
                <w:sz w:val="14"/>
              </w:rPr>
              <w:t>Detalhar</w:t>
            </w:r>
          </w:p>
        </w:tc>
      </w:tr>
      <w:tr>
        <w:trPr>
          <w:cantSplit w:val="true"/>
        </w:trPr>
        <w:tc>
          <w:tcPr>
            <w:tcW w:type="dxa" w:w="947"/>
          </w:tcPr>
          <w:p>
            <w:pPr>
              <w:spacing w:after="0" w:line="240" w:lineRule="auto"/>
            </w:pPr>
            <w:r/>
            <w:r>
              <w:rPr>
                <w:b/>
                <w:sz w:val="14"/>
              </w:rPr>
              <w:t>WinBack</w:t>
            </w:r>
          </w:p>
        </w:tc>
        <w:tc>
          <w:tcPr>
            <w:tcW w:type="dxa" w:w="947"/>
          </w:tcPr>
          <w:p>
            <w:pPr>
              <w:spacing w:after="0" w:line="240" w:lineRule="auto"/>
            </w:pPr>
            <w:r/>
            <w:r>
              <w:rPr>
                <w:sz w:val="14"/>
              </w:rPr>
              <w:t>5</w:t>
            </w:r>
          </w:p>
        </w:tc>
        <w:tc>
          <w:tcPr>
            <w:tcW w:type="dxa" w:w="1821"/>
          </w:tcPr>
          <w:p>
            <w:pPr>
              <w:spacing w:after="0" w:line="240" w:lineRule="auto"/>
            </w:pPr>
            <w:r/>
            <w:r>
              <w:rPr>
                <w:sz w:val="14"/>
              </w:rPr>
              <w:t>4</w:t>
            </w:r>
          </w:p>
        </w:tc>
        <w:tc>
          <w:tcPr>
            <w:tcW w:type="dxa" w:w="1821"/>
          </w:tcPr>
          <w:p>
            <w:pPr>
              <w:spacing w:after="0" w:line="240" w:lineRule="auto"/>
            </w:pPr>
            <w:r/>
            <w:r>
              <w:rPr>
                <w:sz w:val="14"/>
              </w:rPr>
              <w:t>4</w:t>
            </w:r>
          </w:p>
        </w:tc>
        <w:tc>
          <w:tcPr>
            <w:tcW w:type="dxa" w:w="1238"/>
          </w:tcPr>
          <w:p>
            <w:pPr>
              <w:spacing w:after="0" w:line="240" w:lineRule="auto"/>
            </w:pPr>
            <w:r/>
            <w:r>
              <w:rPr>
                <w:sz w:val="14"/>
              </w:rPr>
              <w:t>4</w:t>
            </w:r>
          </w:p>
        </w:tc>
        <w:tc>
          <w:tcPr>
            <w:tcW w:type="dxa" w:w="1457"/>
          </w:tcPr>
          <w:p>
            <w:pPr>
              <w:spacing w:after="0" w:line="240" w:lineRule="auto"/>
            </w:pPr>
            <w:r/>
            <w:r>
              <w:rPr>
                <w:sz w:val="14"/>
              </w:rPr>
              <w:t>3</w:t>
            </w:r>
          </w:p>
        </w:tc>
        <w:tc>
          <w:tcPr>
            <w:tcW w:type="dxa" w:w="437"/>
          </w:tcPr>
          <w:p>
            <w:pPr>
              <w:spacing w:after="0" w:line="240" w:lineRule="auto"/>
            </w:pPr>
            <w:r/>
            <w:r>
              <w:rPr>
                <w:b/>
                <w:sz w:val="14"/>
              </w:rPr>
              <w:t>4,20</w:t>
            </w:r>
          </w:p>
        </w:tc>
        <w:tc>
          <w:tcPr>
            <w:tcW w:type="dxa" w:w="1530"/>
          </w:tcPr>
          <w:p>
            <w:pPr>
              <w:spacing w:after="0" w:line="240" w:lineRule="auto"/>
            </w:pPr>
            <w:r/>
            <w:r>
              <w:rPr>
                <w:sz w:val="14"/>
              </w:rPr>
              <w:t>Detalhar</w:t>
            </w:r>
          </w:p>
        </w:tc>
      </w:tr>
      <w:tr>
        <w:trPr>
          <w:cantSplit w:val="true"/>
        </w:trPr>
        <w:tc>
          <w:tcPr>
            <w:tcW w:type="dxa" w:w="947"/>
          </w:tcPr>
          <w:p>
            <w:pPr>
              <w:spacing w:after="0" w:line="240" w:lineRule="auto"/>
            </w:pPr>
            <w:r/>
            <w:r>
              <w:rPr>
                <w:sz w:val="14"/>
              </w:rPr>
              <w:t>SellerCare</w:t>
            </w:r>
          </w:p>
        </w:tc>
        <w:tc>
          <w:tcPr>
            <w:tcW w:type="dxa" w:w="947"/>
          </w:tcPr>
          <w:p>
            <w:pPr>
              <w:spacing w:after="0" w:line="240" w:lineRule="auto"/>
            </w:pPr>
            <w:r/>
            <w:r>
              <w:rPr>
                <w:sz w:val="14"/>
              </w:rPr>
              <w:t>4</w:t>
            </w:r>
          </w:p>
        </w:tc>
        <w:tc>
          <w:tcPr>
            <w:tcW w:type="dxa" w:w="1821"/>
          </w:tcPr>
          <w:p>
            <w:pPr>
              <w:spacing w:after="0" w:line="240" w:lineRule="auto"/>
            </w:pPr>
            <w:r/>
            <w:r>
              <w:rPr>
                <w:sz w:val="14"/>
              </w:rPr>
              <w:t>3</w:t>
            </w:r>
          </w:p>
        </w:tc>
        <w:tc>
          <w:tcPr>
            <w:tcW w:type="dxa" w:w="1821"/>
          </w:tcPr>
          <w:p>
            <w:pPr>
              <w:spacing w:after="0" w:line="240" w:lineRule="auto"/>
            </w:pPr>
            <w:r/>
            <w:r>
              <w:rPr>
                <w:sz w:val="14"/>
              </w:rPr>
              <w:t>4</w:t>
            </w:r>
          </w:p>
        </w:tc>
        <w:tc>
          <w:tcPr>
            <w:tcW w:type="dxa" w:w="1238"/>
          </w:tcPr>
          <w:p>
            <w:pPr>
              <w:spacing w:after="0" w:line="240" w:lineRule="auto"/>
            </w:pPr>
            <w:r/>
            <w:r>
              <w:rPr>
                <w:sz w:val="14"/>
              </w:rPr>
              <w:t>3</w:t>
            </w:r>
          </w:p>
        </w:tc>
        <w:tc>
          <w:tcPr>
            <w:tcW w:type="dxa" w:w="1457"/>
          </w:tcPr>
          <w:p>
            <w:pPr>
              <w:spacing w:after="0" w:line="240" w:lineRule="auto"/>
            </w:pPr>
            <w:r/>
            <w:r>
              <w:rPr>
                <w:sz w:val="14"/>
              </w:rPr>
              <w:t>2</w:t>
            </w:r>
          </w:p>
        </w:tc>
        <w:tc>
          <w:tcPr>
            <w:tcW w:type="dxa" w:w="437"/>
          </w:tcPr>
          <w:p>
            <w:pPr>
              <w:spacing w:after="0" w:line="240" w:lineRule="auto"/>
            </w:pPr>
            <w:r/>
            <w:r>
              <w:rPr>
                <w:sz w:val="14"/>
              </w:rPr>
              <w:t>3,40</w:t>
            </w:r>
          </w:p>
        </w:tc>
        <w:tc>
          <w:tcPr>
            <w:tcW w:type="dxa" w:w="1530"/>
          </w:tcPr>
          <w:p>
            <w:pPr>
              <w:spacing w:after="0" w:line="240" w:lineRule="auto"/>
            </w:pPr>
            <w:r/>
            <w:r>
              <w:rPr>
                <w:sz w:val="14"/>
              </w:rPr>
              <w:t>Absorvido / Wave 3</w:t>
            </w:r>
          </w:p>
        </w:tc>
      </w:tr>
      <w:tr>
        <w:trPr>
          <w:cantSplit w:val="true"/>
        </w:trPr>
        <w:tc>
          <w:tcPr>
            <w:tcW w:type="dxa" w:w="947"/>
          </w:tcPr>
          <w:p>
            <w:pPr>
              <w:spacing w:after="0" w:line="240" w:lineRule="auto"/>
            </w:pPr>
            <w:r/>
            <w:r>
              <w:rPr>
                <w:sz w:val="14"/>
              </w:rPr>
              <w:t>SmartFreight</w:t>
            </w:r>
          </w:p>
        </w:tc>
        <w:tc>
          <w:tcPr>
            <w:tcW w:type="dxa" w:w="947"/>
          </w:tcPr>
          <w:p>
            <w:pPr>
              <w:spacing w:after="0" w:line="240" w:lineRule="auto"/>
            </w:pPr>
            <w:r/>
            <w:r>
              <w:rPr>
                <w:sz w:val="14"/>
              </w:rPr>
              <w:t>3</w:t>
            </w:r>
          </w:p>
        </w:tc>
        <w:tc>
          <w:tcPr>
            <w:tcW w:type="dxa" w:w="1821"/>
          </w:tcPr>
          <w:p>
            <w:pPr>
              <w:spacing w:after="0" w:line="240" w:lineRule="auto"/>
            </w:pPr>
            <w:r/>
            <w:r>
              <w:rPr>
                <w:sz w:val="14"/>
              </w:rPr>
              <w:t>3</w:t>
            </w:r>
          </w:p>
        </w:tc>
        <w:tc>
          <w:tcPr>
            <w:tcW w:type="dxa" w:w="1821"/>
          </w:tcPr>
          <w:p>
            <w:pPr>
              <w:spacing w:after="0" w:line="240" w:lineRule="auto"/>
            </w:pPr>
            <w:r/>
            <w:r>
              <w:rPr>
                <w:sz w:val="14"/>
              </w:rPr>
              <w:t>3</w:t>
            </w:r>
          </w:p>
        </w:tc>
        <w:tc>
          <w:tcPr>
            <w:tcW w:type="dxa" w:w="1238"/>
          </w:tcPr>
          <w:p>
            <w:pPr>
              <w:spacing w:after="0" w:line="240" w:lineRule="auto"/>
            </w:pPr>
            <w:r/>
            <w:r>
              <w:rPr>
                <w:sz w:val="14"/>
              </w:rPr>
              <w:t>2</w:t>
            </w:r>
          </w:p>
        </w:tc>
        <w:tc>
          <w:tcPr>
            <w:tcW w:type="dxa" w:w="1457"/>
          </w:tcPr>
          <w:p>
            <w:pPr>
              <w:spacing w:after="0" w:line="240" w:lineRule="auto"/>
            </w:pPr>
            <w:r/>
            <w:r>
              <w:rPr>
                <w:sz w:val="14"/>
              </w:rPr>
              <w:t>2</w:t>
            </w:r>
          </w:p>
        </w:tc>
        <w:tc>
          <w:tcPr>
            <w:tcW w:type="dxa" w:w="437"/>
          </w:tcPr>
          <w:p>
            <w:pPr>
              <w:spacing w:after="0" w:line="240" w:lineRule="auto"/>
            </w:pPr>
            <w:r/>
            <w:r>
              <w:rPr>
                <w:sz w:val="14"/>
              </w:rPr>
              <w:t>2,75</w:t>
            </w:r>
          </w:p>
        </w:tc>
        <w:tc>
          <w:tcPr>
            <w:tcW w:type="dxa" w:w="1530"/>
          </w:tcPr>
          <w:p>
            <w:pPr>
              <w:spacing w:after="0" w:line="240" w:lineRule="auto"/>
            </w:pPr>
            <w:r/>
            <w:r>
              <w:rPr>
                <w:sz w:val="14"/>
              </w:rPr>
              <w:t>Backlog</w:t>
            </w:r>
          </w:p>
        </w:tc>
      </w:tr>
      <w:tr>
        <w:trPr>
          <w:cantSplit w:val="true"/>
        </w:trPr>
        <w:tc>
          <w:tcPr>
            <w:tcW w:type="dxa" w:w="947"/>
          </w:tcPr>
          <w:p>
            <w:pPr>
              <w:spacing w:after="0" w:line="240" w:lineRule="auto"/>
            </w:pPr>
            <w:r/>
            <w:r>
              <w:rPr>
                <w:sz w:val="14"/>
              </w:rPr>
              <w:t>Maestro</w:t>
            </w:r>
          </w:p>
        </w:tc>
        <w:tc>
          <w:tcPr>
            <w:tcW w:type="dxa" w:w="947"/>
          </w:tcPr>
          <w:p>
            <w:pPr>
              <w:spacing w:after="0" w:line="240" w:lineRule="auto"/>
            </w:pPr>
            <w:r/>
            <w:r>
              <w:rPr>
                <w:sz w:val="14"/>
              </w:rPr>
              <w:t>3</w:t>
            </w:r>
          </w:p>
        </w:tc>
        <w:tc>
          <w:tcPr>
            <w:tcW w:type="dxa" w:w="1821"/>
          </w:tcPr>
          <w:p>
            <w:pPr>
              <w:spacing w:after="0" w:line="240" w:lineRule="auto"/>
            </w:pPr>
            <w:r/>
            <w:r>
              <w:rPr>
                <w:sz w:val="14"/>
              </w:rPr>
              <w:t>2</w:t>
            </w:r>
          </w:p>
        </w:tc>
        <w:tc>
          <w:tcPr>
            <w:tcW w:type="dxa" w:w="1821"/>
          </w:tcPr>
          <w:p>
            <w:pPr>
              <w:spacing w:after="0" w:line="240" w:lineRule="auto"/>
            </w:pPr>
            <w:r/>
            <w:r>
              <w:rPr>
                <w:sz w:val="14"/>
              </w:rPr>
              <w:t>2</w:t>
            </w:r>
          </w:p>
        </w:tc>
        <w:tc>
          <w:tcPr>
            <w:tcW w:type="dxa" w:w="1238"/>
          </w:tcPr>
          <w:p>
            <w:pPr>
              <w:spacing w:after="0" w:line="240" w:lineRule="auto"/>
            </w:pPr>
            <w:r/>
            <w:r>
              <w:rPr>
                <w:sz w:val="14"/>
              </w:rPr>
              <w:t>2</w:t>
            </w:r>
          </w:p>
        </w:tc>
        <w:tc>
          <w:tcPr>
            <w:tcW w:type="dxa" w:w="1457"/>
          </w:tcPr>
          <w:p>
            <w:pPr>
              <w:spacing w:after="0" w:line="240" w:lineRule="auto"/>
            </w:pPr>
            <w:r/>
            <w:r>
              <w:rPr>
                <w:sz w:val="14"/>
              </w:rPr>
              <w:t>3</w:t>
            </w:r>
          </w:p>
        </w:tc>
        <w:tc>
          <w:tcPr>
            <w:tcW w:type="dxa" w:w="437"/>
          </w:tcPr>
          <w:p>
            <w:pPr>
              <w:spacing w:after="0" w:line="240" w:lineRule="auto"/>
            </w:pPr>
            <w:r/>
            <w:r>
              <w:rPr>
                <w:sz w:val="14"/>
              </w:rPr>
              <w:t>2,40</w:t>
            </w:r>
          </w:p>
        </w:tc>
        <w:tc>
          <w:tcPr>
            <w:tcW w:type="dxa" w:w="1530"/>
          </w:tcPr>
          <w:p>
            <w:pPr>
              <w:spacing w:after="0" w:line="240" w:lineRule="auto"/>
            </w:pPr>
            <w:r/>
            <w:r>
              <w:rPr>
                <w:sz w:val="14"/>
              </w:rPr>
              <w:t>Fase 4 (orquestração)</w:t>
            </w:r>
          </w:p>
        </w:tc>
      </w:tr>
    </w:tbl>
    <w:p>
      <w:pPr>
        <w:spacing w:after="40"/>
      </w:pP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476399" cy="417099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2_priorizacao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476399" cy="41709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2514E"/>
          <w:sz w:val="17"/>
        </w:rPr>
        <w:t>Matriz impacto × viabilidade dos agentes propostos na Fase 1.</w:t>
      </w:r>
    </w:p>
    <w:p>
      <w:r>
        <w:rPr>
          <w:b/>
        </w:rPr>
        <w:t>O que acontece com os demais agentes:</w:t>
      </w:r>
    </w:p>
    <w:p>
      <w:pPr>
        <w:pStyle w:val="ListBullet"/>
        <w:spacing w:after="40"/>
      </w:pPr>
      <w:r>
        <w:rPr>
          <w:b/>
        </w:rPr>
        <w:t>SellerCare:</w:t>
      </w:r>
      <w:r>
        <w:t xml:space="preserve"> as duas ações de maior evidência foram </w:t>
      </w:r>
      <w:r>
        <w:rPr>
          <w:b/>
        </w:rPr>
        <w:t>absorvidas</w:t>
      </w:r>
      <w:r>
        <w:t>. O lembrete de postagem ficou no LogiPredict, e o ticket ao seller por pedido incorreto, no SentimentDesk. O coaching estruturado de sellers fica para a Wave 3, alimentado pelos dados desses dois agentes.</w:t>
      </w:r>
    </w:p>
    <w:p>
      <w:pPr>
        <w:pStyle w:val="ListBullet"/>
        <w:spacing w:after="40"/>
      </w:pPr>
      <w:r>
        <w:rPr>
          <w:b/>
        </w:rPr>
        <w:t>SmartFreight:</w:t>
      </w:r>
      <w:r>
        <w:t xml:space="preserve"> depende de dados de concorrência e de regras de margem que o dataset não contém. Fica no backlog.</w:t>
      </w:r>
    </w:p>
    <w:p>
      <w:pPr>
        <w:pStyle w:val="ListBullet"/>
        <w:spacing w:after="40"/>
      </w:pPr>
      <w:r>
        <w:rPr>
          <w:b/>
        </w:rPr>
        <w:t>Maestro:</w:t>
      </w:r>
      <w:r>
        <w:t xml:space="preserve"> a orquestração só faz sentido quando houver especialistas em produção. Será desenhada na </w:t>
      </w:r>
      <w:r>
        <w:rPr>
          <w:b/>
        </w:rPr>
        <w:t>Fase 4</w:t>
      </w:r>
      <w:r>
        <w:t xml:space="preserve">, conforme o roadmap do curso. Nesta fase, a interação entre os três agentes acontece por </w:t>
      </w:r>
      <w:r>
        <w:rPr>
          <w:b/>
        </w:rPr>
        <w:t>sinais simples</w:t>
      </w:r>
      <w:r>
        <w:t xml:space="preserve"> (Seção 7.4).</w:t>
      </w:r>
    </w:p>
    <w:p>
      <w:r>
        <w:br w:type="page"/>
      </w:r>
    </w:p>
    <w:p>
      <w:pPr>
        <w:pStyle w:val="Heading1"/>
      </w:pPr>
      <w:r>
        <w:t>5. Como os Agentes Operam na Olist</w:t>
      </w:r>
    </w:p>
    <w:p>
      <w:pPr>
        <w:pStyle w:val="Heading2"/>
      </w:pPr>
      <w:r>
        <w:t>5.1 Visão operacional</w:t>
      </w:r>
    </w:p>
    <w:p>
      <w:r>
        <w:t>Os três agentes atuam em momentos diferentes da mesma jornada e conversam por sinais. Nenhum deles executa decisões financeiras ou reputacionais sozinho.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C9CED6"/>
          <w:left w:val="single" w:sz="4" w:color="C9CED6"/>
          <w:bottom w:val="single" w:sz="4" w:color="C9CED6"/>
          <w:right w:val="single" w:sz="4" w:color="C9CED6"/>
          <w:insideH w:val="single" w:sz="4" w:color="C9CED6"/>
          <w:insideV w:val="single" w:sz="4" w:color="C9CED6"/>
        </w:tblBorders>
        <w:tblCellMar>
          <w:top w:w="68" w:type="dxa"/>
          <w:bottom w:w="68" w:type="dxa"/>
          <w:left w:w="68" w:type="dxa"/>
          <w:right w:w="68" w:type="dxa"/>
        </w:tblCellMar>
      </w:tblPr>
      <w:tblGrid>
        <w:gridCol w:w="2550"/>
        <w:gridCol w:w="2550"/>
        <w:gridCol w:w="2550"/>
        <w:gridCol w:w="2550"/>
      </w:tblGrid>
      <w:tr>
        <w:trPr>
          <w:tblHeader w:val="true"/>
          <w:cantSplit w:val="true"/>
        </w:trPr>
        <w:tc>
          <w:tcPr>
            <w:tcW w:type="dxa" w:w="1447"/>
            <w:shd w:val="clear" w:color="auto" w:fill="E8EEF7"/>
          </w:tcPr>
          <w:p>
            <w:pPr>
              <w:spacing w:after="0" w:line="240" w:lineRule="auto"/>
            </w:pPr>
            <w:r/>
          </w:p>
        </w:tc>
        <w:tc>
          <w:tcPr>
            <w:tcW w:type="dxa" w:w="2893"/>
            <w:shd w:val="clear" w:color="auto" w:fill="E8EEF7"/>
          </w:tcPr>
          <w:p>
            <w:pPr>
              <w:spacing w:after="0" w:line="240" w:lineRule="auto"/>
            </w:pPr>
            <w:r/>
            <w:r>
              <w:rPr>
                <w:b/>
                <w:color w:val="1F3A5F"/>
                <w:sz w:val="17"/>
              </w:rPr>
              <w:t>LogiPredict</w:t>
            </w:r>
          </w:p>
        </w:tc>
        <w:tc>
          <w:tcPr>
            <w:tcW w:type="dxa" w:w="3327"/>
            <w:shd w:val="clear" w:color="auto" w:fill="E8EEF7"/>
          </w:tcPr>
          <w:p>
            <w:pPr>
              <w:spacing w:after="0" w:line="240" w:lineRule="auto"/>
            </w:pPr>
            <w:r/>
            <w:r>
              <w:rPr>
                <w:b/>
                <w:color w:val="1F3A5F"/>
                <w:sz w:val="17"/>
              </w:rPr>
              <w:t>SentimentDesk</w:t>
            </w:r>
          </w:p>
        </w:tc>
        <w:tc>
          <w:tcPr>
            <w:tcW w:type="dxa" w:w="2532"/>
            <w:shd w:val="clear" w:color="auto" w:fill="E8EEF7"/>
          </w:tcPr>
          <w:p>
            <w:pPr>
              <w:spacing w:after="0" w:line="240" w:lineRule="auto"/>
            </w:pPr>
            <w:r/>
            <w:r>
              <w:rPr>
                <w:b/>
                <w:color w:val="1F3A5F"/>
                <w:sz w:val="17"/>
              </w:rPr>
              <w:t>WinBack</w:t>
            </w:r>
          </w:p>
        </w:tc>
      </w:tr>
      <w:tr>
        <w:trPr>
          <w:cantSplit w:val="true"/>
        </w:trPr>
        <w:tc>
          <w:tcPr>
            <w:tcW w:type="dxa" w:w="1447"/>
          </w:tcPr>
          <w:p>
            <w:pPr>
              <w:spacing w:after="0" w:line="240" w:lineRule="auto"/>
            </w:pPr>
            <w:r/>
            <w:r>
              <w:rPr>
                <w:b/>
                <w:sz w:val="17"/>
              </w:rPr>
              <w:t>Momento da jornada</w:t>
            </w:r>
          </w:p>
        </w:tc>
        <w:tc>
          <w:tcPr>
            <w:tcW w:type="dxa" w:w="2893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Aprovação → entrega</w:t>
            </w:r>
          </w:p>
        </w:tc>
        <w:tc>
          <w:tcPr>
            <w:tcW w:type="dxa" w:w="3327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Após a avaliação</w:t>
            </w:r>
          </w:p>
        </w:tc>
        <w:tc>
          <w:tcPr>
            <w:tcW w:type="dxa" w:w="2532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D+7 a D+90 após a 1ª entrega</w:t>
            </w:r>
          </w:p>
        </w:tc>
      </w:tr>
      <w:tr>
        <w:trPr>
          <w:cantSplit w:val="true"/>
        </w:trPr>
        <w:tc>
          <w:tcPr>
            <w:tcW w:type="dxa" w:w="1447"/>
          </w:tcPr>
          <w:p>
            <w:pPr>
              <w:spacing w:after="0" w:line="240" w:lineRule="auto"/>
            </w:pPr>
            <w:r/>
            <w:r>
              <w:rPr>
                <w:b/>
                <w:sz w:val="17"/>
              </w:rPr>
              <w:t>Frequência</w:t>
            </w:r>
          </w:p>
        </w:tc>
        <w:tc>
          <w:tcPr>
            <w:tcW w:type="dxa" w:w="2893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Varredura a cada 6h + eventos</w:t>
            </w:r>
          </w:p>
        </w:tc>
        <w:tc>
          <w:tcPr>
            <w:tcW w:type="dxa" w:w="3327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Por avaliação (tempo real)</w:t>
            </w:r>
          </w:p>
        </w:tc>
        <w:tc>
          <w:tcPr>
            <w:tcW w:type="dxa" w:w="2532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Batch diário</w:t>
            </w:r>
          </w:p>
        </w:tc>
      </w:tr>
      <w:tr>
        <w:trPr>
          <w:cantSplit w:val="true"/>
        </w:trPr>
        <w:tc>
          <w:tcPr>
            <w:tcW w:type="dxa" w:w="1447"/>
          </w:tcPr>
          <w:p>
            <w:pPr>
              <w:spacing w:after="0" w:line="240" w:lineRule="auto"/>
            </w:pPr>
            <w:r/>
            <w:r>
              <w:rPr>
                <w:b/>
                <w:sz w:val="17"/>
              </w:rPr>
              <w:t>Usuários que recebem</w:t>
            </w:r>
          </w:p>
        </w:tc>
        <w:tc>
          <w:tcPr>
            <w:tcW w:type="dxa" w:w="2893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Analista de Operações, seller, cliente</w:t>
            </w:r>
          </w:p>
        </w:tc>
        <w:tc>
          <w:tcPr>
            <w:tcW w:type="dxa" w:w="3327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Analista de CX, seller, cliente</w:t>
            </w:r>
          </w:p>
        </w:tc>
        <w:tc>
          <w:tcPr>
            <w:tcW w:type="dxa" w:w="2532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Analista/Gestor de CRM, cliente</w:t>
            </w:r>
          </w:p>
        </w:tc>
      </w:tr>
      <w:tr>
        <w:trPr>
          <w:cantSplit w:val="true"/>
        </w:trPr>
        <w:tc>
          <w:tcPr>
            <w:tcW w:type="dxa" w:w="1447"/>
          </w:tcPr>
          <w:p>
            <w:pPr>
              <w:spacing w:after="0" w:line="240" w:lineRule="auto"/>
            </w:pPr>
            <w:r/>
            <w:r>
              <w:rPr>
                <w:b/>
                <w:sz w:val="17"/>
              </w:rPr>
              <w:t>Sistemas tocados</w:t>
            </w:r>
          </w:p>
        </w:tc>
        <w:tc>
          <w:tcPr>
            <w:tcW w:type="dxa" w:w="2893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Pedidos, rastreio, mensageria</w:t>
            </w:r>
          </w:p>
        </w:tc>
        <w:tc>
          <w:tcPr>
            <w:tcW w:type="dxa" w:w="3327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Avaliações, atendimento (tickets), mensageria</w:t>
            </w:r>
          </w:p>
        </w:tc>
        <w:tc>
          <w:tcPr>
            <w:tcW w:type="dxa" w:w="2532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CRM, catálogo, mensageria</w:t>
            </w:r>
          </w:p>
        </w:tc>
      </w:tr>
      <w:tr>
        <w:trPr>
          <w:cantSplit w:val="true"/>
        </w:trPr>
        <w:tc>
          <w:tcPr>
            <w:tcW w:type="dxa" w:w="1447"/>
          </w:tcPr>
          <w:p>
            <w:pPr>
              <w:spacing w:after="0" w:line="240" w:lineRule="auto"/>
            </w:pPr>
            <w:r/>
            <w:r>
              <w:rPr>
                <w:b/>
                <w:sz w:val="17"/>
              </w:rPr>
              <w:t>Envia sinal para</w:t>
            </w:r>
          </w:p>
        </w:tc>
        <w:tc>
          <w:tcPr>
            <w:tcW w:type="dxa" w:w="2893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SentimentDesk (pedido em risco)</w:t>
            </w:r>
          </w:p>
        </w:tc>
        <w:tc>
          <w:tcPr>
            <w:tcW w:type="dxa" w:w="3327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LogiPredict (motivo entrega), WinBack (pausar)</w:t>
            </w:r>
          </w:p>
        </w:tc>
        <w:tc>
          <w:tcPr>
            <w:tcW w:type="dxa" w:w="2532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n/a (consome sinais)</w:t>
            </w:r>
          </w:p>
        </w:tc>
      </w:tr>
      <w:tr>
        <w:trPr>
          <w:cantSplit w:val="true"/>
        </w:trPr>
        <w:tc>
          <w:tcPr>
            <w:tcW w:type="dxa" w:w="1447"/>
          </w:tcPr>
          <w:p>
            <w:pPr>
              <w:spacing w:after="0" w:line="240" w:lineRule="auto"/>
            </w:pPr>
            <w:r/>
            <w:r>
              <w:rPr>
                <w:b/>
                <w:sz w:val="17"/>
              </w:rPr>
              <w:t>Nunca faz sozinho</w:t>
            </w:r>
          </w:p>
        </w:tc>
        <w:tc>
          <w:tcPr>
            <w:tcW w:type="dxa" w:w="2893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Trocar transportadora, compensar cliente</w:t>
            </w:r>
          </w:p>
        </w:tc>
        <w:tc>
          <w:tcPr>
            <w:tcW w:type="dxa" w:w="3327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Reembolso, cupom, penalizar seller</w:t>
            </w:r>
          </w:p>
        </w:tc>
        <w:tc>
          <w:tcPr>
            <w:tcW w:type="dxa" w:w="2532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Incentivo &gt; 10%, contato sem opt-in</w:t>
            </w:r>
          </w:p>
        </w:tc>
      </w:tr>
    </w:tbl>
    <w:p>
      <w:pPr>
        <w:spacing w:after="40"/>
      </w:pPr>
    </w:p>
    <w:p>
      <w:pPr>
        <w:pStyle w:val="Heading2"/>
      </w:pPr>
      <w:r>
        <w:t>5.2 Padrão visual dos fluxos</w:t>
      </w:r>
    </w:p>
    <w:p>
      <w:r>
        <w:t xml:space="preserve">Todos os fluxos da Seção 7 usam a mesma legenda: </w:t>
      </w:r>
      <w:r>
        <w:rPr>
          <w:b/>
        </w:rPr>
        <w:t>gatilho</w:t>
      </w:r>
      <w:r>
        <w:t xml:space="preserve"> (caixa escura), </w:t>
      </w:r>
      <w:r>
        <w:rPr>
          <w:b/>
        </w:rPr>
        <w:t>ação do agente</w:t>
      </w:r>
      <w:r>
        <w:t xml:space="preserve"> (cor do agente), </w:t>
      </w:r>
      <w:r>
        <w:rPr>
          <w:b/>
        </w:rPr>
        <w:t>decisão</w:t>
      </w:r>
      <w:r>
        <w:t xml:space="preserve"> (losango amarelo), </w:t>
      </w:r>
      <w:r>
        <w:rPr>
          <w:b/>
        </w:rPr>
        <w:t>humano no loop</w:t>
      </w:r>
      <w:r>
        <w:t xml:space="preserve"> (borda laranja) e </w:t>
      </w:r>
      <w:r>
        <w:rPr>
          <w:b/>
        </w:rPr>
        <w:t>saída</w:t>
      </w:r>
      <w:r>
        <w:t xml:space="preserve"> (verde). As raias separam o que dispara o fluxo, o que o agente faz, o que exige pessoa e o que é entregue.</w:t>
      </w:r>
    </w:p>
    <w:p>
      <w:r>
        <w:br w:type="page"/>
      </w:r>
    </w:p>
    <w:p>
      <w:pPr>
        <w:pStyle w:val="Heading1"/>
      </w:pPr>
      <w:r>
        <w:t>6. Casos de Uso Detalhados</w:t>
      </w:r>
    </w:p>
    <w:p>
      <w:pPr>
        <w:pStyle w:val="Heading2"/>
      </w:pPr>
      <w:r>
        <w:t>6.1 LogiPredict · Guardião do Prazo de Entrega</w:t>
      </w:r>
    </w:p>
    <w:p>
      <w:r>
        <w:rPr>
          <w:b/>
        </w:rPr>
        <w:t>a) Objetivo.</w:t>
      </w:r>
      <w:r>
        <w:t xml:space="preserve"> Reduzir pedidos entregues após o prazo prometido, agindo </w:t>
      </w:r>
      <w:r>
        <w:rPr>
          <w:b/>
        </w:rPr>
        <w:t>antes do vencimento</w:t>
      </w:r>
      <w:r>
        <w:t xml:space="preserve"> em três checkpoints: limite de postagem, postagem efetiva e D-3 do prazo.</w:t>
      </w:r>
    </w:p>
    <w:p>
      <w:r>
        <w:rPr>
          <w:b/>
        </w:rPr>
        <w:t>b) Problema resolvido.</w:t>
      </w:r>
      <w:r>
        <w:t xml:space="preserve"> </w:t>
      </w:r>
      <w:r>
        <w:rPr>
          <w:b/>
        </w:rPr>
        <w:t>8,11%</w:t>
      </w:r>
      <w:r>
        <w:t xml:space="preserve"> dos pedidos entregues atrasam. Em pedidos atrasados, </w:t>
      </w:r>
      <w:r>
        <w:rPr>
          <w:b/>
        </w:rPr>
        <w:t>54%</w:t>
      </w:r>
      <w:r>
        <w:t xml:space="preserve"> das avaliações são nota 1–2. O trânsito responde por </w:t>
      </w:r>
      <w:r>
        <w:rPr>
          <w:b/>
        </w:rPr>
        <w:t>74%</w:t>
      </w:r>
      <w:r>
        <w:t xml:space="preserve"> do tempo de entrega, mas </w:t>
      </w:r>
      <w:r>
        <w:rPr>
          <w:b/>
        </w:rPr>
        <w:t>27%</w:t>
      </w:r>
      <w:r>
        <w:t xml:space="preserve"> dos atrasos começam com o seller postando depois do limite. Hoje, o atraso só aparece quando o cliente reclama. A consequência é perda de reputação, avaliação negativa e menor recompra.</w:t>
      </w:r>
    </w:p>
    <w:p>
      <w:r>
        <w:rPr>
          <w:b/>
        </w:rPr>
        <w:t>c) Usuários envolvidos.</w:t>
      </w:r>
      <w:r>
        <w:t xml:space="preserve"> Analista de Operações Logísticas (decide a tratativa), seller (recebe lembrete), cliente (recebe aviso com nova data), Gestor de Logística (painel por rota).</w:t>
      </w:r>
    </w:p>
    <w:p>
      <w:r>
        <w:rPr>
          <w:b/>
        </w:rPr>
        <w:t>d) Dados utilizados.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C9CED6"/>
          <w:left w:val="single" w:sz="4" w:color="C9CED6"/>
          <w:bottom w:val="single" w:sz="4" w:color="C9CED6"/>
          <w:right w:val="single" w:sz="4" w:color="C9CED6"/>
          <w:insideH w:val="single" w:sz="4" w:color="C9CED6"/>
          <w:insideV w:val="single" w:sz="4" w:color="C9CED6"/>
        </w:tblBorders>
        <w:tblCellMar>
          <w:top w:w="68" w:type="dxa"/>
          <w:bottom w:w="68" w:type="dxa"/>
          <w:left w:w="68" w:type="dxa"/>
          <w:right w:w="68" w:type="dxa"/>
        </w:tblCellMar>
      </w:tblPr>
      <w:tblGrid>
        <w:gridCol w:w="5100"/>
        <w:gridCol w:w="5100"/>
      </w:tblGrid>
      <w:tr>
        <w:trPr>
          <w:tblHeader w:val="true"/>
          <w:cantSplit w:val="true"/>
        </w:trPr>
        <w:tc>
          <w:tcPr>
            <w:tcW w:type="dxa" w:w="3474"/>
            <w:shd w:val="clear" w:color="auto" w:fill="E8EEF7"/>
          </w:tcPr>
          <w:p>
            <w:pPr>
              <w:spacing w:after="0" w:line="240" w:lineRule="auto"/>
            </w:pPr>
            <w:r/>
            <w:r>
              <w:rPr>
                <w:b/>
                <w:color w:val="1F3A5F"/>
                <w:sz w:val="17"/>
              </w:rPr>
              <w:t>Tabela / fonte</w:t>
            </w:r>
          </w:p>
        </w:tc>
        <w:tc>
          <w:tcPr>
            <w:tcW w:type="dxa" w:w="6725"/>
            <w:shd w:val="clear" w:color="auto" w:fill="E8EEF7"/>
          </w:tcPr>
          <w:p>
            <w:pPr>
              <w:spacing w:after="0" w:line="240" w:lineRule="auto"/>
            </w:pPr>
            <w:r/>
            <w:r>
              <w:rPr>
                <w:b/>
                <w:color w:val="1F3A5F"/>
                <w:sz w:val="17"/>
              </w:rPr>
              <w:t>Informação relevante</w:t>
            </w:r>
          </w:p>
        </w:tc>
      </w:tr>
      <w:tr>
        <w:trPr>
          <w:cantSplit w:val="true"/>
        </w:trPr>
        <w:tc>
          <w:tcPr>
            <w:tcW w:type="dxa" w:w="3474"/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color w:val="1F3A5F"/>
                <w:sz w:val="15"/>
              </w:rPr>
              <w:t>orders</w:t>
            </w:r>
          </w:p>
        </w:tc>
        <w:tc>
          <w:tcPr>
            <w:tcW w:type="dxa" w:w="6725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Compra, aprovação, postagem, entrega, prazo estimado</w:t>
            </w:r>
          </w:p>
        </w:tc>
      </w:tr>
      <w:tr>
        <w:trPr>
          <w:cantSplit w:val="true"/>
        </w:trPr>
        <w:tc>
          <w:tcPr>
            <w:tcW w:type="dxa" w:w="3474"/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color w:val="1F3A5F"/>
                <w:sz w:val="15"/>
              </w:rPr>
              <w:t>order_items</w:t>
            </w:r>
          </w:p>
        </w:tc>
        <w:tc>
          <w:tcPr>
            <w:tcW w:type="dxa" w:w="6725"/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color w:val="1F3A5F"/>
                <w:sz w:val="15"/>
              </w:rPr>
              <w:t>shipping_limit_date</w:t>
            </w:r>
            <w:r>
              <w:rPr>
                <w:sz w:val="17"/>
              </w:rPr>
              <w:t xml:space="preserve"> (limite de postagem), seller</w:t>
            </w:r>
          </w:p>
        </w:tc>
      </w:tr>
      <w:tr>
        <w:trPr>
          <w:cantSplit w:val="true"/>
        </w:trPr>
        <w:tc>
          <w:tcPr>
            <w:tcW w:type="dxa" w:w="3474"/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color w:val="1F3A5F"/>
                <w:sz w:val="15"/>
              </w:rPr>
              <w:t>sellers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1F3A5F"/>
                <w:sz w:val="15"/>
              </w:rPr>
              <w:t>customers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1F3A5F"/>
                <w:sz w:val="15"/>
              </w:rPr>
              <w:t>geolocation</w:t>
            </w:r>
          </w:p>
        </w:tc>
        <w:tc>
          <w:tcPr>
            <w:tcW w:type="dxa" w:w="6725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UF de origem e destino, distância</w:t>
            </w:r>
          </w:p>
        </w:tc>
      </w:tr>
      <w:tr>
        <w:trPr>
          <w:cantSplit w:val="true"/>
        </w:trPr>
        <w:tc>
          <w:tcPr>
            <w:tcW w:type="dxa" w:w="3474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Calculado (notebook 08)</w:t>
            </w:r>
          </w:p>
        </w:tc>
        <w:tc>
          <w:tcPr>
            <w:tcW w:type="dxa" w:w="6725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Trânsito mediano/p75/p90 por rota; atraso por UF; histórico de postagem do seller</w:t>
            </w:r>
          </w:p>
        </w:tc>
      </w:tr>
      <w:tr>
        <w:trPr>
          <w:cantSplit w:val="true"/>
        </w:trPr>
        <w:tc>
          <w:tcPr>
            <w:tcW w:type="dxa" w:w="3474"/>
          </w:tcPr>
          <w:p>
            <w:pPr>
              <w:spacing w:after="0" w:line="240" w:lineRule="auto"/>
            </w:pPr>
            <w:r/>
            <w:r>
              <w:rPr>
                <w:b/>
                <w:sz w:val="17"/>
              </w:rPr>
              <w:t>Externo</w:t>
            </w:r>
          </w:p>
        </w:tc>
        <w:tc>
          <w:tcPr>
            <w:tcW w:type="dxa" w:w="6725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Eventos de rastreio da transportadora, feriados, greves, clima</w:t>
            </w:r>
          </w:p>
        </w:tc>
      </w:tr>
    </w:tbl>
    <w:p>
      <w:pPr>
        <w:spacing w:after="40"/>
      </w:pPr>
    </w:p>
    <w:p>
      <w:r>
        <w:rPr>
          <w:b/>
        </w:rPr>
        <w:t>e) Entradas e saídas.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C9CED6"/>
          <w:left w:val="single" w:sz="4" w:color="C9CED6"/>
          <w:bottom w:val="single" w:sz="4" w:color="C9CED6"/>
          <w:right w:val="single" w:sz="4" w:color="C9CED6"/>
          <w:insideH w:val="single" w:sz="4" w:color="C9CED6"/>
          <w:insideV w:val="single" w:sz="4" w:color="C9CED6"/>
        </w:tblBorders>
        <w:tblCellMar>
          <w:top w:w="68" w:type="dxa"/>
          <w:bottom w:w="68" w:type="dxa"/>
          <w:left w:w="68" w:type="dxa"/>
          <w:right w:w="68" w:type="dxa"/>
        </w:tblCellMar>
      </w:tblPr>
      <w:tblGrid>
        <w:gridCol w:w="5100"/>
        <w:gridCol w:w="5100"/>
      </w:tblGrid>
      <w:tr>
        <w:trPr>
          <w:tblHeader w:val="true"/>
          <w:cantSplit w:val="true"/>
        </w:trPr>
        <w:tc>
          <w:tcPr>
            <w:tcW w:type="dxa" w:w="3758"/>
            <w:shd w:val="clear" w:color="auto" w:fill="E8EEF7"/>
          </w:tcPr>
          <w:p>
            <w:pPr>
              <w:spacing w:after="0" w:line="240" w:lineRule="auto"/>
            </w:pPr>
            <w:r/>
            <w:r>
              <w:rPr>
                <w:b/>
                <w:color w:val="1F3A5F"/>
                <w:sz w:val="17"/>
              </w:rPr>
              <w:t>Entrada</w:t>
            </w:r>
          </w:p>
        </w:tc>
        <w:tc>
          <w:tcPr>
            <w:tcW w:type="dxa" w:w="6442"/>
            <w:shd w:val="clear" w:color="auto" w:fill="E8EEF7"/>
          </w:tcPr>
          <w:p>
            <w:pPr>
              <w:spacing w:after="0" w:line="240" w:lineRule="auto"/>
            </w:pPr>
            <w:r/>
            <w:r>
              <w:rPr>
                <w:b/>
                <w:color w:val="1F3A5F"/>
                <w:sz w:val="17"/>
              </w:rPr>
              <w:t>Saída</w:t>
            </w:r>
          </w:p>
        </w:tc>
      </w:tr>
      <w:tr>
        <w:trPr>
          <w:cantSplit w:val="true"/>
        </w:trPr>
        <w:tc>
          <w:tcPr>
            <w:tcW w:type="dxa" w:w="3758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Pedido a 24h do limite sem postagem</w:t>
            </w:r>
          </w:p>
        </w:tc>
        <w:tc>
          <w:tcPr>
            <w:tcW w:type="dxa" w:w="6442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Lembrete ao seller + ocorrência registrada</w:t>
            </w:r>
          </w:p>
        </w:tc>
      </w:tr>
      <w:tr>
        <w:trPr>
          <w:cantSplit w:val="true"/>
        </w:trPr>
        <w:tc>
          <w:tcPr>
            <w:tcW w:type="dxa" w:w="3758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Postagem efetiva</w:t>
            </w:r>
          </w:p>
        </w:tc>
        <w:tc>
          <w:tcPr>
            <w:tcW w:type="dxa" w:w="6442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Score de risco (0–100) com fatores + ação (monitorar ou escalar)</w:t>
            </w:r>
          </w:p>
        </w:tc>
      </w:tr>
      <w:tr>
        <w:trPr>
          <w:cantSplit w:val="true"/>
        </w:trPr>
        <w:tc>
          <w:tcPr>
            <w:tcW w:type="dxa" w:w="3758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D-3 do prazo sem entrega</w:t>
            </w:r>
          </w:p>
        </w:tc>
        <w:tc>
          <w:tcPr>
            <w:tcW w:type="dxa" w:w="6442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Aviso ao cliente com nova data (template aprovado)</w:t>
            </w:r>
          </w:p>
        </w:tc>
      </w:tr>
      <w:tr>
        <w:trPr>
          <w:cantSplit w:val="true"/>
        </w:trPr>
        <w:tc>
          <w:tcPr>
            <w:tcW w:type="dxa" w:w="3758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Fechamento diário</w:t>
            </w:r>
          </w:p>
        </w:tc>
        <w:tc>
          <w:tcPr>
            <w:tcW w:type="dxa" w:w="6442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Painel de risco por rota/UF; sinal "pedido em risco" ao SentimentDesk</w:t>
            </w:r>
          </w:p>
        </w:tc>
      </w:tr>
    </w:tbl>
    <w:p>
      <w:pPr>
        <w:spacing w:after="40"/>
      </w:pPr>
    </w:p>
    <w:p>
      <w:r>
        <w:rPr>
          <w:b/>
        </w:rPr>
        <w:t>f) Indicadores impactados.</w:t>
      </w:r>
      <w:r>
        <w:t xml:space="preserve"> Taxa de atraso (baseline 8,11%), % de postagens após o limite (9,0%), % de notas 1–2 em pedidos de risco, contatos "onde está meu pedido", taxa de falso positivo dos alertas.</w:t>
      </w:r>
    </w:p>
    <w:p>
      <w:r>
        <w:rPr>
          <w:b/>
        </w:rPr>
        <w:t>Faz / não faz.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C9CED6"/>
          <w:left w:val="single" w:sz="4" w:color="C9CED6"/>
          <w:bottom w:val="single" w:sz="4" w:color="C9CED6"/>
          <w:right w:val="single" w:sz="4" w:color="C9CED6"/>
          <w:insideH w:val="single" w:sz="4" w:color="C9CED6"/>
          <w:insideV w:val="single" w:sz="4" w:color="C9CED6"/>
        </w:tblBorders>
        <w:tblCellMar>
          <w:top w:w="68" w:type="dxa"/>
          <w:bottom w:w="68" w:type="dxa"/>
          <w:left w:w="68" w:type="dxa"/>
          <w:right w:w="68" w:type="dxa"/>
        </w:tblCellMar>
      </w:tblPr>
      <w:tblGrid>
        <w:gridCol w:w="5100"/>
        <w:gridCol w:w="5100"/>
      </w:tblGrid>
      <w:tr>
        <w:trPr>
          <w:tblHeader w:val="true"/>
          <w:cantSplit w:val="true"/>
        </w:trPr>
        <w:tc>
          <w:tcPr>
            <w:tcW w:type="dxa" w:w="5100"/>
            <w:shd w:val="clear" w:color="auto" w:fill="E8EEF7"/>
          </w:tcPr>
          <w:p>
            <w:pPr>
              <w:spacing w:after="0" w:line="240" w:lineRule="auto"/>
            </w:pPr>
            <w:r/>
            <w:r>
              <w:rPr>
                <w:b/>
                <w:color w:val="1F3A5F"/>
                <w:sz w:val="17"/>
              </w:rPr>
              <w:t>Faz</w:t>
            </w:r>
          </w:p>
        </w:tc>
        <w:tc>
          <w:tcPr>
            <w:tcW w:type="dxa" w:w="5100"/>
            <w:shd w:val="clear" w:color="auto" w:fill="E8EEF7"/>
          </w:tcPr>
          <w:p>
            <w:pPr>
              <w:spacing w:after="0" w:line="240" w:lineRule="auto"/>
            </w:pPr>
            <w:r/>
            <w:r>
              <w:rPr>
                <w:b/>
                <w:color w:val="1F3A5F"/>
                <w:sz w:val="17"/>
              </w:rPr>
              <w:t>Não faz</w:t>
            </w:r>
          </w:p>
        </w:tc>
      </w:tr>
      <w:tr>
        <w:trPr>
          <w:cantSplit w:val="true"/>
        </w:trPr>
        <w:tc>
          <w:tcPr>
            <w:tcW w:type="dxa" w:w="5100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Calcula risco, lembra o seller, alerta operações, avisa o cliente com data projetada</w:t>
            </w:r>
          </w:p>
        </w:tc>
        <w:tc>
          <w:tcPr>
            <w:tcW w:type="dxa" w:w="5100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Não troca transportadora, não negocia frete, não concede compensação, não avisa o cliente sem projeção de estouro</w:t>
            </w:r>
          </w:p>
        </w:tc>
      </w:tr>
    </w:tbl>
    <w:p>
      <w:pPr>
        <w:spacing w:after="40"/>
      </w:pPr>
    </w:p>
    <w:p>
      <w:r>
        <w:rPr>
          <w:b/>
        </w:rPr>
        <w:t>AS-IS → TO-BE</w:t>
      </w:r>
      <w:r>
        <w:t xml:space="preserve"> </w:t>
      </w:r>
      <w:r>
        <w:rPr>
          <w:i/>
        </w:rPr>
        <w:t>(processo atual presumido, a validar com a área)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C9CED6"/>
          <w:left w:val="single" w:sz="4" w:color="C9CED6"/>
          <w:bottom w:val="single" w:sz="4" w:color="C9CED6"/>
          <w:right w:val="single" w:sz="4" w:color="C9CED6"/>
          <w:insideH w:val="single" w:sz="4" w:color="C9CED6"/>
          <w:insideV w:val="single" w:sz="4" w:color="C9CED6"/>
        </w:tblBorders>
        <w:tblCellMar>
          <w:top w:w="68" w:type="dxa"/>
          <w:bottom w:w="68" w:type="dxa"/>
          <w:left w:w="68" w:type="dxa"/>
          <w:right w:w="68" w:type="dxa"/>
        </w:tblCellMar>
      </w:tblPr>
      <w:tblGrid>
        <w:gridCol w:w="5100"/>
        <w:gridCol w:w="5100"/>
      </w:tblGrid>
      <w:tr>
        <w:trPr>
          <w:tblHeader w:val="true"/>
          <w:cantSplit w:val="true"/>
        </w:trPr>
        <w:tc>
          <w:tcPr>
            <w:tcW w:type="dxa" w:w="4924"/>
            <w:shd w:val="clear" w:color="auto" w:fill="E8EEF7"/>
          </w:tcPr>
          <w:p>
            <w:pPr>
              <w:spacing w:after="0" w:line="240" w:lineRule="auto"/>
            </w:pPr>
            <w:r/>
            <w:r>
              <w:rPr>
                <w:b/>
                <w:color w:val="1F3A5F"/>
                <w:sz w:val="17"/>
              </w:rPr>
              <w:t>Hoje</w:t>
            </w:r>
          </w:p>
        </w:tc>
        <w:tc>
          <w:tcPr>
            <w:tcW w:type="dxa" w:w="5275"/>
            <w:shd w:val="clear" w:color="auto" w:fill="E8EEF7"/>
          </w:tcPr>
          <w:p>
            <w:pPr>
              <w:spacing w:after="0" w:line="240" w:lineRule="auto"/>
            </w:pPr>
            <w:r/>
            <w:r>
              <w:rPr>
                <w:b/>
                <w:color w:val="1F3A5F"/>
                <w:sz w:val="17"/>
              </w:rPr>
              <w:t>Com o LogiPredict</w:t>
            </w:r>
          </w:p>
        </w:tc>
      </w:tr>
      <w:tr>
        <w:trPr>
          <w:cantSplit w:val="true"/>
        </w:trPr>
        <w:tc>
          <w:tcPr>
            <w:tcW w:type="dxa" w:w="4924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O atraso é descoberto quando o cliente reclama ou avalia</w:t>
            </w:r>
          </w:p>
        </w:tc>
        <w:tc>
          <w:tcPr>
            <w:tcW w:type="dxa" w:w="5275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 xml:space="preserve">Risco identificado na postagem; nos pedidos que atrasaram, a postagem ocorreu em mediana </w:t>
            </w:r>
            <w:r>
              <w:rPr>
                <w:b/>
                <w:sz w:val="17"/>
              </w:rPr>
              <w:t>17,5 dias antes do prazo</w:t>
            </w:r>
            <w:r>
              <w:rPr>
                <w:sz w:val="17"/>
              </w:rPr>
              <w:t>, tempo suficiente para agir</w:t>
            </w:r>
          </w:p>
        </w:tc>
      </w:tr>
      <w:tr>
        <w:trPr>
          <w:cantSplit w:val="true"/>
        </w:trPr>
        <w:tc>
          <w:tcPr>
            <w:tcW w:type="dxa" w:w="4924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O seller não é lembrado do limite de postagem</w:t>
            </w:r>
          </w:p>
        </w:tc>
        <w:tc>
          <w:tcPr>
            <w:tcW w:type="dxa" w:w="5275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Lembrete automático 24h antes do limite</w:t>
            </w:r>
          </w:p>
        </w:tc>
      </w:tr>
      <w:tr>
        <w:trPr>
          <w:cantSplit w:val="true"/>
        </w:trPr>
        <w:tc>
          <w:tcPr>
            <w:tcW w:type="dxa" w:w="4924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Aviso ao cliente inexistente ou genérico</w:t>
            </w:r>
          </w:p>
        </w:tc>
        <w:tc>
          <w:tcPr>
            <w:tcW w:type="dxa" w:w="5275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Aviso com nova data, só quando a projeção estoura o prazo</w:t>
            </w:r>
          </w:p>
        </w:tc>
      </w:tr>
    </w:tbl>
    <w:p>
      <w:pPr>
        <w:spacing w:after="40"/>
      </w:pPr>
    </w:p>
    <w:p>
      <w:pPr>
        <w:pStyle w:val="Heading2"/>
      </w:pPr>
      <w:r>
        <w:t>6.2 SentimentDesk · Triagem e Resposta de Avaliações Negativas</w:t>
      </w:r>
    </w:p>
    <w:p>
      <w:r>
        <w:rPr>
          <w:b/>
        </w:rPr>
        <w:t>a) Objetivo.</w:t>
      </w:r>
      <w:r>
        <w:t xml:space="preserve"> Responder rapidamente toda avaliação nota 1 a 3 e </w:t>
      </w:r>
      <w:r>
        <w:rPr>
          <w:b/>
        </w:rPr>
        <w:t>levar o problema a quem pode resolvê-lo</w:t>
      </w:r>
      <w:r>
        <w:t>: transporte, seller ou atendimento.</w:t>
      </w:r>
    </w:p>
    <w:p>
      <w:r>
        <w:rPr>
          <w:b/>
        </w:rPr>
        <w:t>b) Problema resolvido.</w:t>
      </w:r>
      <w:r>
        <w:t xml:space="preserve"> </w:t>
      </w:r>
      <w:r>
        <w:rPr>
          <w:b/>
        </w:rPr>
        <w:t>14,7%</w:t>
      </w:r>
      <w:r>
        <w:t xml:space="preserve"> das avaliações são nota 1 ou 2, cerca de </w:t>
      </w:r>
      <w:r>
        <w:rPr>
          <w:b/>
        </w:rPr>
        <w:t>11,7 mil por ano</w:t>
      </w:r>
      <w:r>
        <w:t>. Quase metade (</w:t>
      </w:r>
      <w:r>
        <w:rPr>
          <w:b/>
        </w:rPr>
        <w:t>47%</w:t>
      </w:r>
      <w:r>
        <w:t xml:space="preserve">) fala de entrega e </w:t>
      </w:r>
      <w:r>
        <w:rPr>
          <w:b/>
        </w:rPr>
        <w:t>18%</w:t>
      </w:r>
      <w:r>
        <w:t xml:space="preserve"> de pedido incorreto (item faltando ou produto errado). Hoje não há visão estruturada desses motivos. Sem triagem, o caso grave fica na mesma fila do simples e o seller reincidente não é identificado. A consequência é detrator não recuperado e problema recorrente sem dono.</w:t>
      </w:r>
    </w:p>
    <w:p>
      <w:r>
        <w:rPr>
          <w:b/>
        </w:rPr>
        <w:t>c) Usuários envolvidos.</w:t>
      </w:r>
      <w:r>
        <w:t xml:space="preserve"> Cliente (recebe resposta), Analista de CX (revisa casos críticos e define compensação), seller (recebe ticket), Gestor de CX (dashboard de motivos).</w:t>
      </w:r>
    </w:p>
    <w:p>
      <w:r>
        <w:rPr>
          <w:b/>
        </w:rPr>
        <w:t>d) Dados utilizados.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C9CED6"/>
          <w:left w:val="single" w:sz="4" w:color="C9CED6"/>
          <w:bottom w:val="single" w:sz="4" w:color="C9CED6"/>
          <w:right w:val="single" w:sz="4" w:color="C9CED6"/>
          <w:insideH w:val="single" w:sz="4" w:color="C9CED6"/>
          <w:insideV w:val="single" w:sz="4" w:color="C9CED6"/>
        </w:tblBorders>
        <w:tblCellMar>
          <w:top w:w="68" w:type="dxa"/>
          <w:bottom w:w="68" w:type="dxa"/>
          <w:left w:w="68" w:type="dxa"/>
          <w:right w:w="68" w:type="dxa"/>
        </w:tblCellMar>
      </w:tblPr>
      <w:tblGrid>
        <w:gridCol w:w="5100"/>
        <w:gridCol w:w="5100"/>
      </w:tblGrid>
      <w:tr>
        <w:trPr>
          <w:tblHeader w:val="true"/>
          <w:cantSplit w:val="true"/>
        </w:trPr>
        <w:tc>
          <w:tcPr>
            <w:tcW w:type="dxa" w:w="3400"/>
            <w:shd w:val="clear" w:color="auto" w:fill="E8EEF7"/>
          </w:tcPr>
          <w:p>
            <w:pPr>
              <w:spacing w:after="0" w:line="240" w:lineRule="auto"/>
            </w:pPr>
            <w:r/>
            <w:r>
              <w:rPr>
                <w:b/>
                <w:color w:val="1F3A5F"/>
                <w:sz w:val="17"/>
              </w:rPr>
              <w:t>Tabela / fonte</w:t>
            </w:r>
          </w:p>
        </w:tc>
        <w:tc>
          <w:tcPr>
            <w:tcW w:type="dxa" w:w="6799"/>
            <w:shd w:val="clear" w:color="auto" w:fill="E8EEF7"/>
          </w:tcPr>
          <w:p>
            <w:pPr>
              <w:spacing w:after="0" w:line="240" w:lineRule="auto"/>
            </w:pPr>
            <w:r/>
            <w:r>
              <w:rPr>
                <w:b/>
                <w:color w:val="1F3A5F"/>
                <w:sz w:val="17"/>
              </w:rPr>
              <w:t>Informação relevante</w:t>
            </w:r>
          </w:p>
        </w:tc>
      </w:tr>
      <w:tr>
        <w:trPr>
          <w:cantSplit w:val="true"/>
        </w:trPr>
        <w:tc>
          <w:tcPr>
            <w:tcW w:type="dxa" w:w="3400"/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color w:val="1F3A5F"/>
                <w:sz w:val="15"/>
              </w:rPr>
              <w:t>order_reviews</w:t>
            </w:r>
          </w:p>
        </w:tc>
        <w:tc>
          <w:tcPr>
            <w:tcW w:type="dxa" w:w="6799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Nota, título, comentário, data</w:t>
            </w:r>
          </w:p>
        </w:tc>
      </w:tr>
      <w:tr>
        <w:trPr>
          <w:cantSplit w:val="true"/>
        </w:trPr>
        <w:tc>
          <w:tcPr>
            <w:tcW w:type="dxa" w:w="3400"/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color w:val="1F3A5F"/>
                <w:sz w:val="15"/>
              </w:rPr>
              <w:t>orders</w:t>
            </w:r>
          </w:p>
        </w:tc>
        <w:tc>
          <w:tcPr>
            <w:tcW w:type="dxa" w:w="6799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Datas e status do pedido; atraso</w:t>
            </w:r>
          </w:p>
        </w:tc>
      </w:tr>
      <w:tr>
        <w:trPr>
          <w:cantSplit w:val="true"/>
        </w:trPr>
        <w:tc>
          <w:tcPr>
            <w:tcW w:type="dxa" w:w="3400"/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color w:val="1F3A5F"/>
                <w:sz w:val="15"/>
              </w:rPr>
              <w:t>order_items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1F3A5F"/>
                <w:sz w:val="15"/>
              </w:rPr>
              <w:t>products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1F3A5F"/>
                <w:sz w:val="15"/>
              </w:rPr>
              <w:t>sellers</w:t>
            </w:r>
          </w:p>
        </w:tc>
        <w:tc>
          <w:tcPr>
            <w:tcW w:type="dxa" w:w="6799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Nº de itens e sellers no pedido, categoria</w:t>
            </w:r>
          </w:p>
        </w:tc>
      </w:tr>
      <w:tr>
        <w:trPr>
          <w:cantSplit w:val="true"/>
        </w:trPr>
        <w:tc>
          <w:tcPr>
            <w:tcW w:type="dxa" w:w="3400"/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color w:val="1F3A5F"/>
                <w:sz w:val="15"/>
              </w:rPr>
              <w:t>order_payments</w:t>
            </w:r>
          </w:p>
        </w:tc>
        <w:tc>
          <w:tcPr>
            <w:tcW w:type="dxa" w:w="6799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Valor do pedido (critério de alçada)</w:t>
            </w:r>
          </w:p>
        </w:tc>
      </w:tr>
      <w:tr>
        <w:trPr>
          <w:cantSplit w:val="true"/>
        </w:trPr>
        <w:tc>
          <w:tcPr>
            <w:tcW w:type="dxa" w:w="3400"/>
          </w:tcPr>
          <w:p>
            <w:pPr>
              <w:spacing w:after="0" w:line="240" w:lineRule="auto"/>
            </w:pPr>
            <w:r/>
            <w:r>
              <w:rPr>
                <w:b/>
                <w:sz w:val="17"/>
              </w:rPr>
              <w:t>Externo</w:t>
            </w:r>
          </w:p>
        </w:tc>
        <w:tc>
          <w:tcPr>
            <w:tcW w:type="dxa" w:w="6799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Sistema de tickets, histórico de contatos do cliente, reclamações em canais públicos</w:t>
            </w:r>
          </w:p>
        </w:tc>
      </w:tr>
    </w:tbl>
    <w:p>
      <w:pPr>
        <w:spacing w:after="40"/>
      </w:pPr>
    </w:p>
    <w:p>
      <w:r>
        <w:rPr>
          <w:b/>
        </w:rPr>
        <w:t>e) Entradas e saídas.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C9CED6"/>
          <w:left w:val="single" w:sz="4" w:color="C9CED6"/>
          <w:bottom w:val="single" w:sz="4" w:color="C9CED6"/>
          <w:right w:val="single" w:sz="4" w:color="C9CED6"/>
          <w:insideH w:val="single" w:sz="4" w:color="C9CED6"/>
          <w:insideV w:val="single" w:sz="4" w:color="C9CED6"/>
        </w:tblBorders>
        <w:tblCellMar>
          <w:top w:w="68" w:type="dxa"/>
          <w:bottom w:w="68" w:type="dxa"/>
          <w:left w:w="68" w:type="dxa"/>
          <w:right w:w="68" w:type="dxa"/>
        </w:tblCellMar>
      </w:tblPr>
      <w:tblGrid>
        <w:gridCol w:w="5100"/>
        <w:gridCol w:w="5100"/>
      </w:tblGrid>
      <w:tr>
        <w:trPr>
          <w:tblHeader w:val="true"/>
          <w:cantSplit w:val="true"/>
        </w:trPr>
        <w:tc>
          <w:tcPr>
            <w:tcW w:type="dxa" w:w="4878"/>
            <w:shd w:val="clear" w:color="auto" w:fill="E8EEF7"/>
          </w:tcPr>
          <w:p>
            <w:pPr>
              <w:spacing w:after="0" w:line="240" w:lineRule="auto"/>
            </w:pPr>
            <w:r/>
            <w:r>
              <w:rPr>
                <w:b/>
                <w:color w:val="1F3A5F"/>
                <w:sz w:val="17"/>
              </w:rPr>
              <w:t>Entrada</w:t>
            </w:r>
          </w:p>
        </w:tc>
        <w:tc>
          <w:tcPr>
            <w:tcW w:type="dxa" w:w="5321"/>
            <w:shd w:val="clear" w:color="auto" w:fill="E8EEF7"/>
          </w:tcPr>
          <w:p>
            <w:pPr>
              <w:spacing w:after="0" w:line="240" w:lineRule="auto"/>
            </w:pPr>
            <w:r/>
            <w:r>
              <w:rPr>
                <w:b/>
                <w:color w:val="1F3A5F"/>
                <w:sz w:val="17"/>
              </w:rPr>
              <w:t>Saída</w:t>
            </w:r>
          </w:p>
        </w:tc>
      </w:tr>
      <w:tr>
        <w:trPr>
          <w:cantSplit w:val="true"/>
        </w:trPr>
        <w:tc>
          <w:tcPr>
            <w:tcW w:type="dxa" w:w="4878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Avaliação nota 1–3 (com ou sem texto) + dados do pedido</w:t>
            </w:r>
          </w:p>
        </w:tc>
        <w:tc>
          <w:tcPr>
            <w:tcW w:type="dxa" w:w="5321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Motivo (taxonomia fixa de 8), severidade, responsável e resumo</w:t>
            </w:r>
          </w:p>
        </w:tc>
      </w:tr>
      <w:tr>
        <w:trPr>
          <w:cantSplit w:val="true"/>
        </w:trPr>
        <w:tc>
          <w:tcPr>
            <w:tcW w:type="dxa" w:w="4878"/>
          </w:tcPr>
          <w:p>
            <w:pPr>
              <w:spacing w:after="0" w:line="240" w:lineRule="auto"/>
            </w:pPr>
            <w:r/>
          </w:p>
        </w:tc>
        <w:tc>
          <w:tcPr>
            <w:tcW w:type="dxa" w:w="5321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Resposta ao cliente (até 600 caracteres) ou rascunho para revisão</w:t>
            </w:r>
          </w:p>
        </w:tc>
      </w:tr>
      <w:tr>
        <w:trPr>
          <w:cantSplit w:val="true"/>
        </w:trPr>
        <w:tc>
          <w:tcPr>
            <w:tcW w:type="dxa" w:w="4878"/>
          </w:tcPr>
          <w:p>
            <w:pPr>
              <w:spacing w:after="0" w:line="240" w:lineRule="auto"/>
            </w:pPr>
            <w:r/>
          </w:p>
        </w:tc>
        <w:tc>
          <w:tcPr>
            <w:tcW w:type="dxa" w:w="5321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Ticket ao seller; sinal ao LogiPredict (entrega) e ao WinBack (pausar)</w:t>
            </w:r>
          </w:p>
        </w:tc>
      </w:tr>
      <w:tr>
        <w:trPr>
          <w:cantSplit w:val="true"/>
        </w:trPr>
        <w:tc>
          <w:tcPr>
            <w:tcW w:type="dxa" w:w="4878"/>
          </w:tcPr>
          <w:p>
            <w:pPr>
              <w:spacing w:after="0" w:line="240" w:lineRule="auto"/>
            </w:pPr>
            <w:r/>
          </w:p>
        </w:tc>
        <w:tc>
          <w:tcPr>
            <w:tcW w:type="dxa" w:w="5321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Dashboard semanal de motivos por seller e categoria</w:t>
            </w:r>
          </w:p>
        </w:tc>
      </w:tr>
    </w:tbl>
    <w:p>
      <w:pPr>
        <w:spacing w:after="40"/>
      </w:pPr>
    </w:p>
    <w:p>
      <w:r>
        <w:rPr>
          <w:b/>
        </w:rPr>
        <w:t>f) Indicadores impactados.</w:t>
      </w:r>
      <w:r>
        <w:t xml:space="preserve"> Tempo até a 1ª resposta (baseline a medir), % de detratores com caso resolvido, % de classificação correta em auditoria amostral, reincidência por seller, nota média.</w:t>
      </w:r>
    </w:p>
    <w:p>
      <w:r>
        <w:rPr>
          <w:b/>
        </w:rPr>
        <w:t>Faz / não faz.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C9CED6"/>
          <w:left w:val="single" w:sz="4" w:color="C9CED6"/>
          <w:bottom w:val="single" w:sz="4" w:color="C9CED6"/>
          <w:right w:val="single" w:sz="4" w:color="C9CED6"/>
          <w:insideH w:val="single" w:sz="4" w:color="C9CED6"/>
          <w:insideV w:val="single" w:sz="4" w:color="C9CED6"/>
        </w:tblBorders>
        <w:tblCellMar>
          <w:top w:w="68" w:type="dxa"/>
          <w:bottom w:w="68" w:type="dxa"/>
          <w:left w:w="68" w:type="dxa"/>
          <w:right w:w="68" w:type="dxa"/>
        </w:tblCellMar>
      </w:tblPr>
      <w:tblGrid>
        <w:gridCol w:w="5100"/>
        <w:gridCol w:w="5100"/>
      </w:tblGrid>
      <w:tr>
        <w:trPr>
          <w:tblHeader w:val="true"/>
          <w:cantSplit w:val="true"/>
        </w:trPr>
        <w:tc>
          <w:tcPr>
            <w:tcW w:type="dxa" w:w="5100"/>
            <w:shd w:val="clear" w:color="auto" w:fill="E8EEF7"/>
          </w:tcPr>
          <w:p>
            <w:pPr>
              <w:spacing w:after="0" w:line="240" w:lineRule="auto"/>
            </w:pPr>
            <w:r/>
            <w:r>
              <w:rPr>
                <w:b/>
                <w:color w:val="1F3A5F"/>
                <w:sz w:val="17"/>
              </w:rPr>
              <w:t>Faz</w:t>
            </w:r>
          </w:p>
        </w:tc>
        <w:tc>
          <w:tcPr>
            <w:tcW w:type="dxa" w:w="5100"/>
            <w:shd w:val="clear" w:color="auto" w:fill="E8EEF7"/>
          </w:tcPr>
          <w:p>
            <w:pPr>
              <w:spacing w:after="0" w:line="240" w:lineRule="auto"/>
            </w:pPr>
            <w:r/>
            <w:r>
              <w:rPr>
                <w:b/>
                <w:color w:val="1F3A5F"/>
                <w:sz w:val="17"/>
              </w:rPr>
              <w:t>Não faz</w:t>
            </w:r>
          </w:p>
        </w:tc>
      </w:tr>
      <w:tr>
        <w:trPr>
          <w:cantSplit w:val="true"/>
        </w:trPr>
        <w:tc>
          <w:tcPr>
            <w:tcW w:type="dxa" w:w="5100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Classifica, resume, responde com template seguro, abre ticket, sinaliza outros agentes</w:t>
            </w:r>
          </w:p>
        </w:tc>
        <w:tc>
          <w:tcPr>
            <w:tcW w:type="dxa" w:w="5100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Não promete reembolso, troca ou cupom; não penaliza seller; não responde caso crítico sem revisão humana</w:t>
            </w:r>
          </w:p>
        </w:tc>
      </w:tr>
    </w:tbl>
    <w:p>
      <w:pPr>
        <w:spacing w:after="40"/>
      </w:pPr>
    </w:p>
    <w:p>
      <w:r>
        <w:rPr>
          <w:b/>
        </w:rPr>
        <w:t>AS-IS → TO-BE</w:t>
      </w:r>
      <w:r>
        <w:t xml:space="preserve"> </w:t>
      </w:r>
      <w:r>
        <w:rPr>
          <w:i/>
        </w:rPr>
        <w:t>(presumido)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C9CED6"/>
          <w:left w:val="single" w:sz="4" w:color="C9CED6"/>
          <w:bottom w:val="single" w:sz="4" w:color="C9CED6"/>
          <w:right w:val="single" w:sz="4" w:color="C9CED6"/>
          <w:insideH w:val="single" w:sz="4" w:color="C9CED6"/>
          <w:insideV w:val="single" w:sz="4" w:color="C9CED6"/>
        </w:tblBorders>
        <w:tblCellMar>
          <w:top w:w="68" w:type="dxa"/>
          <w:bottom w:w="68" w:type="dxa"/>
          <w:left w:w="68" w:type="dxa"/>
          <w:right w:w="68" w:type="dxa"/>
        </w:tblCellMar>
      </w:tblPr>
      <w:tblGrid>
        <w:gridCol w:w="5100"/>
        <w:gridCol w:w="5100"/>
      </w:tblGrid>
      <w:tr>
        <w:trPr>
          <w:tblHeader w:val="true"/>
          <w:cantSplit w:val="true"/>
        </w:trPr>
        <w:tc>
          <w:tcPr>
            <w:tcW w:type="dxa" w:w="4969"/>
            <w:shd w:val="clear" w:color="auto" w:fill="E8EEF7"/>
          </w:tcPr>
          <w:p>
            <w:pPr>
              <w:spacing w:after="0" w:line="240" w:lineRule="auto"/>
            </w:pPr>
            <w:r/>
            <w:r>
              <w:rPr>
                <w:b/>
                <w:color w:val="1F3A5F"/>
                <w:sz w:val="17"/>
              </w:rPr>
              <w:t>Hoje</w:t>
            </w:r>
          </w:p>
        </w:tc>
        <w:tc>
          <w:tcPr>
            <w:tcW w:type="dxa" w:w="5230"/>
            <w:shd w:val="clear" w:color="auto" w:fill="E8EEF7"/>
          </w:tcPr>
          <w:p>
            <w:pPr>
              <w:spacing w:after="0" w:line="240" w:lineRule="auto"/>
            </w:pPr>
            <w:r/>
            <w:r>
              <w:rPr>
                <w:b/>
                <w:color w:val="1F3A5F"/>
                <w:sz w:val="17"/>
              </w:rPr>
              <w:t>Com o SentimentDesk</w:t>
            </w:r>
          </w:p>
        </w:tc>
      </w:tr>
      <w:tr>
        <w:trPr>
          <w:cantSplit w:val="true"/>
        </w:trPr>
        <w:tc>
          <w:tcPr>
            <w:tcW w:type="dxa" w:w="4969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Avaliação negativa lida manualmente, sem padrão de motivo</w:t>
            </w:r>
          </w:p>
        </w:tc>
        <w:tc>
          <w:tcPr>
            <w:tcW w:type="dxa" w:w="5230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Motivo, severidade e responsável em segundos</w:t>
            </w:r>
          </w:p>
        </w:tc>
      </w:tr>
      <w:tr>
        <w:trPr>
          <w:cantSplit w:val="true"/>
        </w:trPr>
        <w:tc>
          <w:tcPr>
            <w:tcW w:type="dxa" w:w="4969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Casos graves e simples na mesma fila</w:t>
            </w:r>
          </w:p>
        </w:tc>
        <w:tc>
          <w:tcPr>
            <w:tcW w:type="dxa" w:w="5230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Casos críticos vão direto ao analista, com resumo</w:t>
            </w:r>
          </w:p>
        </w:tc>
      </w:tr>
      <w:tr>
        <w:trPr>
          <w:cantSplit w:val="true"/>
        </w:trPr>
        <w:tc>
          <w:tcPr>
            <w:tcW w:type="dxa" w:w="4969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Seller reincidente invisível</w:t>
            </w:r>
          </w:p>
        </w:tc>
        <w:tc>
          <w:tcPr>
            <w:tcW w:type="dxa" w:w="5230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Dashboard de motivos por seller alimenta a gestão de sellers</w:t>
            </w:r>
          </w:p>
        </w:tc>
      </w:tr>
    </w:tbl>
    <w:p>
      <w:pPr>
        <w:spacing w:after="40"/>
      </w:pPr>
    </w:p>
    <w:p>
      <w:pPr>
        <w:pStyle w:val="Heading2"/>
      </w:pPr>
      <w:r>
        <w:t>6.3 WinBack · Segunda Compra</w:t>
      </w:r>
    </w:p>
    <w:p>
      <w:r>
        <w:rPr>
          <w:b/>
        </w:rPr>
        <w:t>a) Objetivo.</w:t>
      </w:r>
      <w:r>
        <w:t xml:space="preserve"> Aumentar a conversão da </w:t>
      </w:r>
      <w:r>
        <w:rPr>
          <w:b/>
        </w:rPr>
        <w:t>1ª para a 2ª compra</w:t>
      </w:r>
      <w:r>
        <w:t xml:space="preserve"> com contato relevante e no momento certo, dentro da janela de 90 dias.</w:t>
      </w:r>
    </w:p>
    <w:p>
      <w:r>
        <w:rPr>
          <w:b/>
        </w:rPr>
        <w:t>b) Problema resolvido.</w:t>
      </w:r>
      <w:r>
        <w:t xml:space="preserve"> Só </w:t>
      </w:r>
      <w:r>
        <w:rPr>
          <w:b/>
        </w:rPr>
        <w:t>3,0%</w:t>
      </w:r>
      <w:r>
        <w:t xml:space="preserve"> dos 93.358 clientes compram de novo, e só </w:t>
      </w:r>
      <w:r>
        <w:rPr>
          <w:b/>
        </w:rPr>
        <w:t>1,13%</w:t>
      </w:r>
      <w:r>
        <w:t xml:space="preserve"> voltam em até 90 dias. Mas quando o cliente volta, volta cedo: </w:t>
      </w:r>
      <w:r>
        <w:rPr>
          <w:b/>
        </w:rPr>
        <w:t>54%</w:t>
      </w:r>
      <w:r>
        <w:t xml:space="preserve"> das segundas compras acontecem em até 90 dias. Hoje não há ação estruturada nessa janela. A consequência é custo de aquisição pago para uma única venda.</w:t>
      </w:r>
    </w:p>
    <w:p>
      <w:r>
        <w:rPr>
          <w:b/>
        </w:rPr>
        <w:t>c) Usuários envolvidos.</w:t>
      </w:r>
      <w:r>
        <w:t xml:space="preserve"> Cliente (recebe mensagem), Analista de CRM (acompanha campanhas), Gestor de CRM (aprova incentivo acima do teto), Marketing (relatório de uplift).</w:t>
      </w:r>
    </w:p>
    <w:p>
      <w:r>
        <w:rPr>
          <w:b/>
        </w:rPr>
        <w:t>d) Dados utilizados.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C9CED6"/>
          <w:left w:val="single" w:sz="4" w:color="C9CED6"/>
          <w:bottom w:val="single" w:sz="4" w:color="C9CED6"/>
          <w:right w:val="single" w:sz="4" w:color="C9CED6"/>
          <w:insideH w:val="single" w:sz="4" w:color="C9CED6"/>
          <w:insideV w:val="single" w:sz="4" w:color="C9CED6"/>
        </w:tblBorders>
        <w:tblCellMar>
          <w:top w:w="68" w:type="dxa"/>
          <w:bottom w:w="68" w:type="dxa"/>
          <w:left w:w="68" w:type="dxa"/>
          <w:right w:w="68" w:type="dxa"/>
        </w:tblCellMar>
      </w:tblPr>
      <w:tblGrid>
        <w:gridCol w:w="5100"/>
        <w:gridCol w:w="5100"/>
      </w:tblGrid>
      <w:tr>
        <w:trPr>
          <w:tblHeader w:val="true"/>
          <w:cantSplit w:val="true"/>
        </w:trPr>
        <w:tc>
          <w:tcPr>
            <w:tcW w:type="dxa" w:w="2644"/>
            <w:shd w:val="clear" w:color="auto" w:fill="E8EEF7"/>
          </w:tcPr>
          <w:p>
            <w:pPr>
              <w:spacing w:after="0" w:line="240" w:lineRule="auto"/>
            </w:pPr>
            <w:r/>
            <w:r>
              <w:rPr>
                <w:b/>
                <w:color w:val="1F3A5F"/>
                <w:sz w:val="17"/>
              </w:rPr>
              <w:t>Tabela / fonte</w:t>
            </w:r>
          </w:p>
        </w:tc>
        <w:tc>
          <w:tcPr>
            <w:tcW w:type="dxa" w:w="7555"/>
            <w:shd w:val="clear" w:color="auto" w:fill="E8EEF7"/>
          </w:tcPr>
          <w:p>
            <w:pPr>
              <w:spacing w:after="0" w:line="240" w:lineRule="auto"/>
            </w:pPr>
            <w:r/>
            <w:r>
              <w:rPr>
                <w:b/>
                <w:color w:val="1F3A5F"/>
                <w:sz w:val="17"/>
              </w:rPr>
              <w:t>Informação relevante</w:t>
            </w:r>
          </w:p>
        </w:tc>
      </w:tr>
      <w:tr>
        <w:trPr>
          <w:cantSplit w:val="true"/>
        </w:trPr>
        <w:tc>
          <w:tcPr>
            <w:tcW w:type="dxa" w:w="2644"/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color w:val="1F3A5F"/>
                <w:sz w:val="15"/>
              </w:rPr>
              <w:t>orders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1F3A5F"/>
                <w:sz w:val="15"/>
              </w:rPr>
              <w:t>customers</w:t>
            </w:r>
          </w:p>
        </w:tc>
        <w:tc>
          <w:tcPr>
            <w:tcW w:type="dxa" w:w="7555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1ª compra, data de entrega, recorrência (</w:t>
            </w:r>
            <w:r>
              <w:rPr>
                <w:rFonts w:ascii="Consolas" w:hAnsi="Consolas"/>
                <w:color w:val="1F3A5F"/>
                <w:sz w:val="15"/>
              </w:rPr>
              <w:t>customer_unique_id</w:t>
            </w:r>
            <w:r>
              <w:rPr>
                <w:sz w:val="17"/>
              </w:rPr>
              <w:t>)</w:t>
            </w:r>
          </w:p>
        </w:tc>
      </w:tr>
      <w:tr>
        <w:trPr>
          <w:cantSplit w:val="true"/>
        </w:trPr>
        <w:tc>
          <w:tcPr>
            <w:tcW w:type="dxa" w:w="2644"/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color w:val="1F3A5F"/>
                <w:sz w:val="15"/>
              </w:rPr>
              <w:t>order_items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1F3A5F"/>
                <w:sz w:val="15"/>
              </w:rPr>
              <w:t>products</w:t>
            </w:r>
          </w:p>
        </w:tc>
        <w:tc>
          <w:tcPr>
            <w:tcW w:type="dxa" w:w="7555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Categoria da 1ª compra; categorias da 2ª compra por perfil</w:t>
            </w:r>
          </w:p>
        </w:tc>
      </w:tr>
      <w:tr>
        <w:trPr>
          <w:cantSplit w:val="true"/>
        </w:trPr>
        <w:tc>
          <w:tcPr>
            <w:tcW w:type="dxa" w:w="2644"/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color w:val="1F3A5F"/>
                <w:sz w:val="15"/>
              </w:rPr>
              <w:t>order_reviews</w:t>
            </w:r>
          </w:p>
        </w:tc>
        <w:tc>
          <w:tcPr>
            <w:tcW w:type="dxa" w:w="7555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Nota da 1ª compra</w:t>
            </w:r>
          </w:p>
        </w:tc>
      </w:tr>
      <w:tr>
        <w:trPr>
          <w:cantSplit w:val="true"/>
        </w:trPr>
        <w:tc>
          <w:tcPr>
            <w:tcW w:type="dxa" w:w="2644"/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color w:val="1F3A5F"/>
                <w:sz w:val="15"/>
              </w:rPr>
              <w:t>order_payments</w:t>
            </w:r>
          </w:p>
        </w:tc>
        <w:tc>
          <w:tcPr>
            <w:tcW w:type="dxa" w:w="7555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Valor da 1ª compra</w:t>
            </w:r>
          </w:p>
        </w:tc>
      </w:tr>
      <w:tr>
        <w:trPr>
          <w:cantSplit w:val="true"/>
        </w:trPr>
        <w:tc>
          <w:tcPr>
            <w:tcW w:type="dxa" w:w="2644"/>
          </w:tcPr>
          <w:p>
            <w:pPr>
              <w:spacing w:after="0" w:line="240" w:lineRule="auto"/>
            </w:pPr>
            <w:r/>
            <w:r>
              <w:rPr>
                <w:b/>
                <w:sz w:val="17"/>
              </w:rPr>
              <w:t>Externo</w:t>
            </w:r>
          </w:p>
        </w:tc>
        <w:tc>
          <w:tcPr>
            <w:tcW w:type="dxa" w:w="7555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Opt-in (LGPD), histórico de contatos, catálogo e estoque atuais, teto de incentivo</w:t>
            </w:r>
          </w:p>
        </w:tc>
      </w:tr>
    </w:tbl>
    <w:p>
      <w:pPr>
        <w:spacing w:after="40"/>
      </w:pPr>
    </w:p>
    <w:p>
      <w:r>
        <w:rPr>
          <w:b/>
        </w:rPr>
        <w:t>e) Entradas e saídas.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C9CED6"/>
          <w:left w:val="single" w:sz="4" w:color="C9CED6"/>
          <w:bottom w:val="single" w:sz="4" w:color="C9CED6"/>
          <w:right w:val="single" w:sz="4" w:color="C9CED6"/>
          <w:insideH w:val="single" w:sz="4" w:color="C9CED6"/>
          <w:insideV w:val="single" w:sz="4" w:color="C9CED6"/>
        </w:tblBorders>
        <w:tblCellMar>
          <w:top w:w="68" w:type="dxa"/>
          <w:bottom w:w="68" w:type="dxa"/>
          <w:left w:w="68" w:type="dxa"/>
          <w:right w:w="68" w:type="dxa"/>
        </w:tblCellMar>
      </w:tblPr>
      <w:tblGrid>
        <w:gridCol w:w="5100"/>
        <w:gridCol w:w="5100"/>
      </w:tblGrid>
      <w:tr>
        <w:trPr>
          <w:tblHeader w:val="true"/>
          <w:cantSplit w:val="true"/>
        </w:trPr>
        <w:tc>
          <w:tcPr>
            <w:tcW w:type="dxa" w:w="3825"/>
            <w:shd w:val="clear" w:color="auto" w:fill="E8EEF7"/>
          </w:tcPr>
          <w:p>
            <w:pPr>
              <w:spacing w:after="0" w:line="240" w:lineRule="auto"/>
            </w:pPr>
            <w:r/>
            <w:r>
              <w:rPr>
                <w:b/>
                <w:color w:val="1F3A5F"/>
                <w:sz w:val="17"/>
              </w:rPr>
              <w:t>Entrada</w:t>
            </w:r>
          </w:p>
        </w:tc>
        <w:tc>
          <w:tcPr>
            <w:tcW w:type="dxa" w:w="6374"/>
            <w:shd w:val="clear" w:color="auto" w:fill="E8EEF7"/>
          </w:tcPr>
          <w:p>
            <w:pPr>
              <w:spacing w:after="0" w:line="240" w:lineRule="auto"/>
            </w:pPr>
            <w:r/>
            <w:r>
              <w:rPr>
                <w:b/>
                <w:color w:val="1F3A5F"/>
                <w:sz w:val="17"/>
              </w:rPr>
              <w:t>Saída</w:t>
            </w:r>
          </w:p>
        </w:tc>
      </w:tr>
      <w:tr>
        <w:trPr>
          <w:cantSplit w:val="true"/>
        </w:trPr>
        <w:tc>
          <w:tcPr>
            <w:tcW w:type="dxa" w:w="3825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Cliente atinge D+7 após a 1ª entrega</w:t>
            </w:r>
          </w:p>
        </w:tc>
        <w:tc>
          <w:tcPr>
            <w:tcW w:type="dxa" w:w="6374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Decisão: não contatar, pausar ou enviar mensagem (com ou sem incentivo)</w:t>
            </w:r>
          </w:p>
        </w:tc>
      </w:tr>
      <w:tr>
        <w:trPr>
          <w:cantSplit w:val="true"/>
        </w:trPr>
        <w:tc>
          <w:tcPr>
            <w:tcW w:type="dxa" w:w="3825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Sinal "pausar" do SentimentDesk</w:t>
            </w:r>
          </w:p>
        </w:tc>
        <w:tc>
          <w:tcPr>
            <w:tcW w:type="dxa" w:w="6374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Mensagem personalizada com até 2 categorias recomendadas</w:t>
            </w:r>
          </w:p>
        </w:tc>
      </w:tr>
      <w:tr>
        <w:trPr>
          <w:cantSplit w:val="true"/>
        </w:trPr>
        <w:tc>
          <w:tcPr>
            <w:tcW w:type="dxa" w:w="3825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Ticket resolvido</w:t>
            </w:r>
          </w:p>
        </w:tc>
        <w:tc>
          <w:tcPr>
            <w:tcW w:type="dxa" w:w="6374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Mensagem de desculpas com incentivo dentro do teto</w:t>
            </w:r>
          </w:p>
        </w:tc>
      </w:tr>
      <w:tr>
        <w:trPr>
          <w:cantSplit w:val="true"/>
        </w:trPr>
        <w:tc>
          <w:tcPr>
            <w:tcW w:type="dxa" w:w="3825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Fim do ciclo de 90 dias</w:t>
            </w:r>
          </w:p>
        </w:tc>
        <w:tc>
          <w:tcPr>
            <w:tcW w:type="dxa" w:w="6374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Relatório de uplift contra o grupo controle (10%)</w:t>
            </w:r>
          </w:p>
        </w:tc>
      </w:tr>
    </w:tbl>
    <w:p>
      <w:pPr>
        <w:spacing w:after="40"/>
      </w:pPr>
    </w:p>
    <w:p>
      <w:r>
        <w:rPr>
          <w:b/>
        </w:rPr>
        <w:t>f) Indicadores impactados.</w:t>
      </w:r>
      <w:r>
        <w:t xml:space="preserve"> Conversão em 2ª compra em 90 dias (baseline 1,13%), taxa de recompra (3,0%), receita por cliente, uplift contra o controle, taxa de opt-out.</w:t>
      </w:r>
    </w:p>
    <w:p>
      <w:r>
        <w:rPr>
          <w:b/>
        </w:rPr>
        <w:t>Faz / não faz.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C9CED6"/>
          <w:left w:val="single" w:sz="4" w:color="C9CED6"/>
          <w:bottom w:val="single" w:sz="4" w:color="C9CED6"/>
          <w:right w:val="single" w:sz="4" w:color="C9CED6"/>
          <w:insideH w:val="single" w:sz="4" w:color="C9CED6"/>
          <w:insideV w:val="single" w:sz="4" w:color="C9CED6"/>
        </w:tblBorders>
        <w:tblCellMar>
          <w:top w:w="68" w:type="dxa"/>
          <w:bottom w:w="68" w:type="dxa"/>
          <w:left w:w="68" w:type="dxa"/>
          <w:right w:w="68" w:type="dxa"/>
        </w:tblCellMar>
      </w:tblPr>
      <w:tblGrid>
        <w:gridCol w:w="5100"/>
        <w:gridCol w:w="5100"/>
      </w:tblGrid>
      <w:tr>
        <w:trPr>
          <w:tblHeader w:val="true"/>
          <w:cantSplit w:val="true"/>
        </w:trPr>
        <w:tc>
          <w:tcPr>
            <w:tcW w:type="dxa" w:w="5100"/>
            <w:shd w:val="clear" w:color="auto" w:fill="E8EEF7"/>
          </w:tcPr>
          <w:p>
            <w:pPr>
              <w:spacing w:after="0" w:line="240" w:lineRule="auto"/>
            </w:pPr>
            <w:r/>
            <w:r>
              <w:rPr>
                <w:b/>
                <w:color w:val="1F3A5F"/>
                <w:sz w:val="17"/>
              </w:rPr>
              <w:t>Faz</w:t>
            </w:r>
          </w:p>
        </w:tc>
        <w:tc>
          <w:tcPr>
            <w:tcW w:type="dxa" w:w="5100"/>
            <w:shd w:val="clear" w:color="auto" w:fill="E8EEF7"/>
          </w:tcPr>
          <w:p>
            <w:pPr>
              <w:spacing w:after="0" w:line="240" w:lineRule="auto"/>
            </w:pPr>
            <w:r/>
            <w:r>
              <w:rPr>
                <w:b/>
                <w:color w:val="1F3A5F"/>
                <w:sz w:val="17"/>
              </w:rPr>
              <w:t>Não faz</w:t>
            </w:r>
          </w:p>
        </w:tc>
      </w:tr>
      <w:tr>
        <w:trPr>
          <w:cantSplit w:val="true"/>
        </w:trPr>
        <w:tc>
          <w:tcPr>
            <w:tcW w:type="dxa" w:w="5100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Decide elegibilidade, momento, categoria e mensagem; separa o grupo controle</w:t>
            </w:r>
          </w:p>
        </w:tc>
        <w:tc>
          <w:tcPr>
            <w:tcW w:type="dxa" w:w="5100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Não contata sem opt-in, não passa de 2 contatos, não dá incentivo &gt; 10% sem aprovação, não atua na base inativa antiga</w:t>
            </w:r>
          </w:p>
        </w:tc>
      </w:tr>
    </w:tbl>
    <w:p>
      <w:pPr>
        <w:spacing w:after="40"/>
      </w:pPr>
    </w:p>
    <w:p>
      <w:r>
        <w:rPr>
          <w:b/>
        </w:rPr>
        <w:t>AS-IS → TO-BE</w:t>
      </w:r>
      <w:r>
        <w:t xml:space="preserve"> </w:t>
      </w:r>
      <w:r>
        <w:rPr>
          <w:i/>
        </w:rPr>
        <w:t>(presumido)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C9CED6"/>
          <w:left w:val="single" w:sz="4" w:color="C9CED6"/>
          <w:bottom w:val="single" w:sz="4" w:color="C9CED6"/>
          <w:right w:val="single" w:sz="4" w:color="C9CED6"/>
          <w:insideH w:val="single" w:sz="4" w:color="C9CED6"/>
          <w:insideV w:val="single" w:sz="4" w:color="C9CED6"/>
        </w:tblBorders>
        <w:tblCellMar>
          <w:top w:w="68" w:type="dxa"/>
          <w:bottom w:w="68" w:type="dxa"/>
          <w:left w:w="68" w:type="dxa"/>
          <w:right w:w="68" w:type="dxa"/>
        </w:tblCellMar>
      </w:tblPr>
      <w:tblGrid>
        <w:gridCol w:w="5100"/>
        <w:gridCol w:w="5100"/>
      </w:tblGrid>
      <w:tr>
        <w:trPr>
          <w:tblHeader w:val="true"/>
          <w:cantSplit w:val="true"/>
        </w:trPr>
        <w:tc>
          <w:tcPr>
            <w:tcW w:type="dxa" w:w="5100"/>
            <w:shd w:val="clear" w:color="auto" w:fill="E8EEF7"/>
          </w:tcPr>
          <w:p>
            <w:pPr>
              <w:spacing w:after="0" w:line="240" w:lineRule="auto"/>
            </w:pPr>
            <w:r/>
            <w:r>
              <w:rPr>
                <w:b/>
                <w:color w:val="1F3A5F"/>
                <w:sz w:val="17"/>
              </w:rPr>
              <w:t>Hoje</w:t>
            </w:r>
          </w:p>
        </w:tc>
        <w:tc>
          <w:tcPr>
            <w:tcW w:type="dxa" w:w="5100"/>
            <w:shd w:val="clear" w:color="auto" w:fill="E8EEF7"/>
          </w:tcPr>
          <w:p>
            <w:pPr>
              <w:spacing w:after="0" w:line="240" w:lineRule="auto"/>
            </w:pPr>
            <w:r/>
            <w:r>
              <w:rPr>
                <w:b/>
                <w:color w:val="1F3A5F"/>
                <w:sz w:val="17"/>
              </w:rPr>
              <w:t>Com o WinBack</w:t>
            </w:r>
          </w:p>
        </w:tc>
      </w:tr>
      <w:tr>
        <w:trPr>
          <w:cantSplit w:val="true"/>
        </w:trPr>
        <w:tc>
          <w:tcPr>
            <w:tcW w:type="dxa" w:w="5100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Campanhas de massa, sem considerar a experiência da 1ª compra</w:t>
            </w:r>
          </w:p>
        </w:tc>
        <w:tc>
          <w:tcPr>
            <w:tcW w:type="dxa" w:w="5100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Contato individual, no tempo certo, que pausa quando a experiência foi ruim</w:t>
            </w:r>
          </w:p>
        </w:tc>
      </w:tr>
      <w:tr>
        <w:trPr>
          <w:cantSplit w:val="true"/>
        </w:trPr>
        <w:tc>
          <w:tcPr>
            <w:tcW w:type="dxa" w:w="5100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Sem medição de efeito incremental</w:t>
            </w:r>
          </w:p>
        </w:tc>
        <w:tc>
          <w:tcPr>
            <w:tcW w:type="dxa" w:w="5100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Grupo controle permanente e uplift medido</w:t>
            </w:r>
          </w:p>
        </w:tc>
      </w:tr>
    </w:tbl>
    <w:p>
      <w:pPr>
        <w:spacing w:after="40"/>
      </w:pPr>
    </w:p>
    <w:p>
      <w:pPr>
        <w:sectPr>
          <w:headerReference w:type="default" r:id="rId9"/>
          <w:footerReference w:type="default" r:id="rId10"/>
          <w:pgSz w:w="12240" w:h="15840"/>
          <w:pgMar w:top="964" w:right="1020" w:bottom="907" w:left="1020" w:header="720" w:footer="720" w:gutter="0"/>
          <w:cols w:space="720"/>
          <w:titlePg/>
          <w:docGrid w:linePitch="360"/>
        </w:sectPr>
      </w:pPr>
    </w:p>
    <w:p>
      <w:pPr>
        <w:pStyle w:val="Heading1"/>
      </w:pPr>
      <w:r>
        <w:t>7. Jornadas de Funcionamento dos Agentes</w:t>
      </w:r>
    </w:p>
    <w:p>
      <w:pPr>
        <w:pStyle w:val="Heading2"/>
      </w:pPr>
      <w:r>
        <w:t>7.1 LogiPredict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8460000" cy="4423004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uxo_logipredict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8460000" cy="44230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2514E"/>
          <w:sz w:val="17"/>
        </w:rPr>
        <w:t>Fluxo do LogiPredict: dois checkpoints de decisão antes de envolver pessoas e aviso ao cliente apenas quando a projeção estoura o prazo.</w:t>
      </w:r>
    </w:p>
    <w:p>
      <w:r>
        <w:rPr>
          <w:b/>
        </w:rPr>
        <w:t>Decisões-chave:</w:t>
      </w:r>
      <w:r>
        <w:t xml:space="preserve"> (1) o seller vai estourar o limite de postagem? (2) o risco passou do limiar? (3) a nova data prevista passa do prazo? Só a terceira resposta autoriza contato com o cliente. </w:t>
      </w:r>
      <w:r>
        <w:rPr>
          <w:b/>
        </w:rPr>
        <w:t>Humano no loop:</w:t>
      </w:r>
      <w:r>
        <w:t xml:space="preserve"> o analista de operações decide a tratativa com a transportadora.</w:t>
      </w:r>
    </w:p>
    <w:p>
      <w:r>
        <w:br w:type="page"/>
      </w:r>
    </w:p>
    <w:p>
      <w:pPr>
        <w:pStyle w:val="Heading2"/>
      </w:pPr>
      <w:r>
        <w:t>7.2 SentimentDesk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8460000" cy="3851821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uxo_sentimentdesk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8460000" cy="38518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2514E"/>
          <w:sz w:val="17"/>
        </w:rPr>
        <w:t>Fluxo do SentimentDesk: o agente classifica, mas casos de baixa confiança ou críticos passam por analista antes da resposta.</w:t>
      </w:r>
    </w:p>
    <w:p>
      <w:r>
        <w:rPr>
          <w:b/>
        </w:rPr>
        <w:t>Decisões-chave:</w:t>
      </w:r>
      <w:r>
        <w:t xml:space="preserve"> (1) a classificação é confiável? (2) o caso é crítico? (3) o motivo é entrega? </w:t>
      </w:r>
      <w:r>
        <w:rPr>
          <w:b/>
        </w:rPr>
        <w:t>Humano no loop:</w:t>
      </w:r>
      <w:r>
        <w:t xml:space="preserve"> classificação manual quando a confiança é baixa; revisão da resposta e definição de compensação nos casos críticos.</w:t>
      </w:r>
    </w:p>
    <w:p>
      <w:r>
        <w:br w:type="page"/>
      </w:r>
    </w:p>
    <w:p>
      <w:pPr>
        <w:pStyle w:val="Heading2"/>
      </w:pPr>
      <w:r>
        <w:t>7.3 WinBack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8460000" cy="4414611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uxo_winback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8460000" cy="44146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2514E"/>
          <w:sz w:val="17"/>
        </w:rPr>
        <w:t>Fluxo do WinBack: elegibilidade e experiência anterior são verificadas antes de qualquer oferta.</w:t>
      </w:r>
    </w:p>
    <w:p>
      <w:r>
        <w:rPr>
          <w:b/>
        </w:rPr>
        <w:t>Decisões-chave:</w:t>
      </w:r>
      <w:r>
        <w:t xml:space="preserve"> (1) há consentimento e intervalo mínimo? (2) a 1ª experiência foi ruim? (3) o incentivo passa do teto? </w:t>
      </w:r>
      <w:r>
        <w:rPr>
          <w:b/>
        </w:rPr>
        <w:t>Humano no loop:</w:t>
      </w:r>
      <w:r>
        <w:t xml:space="preserve"> o Gestor de CRM aprova incentivos acima de 10%.</w:t>
      </w:r>
    </w:p>
    <w:p>
      <w:r>
        <w:br w:type="page"/>
      </w:r>
    </w:p>
    <w:p>
      <w:pPr>
        <w:pStyle w:val="Heading2"/>
      </w:pPr>
      <w:r>
        <w:t>7.4 Jornada multiagente: "o pedido que ia atrasar"</w:t>
      </w:r>
    </w:p>
    <w:p>
      <w:r>
        <w:t xml:space="preserve">A jornada abaixo usa um </w:t>
      </w:r>
      <w:r>
        <w:rPr>
          <w:b/>
        </w:rPr>
        <w:t>pedido real do dataset</w:t>
      </w:r>
      <w:r>
        <w:t xml:space="preserve">: compra em 25/02/2018, de MG para MA, postada 4 dias após o limite e entregue em 06/04, </w:t>
      </w:r>
      <w:r>
        <w:rPr>
          <w:b/>
        </w:rPr>
        <w:t>10 dias depois do prazo</w:t>
      </w:r>
      <w:r>
        <w:t>. O cliente deu nota 1. Mostramos o que teria acontecido com os três agentes em operação.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8460000" cy="3581104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jornada_multiagent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8460000" cy="35811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2514E"/>
          <w:sz w:val="17"/>
        </w:rPr>
        <w:t>Jornada multiagente com um pedido real.</w:t>
      </w:r>
    </w:p>
    <w:p>
      <w:pPr>
        <w:sectPr>
          <w:pgSz w:w="15840" w:h="12240" w:orient="landscape"/>
          <w:pgMar w:top="794" w:right="1020" w:bottom="737" w:left="1020" w:header="720" w:footer="720" w:gutter="0"/>
          <w:cols w:space="720"/>
          <w:docGrid w:linePitch="360"/>
        </w:sectPr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C9CED6"/>
          <w:left w:val="single" w:sz="4" w:color="C9CED6"/>
          <w:bottom w:val="single" w:sz="4" w:color="C9CED6"/>
          <w:right w:val="single" w:sz="4" w:color="C9CED6"/>
          <w:insideH w:val="single" w:sz="4" w:color="C9CED6"/>
          <w:insideV w:val="single" w:sz="4" w:color="C9CED6"/>
        </w:tblBorders>
        <w:tblCellMar>
          <w:top w:w="68" w:type="dxa"/>
          <w:bottom w:w="68" w:type="dxa"/>
          <w:left w:w="68" w:type="dxa"/>
          <w:right w:w="68" w:type="dxa"/>
        </w:tblCellMar>
      </w:tblPr>
      <w:tblGrid>
        <w:gridCol w:w="3400"/>
        <w:gridCol w:w="3400"/>
        <w:gridCol w:w="3400"/>
      </w:tblGrid>
      <w:tr>
        <w:trPr>
          <w:tblHeader w:val="true"/>
          <w:cantSplit w:val="true"/>
        </w:trPr>
        <w:tc>
          <w:tcPr>
            <w:tcW w:type="dxa" w:w="1794"/>
            <w:shd w:val="clear" w:color="auto" w:fill="E8EEF7"/>
          </w:tcPr>
          <w:p>
            <w:pPr>
              <w:spacing w:after="0" w:line="240" w:lineRule="auto"/>
            </w:pPr>
            <w:r/>
            <w:r>
              <w:rPr>
                <w:b/>
                <w:color w:val="1F3A5F"/>
                <w:sz w:val="17"/>
              </w:rPr>
              <w:t>Dia</w:t>
            </w:r>
          </w:p>
        </w:tc>
        <w:tc>
          <w:tcPr>
            <w:tcW w:type="dxa" w:w="5666"/>
            <w:shd w:val="clear" w:color="auto" w:fill="E8EEF7"/>
          </w:tcPr>
          <w:p>
            <w:pPr>
              <w:spacing w:after="0" w:line="240" w:lineRule="auto"/>
            </w:pPr>
            <w:r/>
            <w:r>
              <w:rPr>
                <w:b/>
                <w:color w:val="1F3A5F"/>
                <w:sz w:val="17"/>
              </w:rPr>
              <w:t>O que acontece</w:t>
            </w:r>
          </w:p>
        </w:tc>
        <w:tc>
          <w:tcPr>
            <w:tcW w:type="dxa" w:w="2739"/>
            <w:shd w:val="clear" w:color="auto" w:fill="E8EEF7"/>
          </w:tcPr>
          <w:p>
            <w:pPr>
              <w:spacing w:after="0" w:line="240" w:lineRule="auto"/>
            </w:pPr>
            <w:r/>
            <w:r>
              <w:rPr>
                <w:b/>
                <w:color w:val="1F3A5F"/>
                <w:sz w:val="17"/>
              </w:rPr>
              <w:t>Agente / pessoa</w:t>
            </w:r>
          </w:p>
        </w:tc>
      </w:tr>
      <w:tr>
        <w:trPr>
          <w:cantSplit w:val="true"/>
        </w:trPr>
        <w:tc>
          <w:tcPr>
            <w:tcW w:type="dxa" w:w="1794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D+6</w:t>
            </w:r>
          </w:p>
        </w:tc>
        <w:tc>
          <w:tcPr>
            <w:tcW w:type="dxa" w:w="5666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O limite de postagem se aproxima e o seller recebe lembrete</w:t>
            </w:r>
          </w:p>
        </w:tc>
        <w:tc>
          <w:tcPr>
            <w:tcW w:type="dxa" w:w="2739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LogiPredict</w:t>
            </w:r>
          </w:p>
        </w:tc>
      </w:tr>
      <w:tr>
        <w:trPr>
          <w:cantSplit w:val="true"/>
        </w:trPr>
        <w:tc>
          <w:tcPr>
            <w:tcW w:type="dxa" w:w="1794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D+11</w:t>
            </w:r>
          </w:p>
        </w:tc>
        <w:tc>
          <w:tcPr>
            <w:tcW w:type="dxa" w:w="5666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A postagem sai atrasada para uma rota com 19,7% de atraso; score 80 e alerta a operações</w:t>
            </w:r>
          </w:p>
        </w:tc>
        <w:tc>
          <w:tcPr>
            <w:tcW w:type="dxa" w:w="2739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LogiPredict → Analista de Ops</w:t>
            </w:r>
          </w:p>
        </w:tc>
      </w:tr>
      <w:tr>
        <w:trPr>
          <w:cantSplit w:val="true"/>
        </w:trPr>
        <w:tc>
          <w:tcPr>
            <w:tcW w:type="dxa" w:w="1794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D+27 (D-3 do prazo)</w:t>
            </w:r>
          </w:p>
        </w:tc>
        <w:tc>
          <w:tcPr>
            <w:tcW w:type="dxa" w:w="5666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Sem confirmação de entrega, cliente avisado com nova data (03/04)</w:t>
            </w:r>
          </w:p>
        </w:tc>
        <w:tc>
          <w:tcPr>
            <w:tcW w:type="dxa" w:w="2739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LogiPredict</w:t>
            </w:r>
          </w:p>
        </w:tc>
      </w:tr>
      <w:tr>
        <w:trPr>
          <w:cantSplit w:val="true"/>
        </w:trPr>
        <w:tc>
          <w:tcPr>
            <w:tcW w:type="dxa" w:w="1794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D+40</w:t>
            </w:r>
          </w:p>
        </w:tc>
        <w:tc>
          <w:tcPr>
            <w:tcW w:type="dxa" w:w="5666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Entrega atrasada e nota 1 sem comentário; motivo inferido "atraso", resposta e ticket</w:t>
            </w:r>
          </w:p>
        </w:tc>
        <w:tc>
          <w:tcPr>
            <w:tcW w:type="dxa" w:w="2739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SentimentDesk</w:t>
            </w:r>
          </w:p>
        </w:tc>
      </w:tr>
      <w:tr>
        <w:trPr>
          <w:cantSplit w:val="true"/>
        </w:trPr>
        <w:tc>
          <w:tcPr>
            <w:tcW w:type="dxa" w:w="1794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D+40</w:t>
            </w:r>
          </w:p>
        </w:tc>
        <w:tc>
          <w:tcPr>
            <w:tcW w:type="dxa" w:w="5666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Oferta de 2ª compra pausada</w:t>
            </w:r>
          </w:p>
        </w:tc>
        <w:tc>
          <w:tcPr>
            <w:tcW w:type="dxa" w:w="2739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WinBack</w:t>
            </w:r>
          </w:p>
        </w:tc>
      </w:tr>
      <w:tr>
        <w:trPr>
          <w:cantSplit w:val="true"/>
        </w:trPr>
        <w:tc>
          <w:tcPr>
            <w:tcW w:type="dxa" w:w="1794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D+41</w:t>
            </w:r>
          </w:p>
        </w:tc>
        <w:tc>
          <w:tcPr>
            <w:tcW w:type="dxa" w:w="5666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Analista de CX aprova cupom de desculpas dentro da alçada</w:t>
            </w:r>
          </w:p>
        </w:tc>
        <w:tc>
          <w:tcPr>
            <w:tcW w:type="dxa" w:w="2739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Humano</w:t>
            </w:r>
          </w:p>
        </w:tc>
      </w:tr>
      <w:tr>
        <w:trPr>
          <w:cantSplit w:val="true"/>
        </w:trPr>
        <w:tc>
          <w:tcPr>
            <w:tcW w:type="dxa" w:w="1794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D+55</w:t>
            </w:r>
          </w:p>
        </w:tc>
        <w:tc>
          <w:tcPr>
            <w:tcW w:type="dxa" w:w="5666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Caso resolvido; oferta de 2ª compra na categoria afim</w:t>
            </w:r>
          </w:p>
        </w:tc>
        <w:tc>
          <w:tcPr>
            <w:tcW w:type="dxa" w:w="2739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WinBack</w:t>
            </w:r>
          </w:p>
        </w:tc>
      </w:tr>
    </w:tbl>
    <w:p>
      <w:pPr>
        <w:spacing w:after="40"/>
      </w:pPr>
    </w:p>
    <w:p>
      <w:pPr>
        <w:pStyle w:val="Heading2"/>
      </w:pPr>
      <w:r>
        <w:t>7.5 Tratamento de exceções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C9CED6"/>
          <w:left w:val="single" w:sz="4" w:color="C9CED6"/>
          <w:bottom w:val="single" w:sz="4" w:color="C9CED6"/>
          <w:right w:val="single" w:sz="4" w:color="C9CED6"/>
          <w:insideH w:val="single" w:sz="4" w:color="C9CED6"/>
          <w:insideV w:val="single" w:sz="4" w:color="C9CED6"/>
        </w:tblBorders>
        <w:tblCellMar>
          <w:top w:w="68" w:type="dxa"/>
          <w:bottom w:w="68" w:type="dxa"/>
          <w:left w:w="68" w:type="dxa"/>
          <w:right w:w="68" w:type="dxa"/>
        </w:tblCellMar>
      </w:tblPr>
      <w:tblGrid>
        <w:gridCol w:w="2550"/>
        <w:gridCol w:w="2550"/>
        <w:gridCol w:w="2550"/>
        <w:gridCol w:w="2550"/>
      </w:tblGrid>
      <w:tr>
        <w:trPr>
          <w:tblHeader w:val="true"/>
          <w:cantSplit w:val="true"/>
        </w:trPr>
        <w:tc>
          <w:tcPr>
            <w:tcW w:type="dxa" w:w="1231"/>
            <w:shd w:val="clear" w:color="auto" w:fill="E8EEF7"/>
          </w:tcPr>
          <w:p>
            <w:pPr>
              <w:spacing w:after="0" w:line="240" w:lineRule="auto"/>
            </w:pPr>
            <w:r/>
            <w:r>
              <w:rPr>
                <w:b/>
                <w:color w:val="1F3A5F"/>
                <w:sz w:val="17"/>
              </w:rPr>
              <w:t>Situação</w:t>
            </w:r>
          </w:p>
        </w:tc>
        <w:tc>
          <w:tcPr>
            <w:tcW w:type="dxa" w:w="3517"/>
            <w:shd w:val="clear" w:color="auto" w:fill="E8EEF7"/>
          </w:tcPr>
          <w:p>
            <w:pPr>
              <w:spacing w:after="0" w:line="240" w:lineRule="auto"/>
            </w:pPr>
            <w:r/>
            <w:r>
              <w:rPr>
                <w:b/>
                <w:color w:val="1F3A5F"/>
                <w:sz w:val="17"/>
              </w:rPr>
              <w:t>LogiPredict</w:t>
            </w:r>
          </w:p>
        </w:tc>
        <w:tc>
          <w:tcPr>
            <w:tcW w:type="dxa" w:w="3517"/>
            <w:shd w:val="clear" w:color="auto" w:fill="E8EEF7"/>
          </w:tcPr>
          <w:p>
            <w:pPr>
              <w:spacing w:after="0" w:line="240" w:lineRule="auto"/>
            </w:pPr>
            <w:r/>
            <w:r>
              <w:rPr>
                <w:b/>
                <w:color w:val="1F3A5F"/>
                <w:sz w:val="17"/>
              </w:rPr>
              <w:t>SentimentDesk</w:t>
            </w:r>
          </w:p>
        </w:tc>
        <w:tc>
          <w:tcPr>
            <w:tcW w:type="dxa" w:w="1934"/>
            <w:shd w:val="clear" w:color="auto" w:fill="E8EEF7"/>
          </w:tcPr>
          <w:p>
            <w:pPr>
              <w:spacing w:after="0" w:line="240" w:lineRule="auto"/>
            </w:pPr>
            <w:r/>
            <w:r>
              <w:rPr>
                <w:b/>
                <w:color w:val="1F3A5F"/>
                <w:sz w:val="17"/>
              </w:rPr>
              <w:t>WinBack</w:t>
            </w:r>
          </w:p>
        </w:tc>
      </w:tr>
      <w:tr>
        <w:trPr>
          <w:cantSplit w:val="true"/>
        </w:trPr>
        <w:tc>
          <w:tcPr>
            <w:tcW w:type="dxa" w:w="1231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Dado faltante</w:t>
            </w:r>
          </w:p>
        </w:tc>
        <w:tc>
          <w:tcPr>
            <w:tcW w:type="dxa" w:w="3517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Sem rastreio: usa só o histórico da rota e marca "confiança baixa"</w:t>
            </w:r>
          </w:p>
        </w:tc>
        <w:tc>
          <w:tcPr>
            <w:tcW w:type="dxa" w:w="3517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Sem texto: infere pelo pedido, confiança ≤ 0,7, revisão humana</w:t>
            </w:r>
          </w:p>
        </w:tc>
        <w:tc>
          <w:tcPr>
            <w:tcW w:type="dxa" w:w="1934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Sem opt-in conhecido: não contata</w:t>
            </w:r>
          </w:p>
        </w:tc>
      </w:tr>
      <w:tr>
        <w:trPr>
          <w:cantSplit w:val="true"/>
        </w:trPr>
        <w:tc>
          <w:tcPr>
            <w:tcW w:type="dxa" w:w="1231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Baixa confiança</w:t>
            </w:r>
          </w:p>
        </w:tc>
        <w:tc>
          <w:tcPr>
            <w:tcW w:type="dxa" w:w="3517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Não avisa o cliente; só alerta operações</w:t>
            </w:r>
          </w:p>
        </w:tc>
        <w:tc>
          <w:tcPr>
            <w:tcW w:type="dxa" w:w="3517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Fila do analista de CX</w:t>
            </w:r>
          </w:p>
        </w:tc>
        <w:tc>
          <w:tcPr>
            <w:tcW w:type="dxa" w:w="1934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Mensagem sem incentivo</w:t>
            </w:r>
          </w:p>
        </w:tc>
      </w:tr>
      <w:tr>
        <w:trPr>
          <w:cantSplit w:val="true"/>
        </w:trPr>
        <w:tc>
          <w:tcPr>
            <w:tcW w:type="dxa" w:w="1231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Conflito de dados</w:t>
            </w:r>
          </w:p>
        </w:tc>
        <w:tc>
          <w:tcPr>
            <w:tcW w:type="dxa" w:w="3517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Status "entregue" sem comprovante: sinaliza CX</w:t>
            </w:r>
          </w:p>
        </w:tc>
        <w:tc>
          <w:tcPr>
            <w:tcW w:type="dxa" w:w="3517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"Entregue" mas cliente diz que não recebeu: severidade CRÍTICA</w:t>
            </w:r>
          </w:p>
        </w:tc>
        <w:tc>
          <w:tcPr>
            <w:tcW w:type="dxa" w:w="1934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Pedido em disputa: pausa</w:t>
            </w:r>
          </w:p>
        </w:tc>
      </w:tr>
      <w:tr>
        <w:trPr>
          <w:cantSplit w:val="true"/>
        </w:trPr>
        <w:tc>
          <w:tcPr>
            <w:tcW w:type="dxa" w:w="1231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Sistema indisponível</w:t>
            </w:r>
          </w:p>
        </w:tc>
        <w:tc>
          <w:tcPr>
            <w:tcW w:type="dxa" w:w="3517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Reprocessa na próxima varredura</w:t>
            </w:r>
          </w:p>
        </w:tc>
        <w:tc>
          <w:tcPr>
            <w:tcW w:type="dxa" w:w="3517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Mantém a fila; nenhuma resposta automática</w:t>
            </w:r>
          </w:p>
        </w:tc>
        <w:tc>
          <w:tcPr>
            <w:tcW w:type="dxa" w:w="1934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Adia o envio; não duplica</w:t>
            </w:r>
          </w:p>
        </w:tc>
      </w:tr>
      <w:tr>
        <w:trPr>
          <w:cantSplit w:val="true"/>
        </w:trPr>
        <w:tc>
          <w:tcPr>
            <w:tcW w:type="dxa" w:w="1231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Cliente de alto valor</w:t>
            </w:r>
          </w:p>
        </w:tc>
        <w:tc>
          <w:tcPr>
            <w:tcW w:type="dxa" w:w="3517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Prioridade no alerta</w:t>
            </w:r>
          </w:p>
        </w:tc>
        <w:tc>
          <w:tcPr>
            <w:tcW w:type="dxa" w:w="3517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Revisão humana se valor &gt; R$ 500</w:t>
            </w:r>
          </w:p>
        </w:tc>
        <w:tc>
          <w:tcPr>
            <w:tcW w:type="dxa" w:w="1934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Atendimento consultivo (CRM)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8. Prompts Estruturados v2</w:t>
      </w:r>
    </w:p>
    <w:p>
      <w:r>
        <w:t xml:space="preserve">Os prompts seguem a estrutura </w:t>
      </w:r>
      <w:r>
        <w:rPr>
          <w:b/>
        </w:rPr>
        <w:t>objetivo · contexto · instrução principal · resultado esperado</w:t>
      </w:r>
      <w:r>
        <w:t xml:space="preserve">. Na Fase 2, cada um ganhou </w:t>
      </w:r>
      <w:r>
        <w:rPr>
          <w:b/>
        </w:rPr>
        <w:t>lista fechada de ações</w:t>
      </w:r>
      <w:r>
        <w:t xml:space="preserve">, </w:t>
      </w:r>
      <w:r>
        <w:rPr>
          <w:b/>
        </w:rPr>
        <w:t>evidência que orienta a decisão</w:t>
      </w:r>
      <w:r>
        <w:t xml:space="preserve">, seção </w:t>
      </w:r>
      <w:r>
        <w:rPr>
          <w:b/>
        </w:rPr>
        <w:t>"não faça"</w:t>
      </w:r>
      <w:r>
        <w:t xml:space="preserve"> e </w:t>
      </w:r>
      <w:r>
        <w:rPr>
          <w:b/>
        </w:rPr>
        <w:t>gatilhos de humano no loop</w:t>
      </w:r>
      <w:r>
        <w:t xml:space="preserve">. As versões completas e os dez exemplos com casos reais estão em </w:t>
      </w:r>
      <w:r>
        <w:rPr>
          <w:rFonts w:ascii="Consolas" w:hAnsi="Consolas"/>
          <w:color w:val="1F3A5F"/>
          <w:sz w:val="18"/>
        </w:rPr>
        <w:t>docs/fase2/prompts/PROMPTS_V2.md</w:t>
      </w:r>
      <w:r>
        <w:t>.</w:t>
      </w:r>
    </w:p>
    <w:p>
      <w:pPr>
        <w:pStyle w:val="Heading2"/>
      </w:pPr>
      <w:r>
        <w:t>8.1 SentimentDesk</w:t>
      </w:r>
    </w:p>
    <w:p>
      <w:r>
        <w:rPr>
          <w:b/>
        </w:rPr>
        <w:t>a) Objetivo:</w:t>
      </w:r>
      <w:r>
        <w:t xml:space="preserve"> classificar a avaliação negativa, responder ao cliente e rotear o caso.</w:t>
      </w:r>
    </w:p>
    <w:p>
      <w:r>
        <w:rPr>
          <w:b/>
        </w:rPr>
        <w:t>b) Contexto:</w:t>
      </w:r>
      <w:r>
        <w:t xml:space="preserve"> nota, título e comentário; datas de compra, prazo e entrega; nº de itens e de sellers; categoria; valor; UFs; reclamações do seller em 30 dias.</w:t>
      </w:r>
    </w:p>
    <w:p>
      <w:r>
        <w:rPr>
          <w:b/>
        </w:rPr>
        <w:t>c) Instrução principal (resumo):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E0DED8"/>
          <w:left w:val="single" w:sz="4" w:color="E0DED8"/>
          <w:bottom w:val="single" w:sz="4" w:color="E0DED8"/>
          <w:right w:val="single" w:sz="4" w:color="E0DED8"/>
          <w:insideH w:val="single" w:sz="4" w:color="E0DED8"/>
          <w:insideV w:val="single" w:sz="4" w:color="E0DED8"/>
        </w:tblBorders>
        <w:tblCellMar>
          <w:top w:w="113" w:type="dxa"/>
          <w:bottom w:w="113" w:type="dxa"/>
          <w:left w:w="113" w:type="dxa"/>
          <w:right w:w="113" w:type="dxa"/>
        </w:tblCellMar>
      </w:tblPr>
      <w:tblGrid>
        <w:gridCol w:w="10200"/>
      </w:tblGrid>
      <w:tr>
        <w:tc>
          <w:tcPr>
            <w:tcW w:type="dxa" w:w="10199"/>
            <w:shd w:val="clear" w:color="auto" w:fill="F4F4F2"/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sz w:val="15"/>
              </w:rPr>
              <w:t>Você é o SentimentDesk, agente de triagem de avaliações negativas da Olist.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5"/>
              </w:rPr>
              <w:t>TAXONOMIA (1 principal + até 2 secundários): ENTREGA_NAO_RECEBIDO | ENTREGA_ATRASO |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5"/>
              </w:rPr>
              <w:t>PEDIDO_ITEM_FALTANDO | PEDIDO_PRODUTO_ERRADO | PRODUTO_DEFEITO | PRODUTO_QUALIDADE |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5"/>
              </w:rPr>
              <w:t>ATENDIMENTO_FINANCEIRO | OUTROS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5"/>
              </w:rPr>
              <w:t>- Use os dados do pedido para desempatar (ex.: "não chegou" + 2 itens + entregue → item faltando).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5"/>
              </w:rPr>
              <w:t>- "Entregue" no sistema, mas o cliente diz que não recebeu → conflito de dados, severidade CRÍTICA.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5"/>
              </w:rPr>
              <w:t>- Resposta de até 600 caracteres, empática, com próximo passo e prazo padrão de 2 dias úteis.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5"/>
              </w:rPr>
              <w:t>NÃO FAÇA: prometer reembolso/troca/cupom/data; culpar seller ou transportadora; inventar fatos.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5"/>
              </w:rPr>
              <w:t>HUMANO NO LOOP: severidade CRÍTICA, confiança &lt; 0,8 ou valor &gt; R$ 500.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5"/>
              </w:rPr>
              <w:t>SAÍDA: JSON (motivo, confiança, severidade, responsável, resumo, resposta, roteamento, revisão).</w:t>
            </w:r>
          </w:p>
        </w:tc>
      </w:tr>
    </w:tbl>
    <w:p>
      <w:pPr>
        <w:spacing w:after="40"/>
      </w:pPr>
    </w:p>
    <w:p>
      <w:r>
        <w:rPr>
          <w:b/>
        </w:rPr>
        <w:t>d) Resultado esperado:</w:t>
      </w:r>
      <w:r>
        <w:t xml:space="preserve"> JSON que alimenta ticket, dashboard e sinais aos outros agentes.</w:t>
      </w:r>
    </w:p>
    <w:p>
      <w:r>
        <w:rPr>
          <w:b/>
        </w:rPr>
        <w:t>Exemplo real.</w:t>
      </w:r>
      <w:r>
        <w:t xml:space="preserve"> Avaliação nota 1: </w:t>
      </w:r>
      <w:r>
        <w:rPr>
          <w:i/>
        </w:rPr>
        <w:t>"Só chegou a mochila, estou aguardando a lancheira…"</w:t>
      </w:r>
      <w:r>
        <w:t>. Pedido com 2 itens, entregue no prazo.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C9CED6"/>
          <w:left w:val="single" w:sz="4" w:color="C9CED6"/>
          <w:bottom w:val="single" w:sz="4" w:color="C9CED6"/>
          <w:right w:val="single" w:sz="4" w:color="C9CED6"/>
          <w:insideH w:val="single" w:sz="4" w:color="C9CED6"/>
          <w:insideV w:val="single" w:sz="4" w:color="C9CED6"/>
        </w:tblBorders>
        <w:tblCellMar>
          <w:top w:w="68" w:type="dxa"/>
          <w:bottom w:w="68" w:type="dxa"/>
          <w:left w:w="68" w:type="dxa"/>
          <w:right w:w="68" w:type="dxa"/>
        </w:tblCellMar>
      </w:tblPr>
      <w:tblGrid>
        <w:gridCol w:w="5100"/>
        <w:gridCol w:w="5100"/>
      </w:tblGrid>
      <w:tr>
        <w:trPr>
          <w:tblHeader w:val="true"/>
          <w:cantSplit w:val="true"/>
        </w:trPr>
        <w:tc>
          <w:tcPr>
            <w:tcW w:type="dxa" w:w="2040"/>
            <w:shd w:val="clear" w:color="auto" w:fill="E8EEF7"/>
          </w:tcPr>
          <w:p>
            <w:pPr>
              <w:spacing w:after="0" w:line="240" w:lineRule="auto"/>
            </w:pPr>
            <w:r/>
            <w:r>
              <w:rPr>
                <w:b/>
                <w:color w:val="1F3A5F"/>
                <w:sz w:val="17"/>
              </w:rPr>
              <w:t>Campo</w:t>
            </w:r>
          </w:p>
        </w:tc>
        <w:tc>
          <w:tcPr>
            <w:tcW w:type="dxa" w:w="8159"/>
            <w:shd w:val="clear" w:color="auto" w:fill="E8EEF7"/>
          </w:tcPr>
          <w:p>
            <w:pPr>
              <w:spacing w:after="0" w:line="240" w:lineRule="auto"/>
            </w:pPr>
            <w:r/>
            <w:r>
              <w:rPr>
                <w:b/>
                <w:color w:val="1F3A5F"/>
                <w:sz w:val="17"/>
              </w:rPr>
              <w:t>Saída do agente</w:t>
            </w:r>
          </w:p>
        </w:tc>
      </w:tr>
      <w:tr>
        <w:trPr>
          <w:cantSplit w:val="true"/>
        </w:trPr>
        <w:tc>
          <w:tcPr>
            <w:tcW w:type="dxa" w:w="2040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Motivo</w:t>
            </w:r>
          </w:p>
        </w:tc>
        <w:tc>
          <w:tcPr>
            <w:tcW w:type="dxa" w:w="8159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PEDIDO_ITEM_FALTANDO (confiança 0,90) · severidade ALTA · responsável SELLER</w:t>
            </w:r>
          </w:p>
        </w:tc>
      </w:tr>
      <w:tr>
        <w:trPr>
          <w:cantSplit w:val="true"/>
        </w:trPr>
        <w:tc>
          <w:tcPr>
            <w:tcW w:type="dxa" w:w="2040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Resposta</w:t>
            </w:r>
          </w:p>
        </w:tc>
        <w:tc>
          <w:tcPr>
            <w:tcW w:type="dxa" w:w="8159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"Olá! Sentimos muito: seu pedido deveria ter chegado completo. Já abrimos uma solicitação para localizar a lancheira e confirmar se ela foi enviada separadamente. Em até 2 dias úteis você recebe nosso retorno com a solução."</w:t>
            </w:r>
          </w:p>
        </w:tc>
      </w:tr>
      <w:tr>
        <w:trPr>
          <w:cantSplit w:val="true"/>
        </w:trPr>
        <w:tc>
          <w:tcPr>
            <w:tcW w:type="dxa" w:w="2040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Roteamento</w:t>
            </w:r>
          </w:p>
        </w:tc>
        <w:tc>
          <w:tcPr>
            <w:tcW w:type="dxa" w:w="8159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Ticket ao seller (confirmar envio do 2º item) + dashboard</w:t>
            </w:r>
          </w:p>
        </w:tc>
      </w:tr>
      <w:tr>
        <w:trPr>
          <w:cantSplit w:val="true"/>
        </w:trPr>
        <w:tc>
          <w:tcPr>
            <w:tcW w:type="dxa" w:w="2040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Por que importa</w:t>
            </w:r>
          </w:p>
        </w:tc>
        <w:tc>
          <w:tcPr>
            <w:tcW w:type="dxa" w:w="8159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A regra por palavras-chave classificou como "não recebido". O agente cruzou o texto com os dados do pedido e acertou o responsável.</w:t>
            </w:r>
          </w:p>
        </w:tc>
      </w:tr>
    </w:tbl>
    <w:p>
      <w:pPr>
        <w:spacing w:after="40"/>
      </w:pPr>
    </w:p>
    <w:p>
      <w:pPr>
        <w:pStyle w:val="Heading2"/>
      </w:pPr>
      <w:r>
        <w:t>8.2 LogiPredict</w:t>
      </w:r>
    </w:p>
    <w:p>
      <w:r>
        <w:rPr>
          <w:b/>
        </w:rPr>
        <w:t>a) Objetivo:</w:t>
      </w:r>
      <w:r>
        <w:t xml:space="preserve"> em cada checkpoint, estimar o risco de atraso e escolher uma única ação.</w:t>
      </w:r>
    </w:p>
    <w:p>
      <w:r>
        <w:rPr>
          <w:b/>
        </w:rPr>
        <w:t>b) Contexto:</w:t>
      </w:r>
      <w:r>
        <w:t xml:space="preserve"> compra, limite de postagem, postagem, prazo; rota UF→UF com trânsito mediano, p75 e p90; atraso histórico da UF de destino; histórico de postagem do seller.</w:t>
      </w:r>
    </w:p>
    <w:p>
      <w:r>
        <w:rPr>
          <w:b/>
        </w:rPr>
        <w:t>c) Instrução principal (resumo):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E0DED8"/>
          <w:left w:val="single" w:sz="4" w:color="E0DED8"/>
          <w:bottom w:val="single" w:sz="4" w:color="E0DED8"/>
          <w:right w:val="single" w:sz="4" w:color="E0DED8"/>
          <w:insideH w:val="single" w:sz="4" w:color="E0DED8"/>
          <w:insideV w:val="single" w:sz="4" w:color="E0DED8"/>
        </w:tblBorders>
        <w:tblCellMar>
          <w:top w:w="113" w:type="dxa"/>
          <w:bottom w:w="113" w:type="dxa"/>
          <w:left w:w="113" w:type="dxa"/>
          <w:right w:w="113" w:type="dxa"/>
        </w:tblCellMar>
      </w:tblPr>
      <w:tblGrid>
        <w:gridCol w:w="10200"/>
      </w:tblGrid>
      <w:tr>
        <w:tc>
          <w:tcPr>
            <w:tcW w:type="dxa" w:w="10199"/>
            <w:shd w:val="clear" w:color="auto" w:fill="F4F4F2"/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sz w:val="15"/>
              </w:rPr>
              <w:t>Você é o LogiPredict. AÇÕES PERMITIDAS: MONITORAR | LEMBRETE_SELLER | ESCALAR_OPERACOES | AVISAR_CLIENTE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5"/>
              </w:rPr>
              <w:t>EVIDÊNCIA: postagem após o limite → 24,4% de atraso vs 6,5%.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5"/>
              </w:rPr>
              <w:t>1. Faltam ≤ 24h para o limite sem postagem → LEMBRETE_SELLER.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5"/>
              </w:rPr>
              <w:t>2. Projete a chegada: postagem + trânsito mediano (provável) e + p75 (pessimista).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5"/>
              </w:rPr>
              <w:t>3. Score: postagem atrasada +35 | UF ≥ 12% de atraso +20 | p75 após o prazo +25 |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5"/>
              </w:rPr>
              <w:t xml:space="preserve">   mediana após o prazo +30 | seller com &gt; 20% de postagens atrasadas +10.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5"/>
              </w:rPr>
              <w:t>4. ≥ 70 → ESCALAR_OPERACOES. AVISAR_CLIENTE só se a projeção MEDIANA passar do prazo.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5"/>
              </w:rPr>
              <w:t>NÃO FAÇA: avisar o cliente só por risco alto; trocar transportadora; inventar rastreio.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5"/>
              </w:rPr>
              <w:t>SAÍDA: JSON (score, nível, fatores, projeções, ação, mensagem, próximo checkpoint).</w:t>
            </w:r>
          </w:p>
        </w:tc>
      </w:tr>
    </w:tbl>
    <w:p>
      <w:pPr>
        <w:spacing w:after="40"/>
      </w:pPr>
    </w:p>
    <w:p>
      <w:r>
        <w:rPr>
          <w:b/>
        </w:rPr>
        <w:t>d) Resultado esperado:</w:t>
      </w:r>
      <w:r>
        <w:t xml:space="preserve"> ação explicada por fatores e mensagem pronta quando houver contato.</w:t>
      </w:r>
    </w:p>
    <w:p>
      <w:r>
        <w:rPr>
          <w:b/>
        </w:rPr>
        <w:t>Exemplo real.</w:t>
      </w:r>
      <w:r>
        <w:t xml:space="preserve"> Pedido MG → MA, postado 4 dias após o limite; prazo 27/03.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C9CED6"/>
          <w:left w:val="single" w:sz="4" w:color="C9CED6"/>
          <w:bottom w:val="single" w:sz="4" w:color="C9CED6"/>
          <w:right w:val="single" w:sz="4" w:color="C9CED6"/>
          <w:insideH w:val="single" w:sz="4" w:color="C9CED6"/>
          <w:insideV w:val="single" w:sz="4" w:color="C9CED6"/>
        </w:tblBorders>
        <w:tblCellMar>
          <w:top w:w="68" w:type="dxa"/>
          <w:bottom w:w="68" w:type="dxa"/>
          <w:left w:w="68" w:type="dxa"/>
          <w:right w:w="68" w:type="dxa"/>
        </w:tblCellMar>
      </w:tblPr>
      <w:tblGrid>
        <w:gridCol w:w="5100"/>
        <w:gridCol w:w="5100"/>
      </w:tblGrid>
      <w:tr>
        <w:trPr>
          <w:tblHeader w:val="true"/>
          <w:cantSplit w:val="true"/>
        </w:trPr>
        <w:tc>
          <w:tcPr>
            <w:tcW w:type="dxa" w:w="1816"/>
            <w:shd w:val="clear" w:color="auto" w:fill="E8EEF7"/>
          </w:tcPr>
          <w:p>
            <w:pPr>
              <w:spacing w:after="0" w:line="240" w:lineRule="auto"/>
            </w:pPr>
            <w:r/>
            <w:r>
              <w:rPr>
                <w:b/>
                <w:color w:val="1F3A5F"/>
                <w:sz w:val="17"/>
              </w:rPr>
              <w:t>Campo</w:t>
            </w:r>
          </w:p>
        </w:tc>
        <w:tc>
          <w:tcPr>
            <w:tcW w:type="dxa" w:w="8383"/>
            <w:shd w:val="clear" w:color="auto" w:fill="E8EEF7"/>
          </w:tcPr>
          <w:p>
            <w:pPr>
              <w:spacing w:after="0" w:line="240" w:lineRule="auto"/>
            </w:pPr>
            <w:r/>
            <w:r>
              <w:rPr>
                <w:b/>
                <w:color w:val="1F3A5F"/>
                <w:sz w:val="17"/>
              </w:rPr>
              <w:t>Saída do agente</w:t>
            </w:r>
          </w:p>
        </w:tc>
      </w:tr>
      <w:tr>
        <w:trPr>
          <w:cantSplit w:val="true"/>
        </w:trPr>
        <w:tc>
          <w:tcPr>
            <w:tcW w:type="dxa" w:w="1816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Score e ação</w:t>
            </w:r>
          </w:p>
        </w:tc>
        <w:tc>
          <w:tcPr>
            <w:tcW w:type="dxa" w:w="8383"/>
          </w:tcPr>
          <w:p>
            <w:pPr>
              <w:spacing w:after="0" w:line="240" w:lineRule="auto"/>
            </w:pPr>
            <w:r/>
            <w:r>
              <w:rPr>
                <w:b/>
                <w:sz w:val="17"/>
              </w:rPr>
              <w:t>80 (ALTO)</w:t>
            </w:r>
            <w:r>
              <w:rPr>
                <w:sz w:val="17"/>
              </w:rPr>
              <w:t xml:space="preserve"> · ESCALAR_OPERACOES no dia da postagem, 19 dias antes do prazo</w:t>
            </w:r>
          </w:p>
        </w:tc>
      </w:tr>
      <w:tr>
        <w:trPr>
          <w:cantSplit w:val="true"/>
        </w:trPr>
        <w:tc>
          <w:tcPr>
            <w:tcW w:type="dxa" w:w="1816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Fatores</w:t>
            </w:r>
          </w:p>
        </w:tc>
        <w:tc>
          <w:tcPr>
            <w:tcW w:type="dxa" w:w="8383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Postagem atrasada (+35); MA com 19,7% de atraso (+20); projeção pessimista 29/03 &gt; prazo (+25)</w:t>
            </w:r>
          </w:p>
        </w:tc>
      </w:tr>
      <w:tr>
        <w:trPr>
          <w:cantSplit w:val="true"/>
        </w:trPr>
        <w:tc>
          <w:tcPr>
            <w:tcW w:type="dxa" w:w="1816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D-3 (24/03)</w:t>
            </w:r>
          </w:p>
        </w:tc>
        <w:tc>
          <w:tcPr>
            <w:tcW w:type="dxa" w:w="8383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Sem entrega confirmada → AVISAR_CLIENTE com nova data 03/04</w:t>
            </w:r>
          </w:p>
        </w:tc>
      </w:tr>
      <w:tr>
        <w:trPr>
          <w:cantSplit w:val="true"/>
        </w:trPr>
        <w:tc>
          <w:tcPr>
            <w:tcW w:type="dxa" w:w="1816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Desfecho real</w:t>
            </w:r>
          </w:p>
        </w:tc>
        <w:tc>
          <w:tcPr>
            <w:tcW w:type="dxa" w:w="8383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 xml:space="preserve">Entregue em </w:t>
            </w:r>
            <w:r>
              <w:rPr>
                <w:b/>
                <w:sz w:val="17"/>
              </w:rPr>
              <w:t>06/04</w:t>
            </w:r>
            <w:r>
              <w:rPr>
                <w:sz w:val="17"/>
              </w:rPr>
              <w:t>, 10 dias de atraso. O cliente teria sido avisado 10 dias antes</w:t>
            </w:r>
          </w:p>
        </w:tc>
      </w:tr>
    </w:tbl>
    <w:p>
      <w:pPr>
        <w:spacing w:after="40"/>
      </w:pPr>
    </w:p>
    <w:p>
      <w:r>
        <w:rPr>
          <w:i/>
        </w:rPr>
        <w:t xml:space="preserve">Um segundo caso real (SP → BA) mostra o </w:t>
      </w:r>
      <w:r>
        <w:rPr>
          <w:i/>
        </w:rPr>
        <w:t>falso positivo controlado</w:t>
      </w:r>
      <w:r>
        <w:rPr>
          <w:i/>
        </w:rPr>
        <w:t>: o agente alertou operações, mas não avisou o cliente porque a projeção mediana cabia no prazo. O pedido chegou no prazo.</w:t>
      </w:r>
    </w:p>
    <w:p>
      <w:pPr>
        <w:pStyle w:val="Heading2"/>
      </w:pPr>
      <w:r>
        <w:t>8.3 WinBack</w:t>
      </w:r>
    </w:p>
    <w:p>
      <w:r>
        <w:rPr>
          <w:b/>
        </w:rPr>
        <w:t>a) Objetivo:</w:t>
      </w:r>
      <w:r>
        <w:t xml:space="preserve"> decidir se e como contatar o cliente de 1ª compra entre D+7 e D+90.</w:t>
      </w:r>
    </w:p>
    <w:p>
      <w:r>
        <w:rPr>
          <w:b/>
        </w:rPr>
        <w:t>b) Contexto:</w:t>
      </w:r>
      <w:r>
        <w:t xml:space="preserve"> datas da 1ª compra e da entrega; categoria e valor; nota; atraso; opt-in; último contato; tickets abertos; categorias da 2ª compra por perfil.</w:t>
      </w:r>
    </w:p>
    <w:p>
      <w:r>
        <w:rPr>
          <w:b/>
        </w:rPr>
        <w:t>c) Instrução principal (resumo):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E0DED8"/>
          <w:left w:val="single" w:sz="4" w:color="E0DED8"/>
          <w:bottom w:val="single" w:sz="4" w:color="E0DED8"/>
          <w:right w:val="single" w:sz="4" w:color="E0DED8"/>
          <w:insideH w:val="single" w:sz="4" w:color="E0DED8"/>
          <w:insideV w:val="single" w:sz="4" w:color="E0DED8"/>
        </w:tblBorders>
        <w:tblCellMar>
          <w:top w:w="113" w:type="dxa"/>
          <w:bottom w:w="113" w:type="dxa"/>
          <w:left w:w="113" w:type="dxa"/>
          <w:right w:w="113" w:type="dxa"/>
        </w:tblCellMar>
      </w:tblPr>
      <w:tblGrid>
        <w:gridCol w:w="10200"/>
      </w:tblGrid>
      <w:tr>
        <w:tc>
          <w:tcPr>
            <w:tcW w:type="dxa" w:w="10199"/>
            <w:shd w:val="clear" w:color="auto" w:fill="F4F4F2"/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sz w:val="15"/>
              </w:rPr>
              <w:t>Você é o WinBack. Só clientes de 1ª compra, de 7 a 90 dias após a entrega.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5"/>
              </w:rPr>
              <w:t>AÇÕES: NAO_CONTATAR | PAUSAR | MENSAGEM_SEM_INCENTIVO | MENSAGEM_COM_INCENTIVO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5"/>
              </w:rPr>
              <w:t>1. Sem opt-in, contato &lt; 15 dias ou 2 contatos já feitos → NAO_CONTATAR.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5"/>
              </w:rPr>
              <w:t>2. Nota ≤ 2, atraso ou ticket aberto → PAUSAR até o SentimentDesk resolver.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5"/>
              </w:rPr>
              <w:t>3. Boa experiência → mensagem sem incentivo, na mesma categoria ou em uma afim.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5"/>
              </w:rPr>
              <w:t xml:space="preserve">   Incentivo só no 2º contato (D+45). Incentivo &gt; 10% exige aprovação humana.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5"/>
              </w:rPr>
              <w:t>NÃO FAÇA: urgência falsa; contato fora da janela; dados pessoais além do primeiro nome.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5"/>
              </w:rPr>
              <w:t>SAÍDA: JSON (elegível, ação, motivo, categorias, incentivo, mensagem, próximo passo).</w:t>
            </w:r>
          </w:p>
        </w:tc>
      </w:tr>
    </w:tbl>
    <w:p>
      <w:pPr>
        <w:spacing w:after="40"/>
      </w:pPr>
    </w:p>
    <w:p>
      <w:r>
        <w:rPr>
          <w:b/>
        </w:rPr>
        <w:t>d) Resultado esperado:</w:t>
      </w:r>
      <w:r>
        <w:t xml:space="preserve"> decisão auditável, mensagem pronta e grupo controle de 10%.</w:t>
      </w:r>
    </w:p>
    <w:p>
      <w:r>
        <w:rPr>
          <w:b/>
        </w:rPr>
        <w:t>Exemplo real.</w:t>
      </w:r>
      <w:r>
        <w:t xml:space="preserve"> Cliente do RS, 1ª compra em cama/mesa/banho (R$ 112,44), nota 5, entregue no prazo, D+7.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C9CED6"/>
          <w:left w:val="single" w:sz="4" w:color="C9CED6"/>
          <w:bottom w:val="single" w:sz="4" w:color="C9CED6"/>
          <w:right w:val="single" w:sz="4" w:color="C9CED6"/>
          <w:insideH w:val="single" w:sz="4" w:color="C9CED6"/>
          <w:insideV w:val="single" w:sz="4" w:color="C9CED6"/>
        </w:tblBorders>
        <w:tblCellMar>
          <w:top w:w="68" w:type="dxa"/>
          <w:bottom w:w="68" w:type="dxa"/>
          <w:left w:w="68" w:type="dxa"/>
          <w:right w:w="68" w:type="dxa"/>
        </w:tblCellMar>
      </w:tblPr>
      <w:tblGrid>
        <w:gridCol w:w="5100"/>
        <w:gridCol w:w="5100"/>
      </w:tblGrid>
      <w:tr>
        <w:trPr>
          <w:tblHeader w:val="true"/>
          <w:cantSplit w:val="true"/>
        </w:trPr>
        <w:tc>
          <w:tcPr>
            <w:tcW w:type="dxa" w:w="1457"/>
            <w:shd w:val="clear" w:color="auto" w:fill="E8EEF7"/>
          </w:tcPr>
          <w:p>
            <w:pPr>
              <w:spacing w:after="0" w:line="240" w:lineRule="auto"/>
            </w:pPr>
            <w:r/>
            <w:r>
              <w:rPr>
                <w:b/>
                <w:color w:val="1F3A5F"/>
                <w:sz w:val="17"/>
              </w:rPr>
              <w:t>Campo</w:t>
            </w:r>
          </w:p>
        </w:tc>
        <w:tc>
          <w:tcPr>
            <w:tcW w:type="dxa" w:w="8742"/>
            <w:shd w:val="clear" w:color="auto" w:fill="E8EEF7"/>
          </w:tcPr>
          <w:p>
            <w:pPr>
              <w:spacing w:after="0" w:line="240" w:lineRule="auto"/>
            </w:pPr>
            <w:r/>
            <w:r>
              <w:rPr>
                <w:b/>
                <w:color w:val="1F3A5F"/>
                <w:sz w:val="17"/>
              </w:rPr>
              <w:t>Saída do agente</w:t>
            </w:r>
          </w:p>
        </w:tc>
      </w:tr>
      <w:tr>
        <w:trPr>
          <w:cantSplit w:val="true"/>
        </w:trPr>
        <w:tc>
          <w:tcPr>
            <w:tcW w:type="dxa" w:w="1457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Ação</w:t>
            </w:r>
          </w:p>
        </w:tc>
        <w:tc>
          <w:tcPr>
            <w:tcW w:type="dxa" w:w="8742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MENSAGEM_SEM_INCENTIVO (incentivo reservado para o 2º contato)</w:t>
            </w:r>
          </w:p>
        </w:tc>
      </w:tr>
      <w:tr>
        <w:trPr>
          <w:cantSplit w:val="true"/>
        </w:trPr>
        <w:tc>
          <w:tcPr>
            <w:tcW w:type="dxa" w:w="1457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Categorias</w:t>
            </w:r>
          </w:p>
        </w:tc>
        <w:tc>
          <w:tcPr>
            <w:tcW w:type="dxa" w:w="8742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cama_mesa_banho (46% das 2ªs compras desse perfil) e moveis_decoracao (9%)</w:t>
            </w:r>
          </w:p>
        </w:tc>
      </w:tr>
      <w:tr>
        <w:trPr>
          <w:cantSplit w:val="true"/>
        </w:trPr>
        <w:tc>
          <w:tcPr>
            <w:tcW w:type="dxa" w:w="1457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Mensagem</w:t>
            </w:r>
          </w:p>
        </w:tc>
        <w:tc>
          <w:tcPr>
            <w:tcW w:type="dxa" w:w="8742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"Que bom que seu pedido chegou certinho! Separamos novidades em cama, mesa e banho e itens de decoração que combinam com a sua compra."</w:t>
            </w:r>
          </w:p>
        </w:tc>
      </w:tr>
      <w:tr>
        <w:trPr>
          <w:cantSplit w:val="true"/>
        </w:trPr>
        <w:tc>
          <w:tcPr>
            <w:tcW w:type="dxa" w:w="1457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Contraste</w:t>
            </w:r>
          </w:p>
        </w:tc>
        <w:tc>
          <w:tcPr>
            <w:tcW w:type="dxa" w:w="8742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 xml:space="preserve">Outro cliente real (1ª compra atrasada, nota 2, ticket aberto) recebe </w:t>
            </w:r>
            <w:r>
              <w:rPr>
                <w:b/>
                <w:sz w:val="17"/>
              </w:rPr>
              <w:t>PAUSAR</w:t>
            </w:r>
            <w:r>
              <w:rPr>
                <w:sz w:val="17"/>
              </w:rPr>
              <w:t>: nenhuma oferta até o caso ser resolvido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9. Indicadores e Business Case</w:t>
      </w:r>
    </w:p>
    <w:p>
      <w:pPr>
        <w:pStyle w:val="Heading2"/>
      </w:pPr>
      <w:r>
        <w:t>9.1 Indicadores por agente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C9CED6"/>
          <w:left w:val="single" w:sz="4" w:color="C9CED6"/>
          <w:bottom w:val="single" w:sz="4" w:color="C9CED6"/>
          <w:right w:val="single" w:sz="4" w:color="C9CED6"/>
          <w:insideH w:val="single" w:sz="4" w:color="C9CED6"/>
          <w:insideV w:val="single" w:sz="4" w:color="C9CED6"/>
        </w:tblBorders>
        <w:tblCellMar>
          <w:top w:w="68" w:type="dxa"/>
          <w:bottom w:w="68" w:type="dxa"/>
          <w:left w:w="68" w:type="dxa"/>
          <w:right w:w="68" w:type="dxa"/>
        </w:tblCellMar>
      </w:tblPr>
      <w:tblGrid>
        <w:gridCol w:w="2040"/>
        <w:gridCol w:w="2040"/>
        <w:gridCol w:w="2040"/>
        <w:gridCol w:w="2040"/>
        <w:gridCol w:w="2040"/>
      </w:tblGrid>
      <w:tr>
        <w:trPr>
          <w:tblHeader w:val="true"/>
          <w:cantSplit w:val="true"/>
        </w:trPr>
        <w:tc>
          <w:tcPr>
            <w:tcW w:type="dxa" w:w="927"/>
            <w:shd w:val="clear" w:color="auto" w:fill="E8EEF7"/>
          </w:tcPr>
          <w:p>
            <w:pPr>
              <w:spacing w:after="0" w:line="240" w:lineRule="auto"/>
            </w:pPr>
            <w:r/>
            <w:r>
              <w:rPr>
                <w:b/>
                <w:color w:val="1F3A5F"/>
                <w:sz w:val="15"/>
              </w:rPr>
              <w:t>Agente</w:t>
            </w:r>
          </w:p>
        </w:tc>
        <w:tc>
          <w:tcPr>
            <w:tcW w:type="dxa" w:w="2496"/>
            <w:shd w:val="clear" w:color="auto" w:fill="E8EEF7"/>
          </w:tcPr>
          <w:p>
            <w:pPr>
              <w:spacing w:after="0" w:line="240" w:lineRule="auto"/>
            </w:pPr>
            <w:r/>
            <w:r>
              <w:rPr>
                <w:b/>
                <w:color w:val="1F3A5F"/>
                <w:sz w:val="15"/>
              </w:rPr>
              <w:t>Indicador</w:t>
            </w:r>
          </w:p>
        </w:tc>
        <w:tc>
          <w:tcPr>
            <w:tcW w:type="dxa" w:w="2425"/>
            <w:shd w:val="clear" w:color="auto" w:fill="E8EEF7"/>
          </w:tcPr>
          <w:p>
            <w:pPr>
              <w:spacing w:after="0" w:line="240" w:lineRule="auto"/>
            </w:pPr>
            <w:r/>
            <w:r>
              <w:rPr>
                <w:b/>
                <w:color w:val="1F3A5F"/>
                <w:sz w:val="15"/>
              </w:rPr>
              <w:t>Baseline (dataset)</w:t>
            </w:r>
          </w:p>
        </w:tc>
        <w:tc>
          <w:tcPr>
            <w:tcW w:type="dxa" w:w="1712"/>
            <w:shd w:val="clear" w:color="auto" w:fill="E8EEF7"/>
          </w:tcPr>
          <w:p>
            <w:pPr>
              <w:spacing w:after="0" w:line="240" w:lineRule="auto"/>
            </w:pPr>
            <w:r/>
            <w:r>
              <w:rPr>
                <w:b/>
                <w:color w:val="1F3A5F"/>
                <w:sz w:val="15"/>
              </w:rPr>
              <w:t>Meta do piloto (90 dias)</w:t>
            </w:r>
          </w:p>
        </w:tc>
        <w:tc>
          <w:tcPr>
            <w:tcW w:type="dxa" w:w="2639"/>
            <w:shd w:val="clear" w:color="auto" w:fill="E8EEF7"/>
          </w:tcPr>
          <w:p>
            <w:pPr>
              <w:spacing w:after="0" w:line="240" w:lineRule="auto"/>
            </w:pPr>
            <w:r/>
            <w:r>
              <w:rPr>
                <w:b/>
                <w:color w:val="1F3A5F"/>
                <w:sz w:val="15"/>
              </w:rPr>
              <w:t>Como medir</w:t>
            </w:r>
          </w:p>
        </w:tc>
      </w:tr>
      <w:tr>
        <w:trPr>
          <w:cantSplit w:val="true"/>
        </w:trPr>
        <w:tc>
          <w:tcPr>
            <w:tcW w:type="dxa" w:w="927"/>
          </w:tcPr>
          <w:p>
            <w:pPr>
              <w:spacing w:after="0" w:line="240" w:lineRule="auto"/>
            </w:pPr>
            <w:r/>
            <w:r>
              <w:rPr>
                <w:sz w:val="15"/>
              </w:rPr>
              <w:t>LogiPredict</w:t>
            </w:r>
          </w:p>
        </w:tc>
        <w:tc>
          <w:tcPr>
            <w:tcW w:type="dxa" w:w="2496"/>
          </w:tcPr>
          <w:p>
            <w:pPr>
              <w:spacing w:after="0" w:line="240" w:lineRule="auto"/>
            </w:pPr>
            <w:r/>
            <w:r>
              <w:rPr>
                <w:sz w:val="15"/>
              </w:rPr>
              <w:t>Taxa de atraso nas rotas do piloto</w:t>
            </w:r>
          </w:p>
        </w:tc>
        <w:tc>
          <w:tcPr>
            <w:tcW w:type="dxa" w:w="2425"/>
          </w:tcPr>
          <w:p>
            <w:pPr>
              <w:spacing w:after="0" w:line="240" w:lineRule="auto"/>
            </w:pPr>
            <w:r/>
            <w:r>
              <w:rPr>
                <w:sz w:val="15"/>
              </w:rPr>
              <w:t>8,11% (Brasil); 15–24% no Nordeste</w:t>
            </w:r>
          </w:p>
        </w:tc>
        <w:tc>
          <w:tcPr>
            <w:tcW w:type="dxa" w:w="1712"/>
          </w:tcPr>
          <w:p>
            <w:pPr>
              <w:spacing w:after="0" w:line="240" w:lineRule="auto"/>
            </w:pPr>
            <w:r/>
            <w:r>
              <w:rPr>
                <w:sz w:val="15"/>
              </w:rPr>
              <w:t>−1 p.p. nas rotas piloto</w:t>
            </w:r>
          </w:p>
        </w:tc>
        <w:tc>
          <w:tcPr>
            <w:tcW w:type="dxa" w:w="2639"/>
          </w:tcPr>
          <w:p>
            <w:pPr>
              <w:spacing w:after="0" w:line="240" w:lineRule="auto"/>
            </w:pPr>
            <w:r/>
            <w:r>
              <w:rPr>
                <w:sz w:val="15"/>
              </w:rPr>
              <w:t>Comparação com rotas controle</w:t>
            </w:r>
          </w:p>
        </w:tc>
      </w:tr>
      <w:tr>
        <w:trPr>
          <w:cantSplit w:val="true"/>
        </w:trPr>
        <w:tc>
          <w:tcPr>
            <w:tcW w:type="dxa" w:w="927"/>
          </w:tcPr>
          <w:p>
            <w:pPr>
              <w:spacing w:after="0" w:line="240" w:lineRule="auto"/>
            </w:pPr>
            <w:r/>
            <w:r>
              <w:rPr>
                <w:sz w:val="15"/>
              </w:rPr>
              <w:t>LogiPredict</w:t>
            </w:r>
          </w:p>
        </w:tc>
        <w:tc>
          <w:tcPr>
            <w:tcW w:type="dxa" w:w="2496"/>
          </w:tcPr>
          <w:p>
            <w:pPr>
              <w:spacing w:after="0" w:line="240" w:lineRule="auto"/>
            </w:pPr>
            <w:r/>
            <w:r>
              <w:rPr>
                <w:sz w:val="15"/>
              </w:rPr>
              <w:t>Postagens após o limite</w:t>
            </w:r>
          </w:p>
        </w:tc>
        <w:tc>
          <w:tcPr>
            <w:tcW w:type="dxa" w:w="2425"/>
          </w:tcPr>
          <w:p>
            <w:pPr>
              <w:spacing w:after="0" w:line="240" w:lineRule="auto"/>
            </w:pPr>
            <w:r/>
            <w:r>
              <w:rPr>
                <w:sz w:val="15"/>
              </w:rPr>
              <w:t>9,0%</w:t>
            </w:r>
          </w:p>
        </w:tc>
        <w:tc>
          <w:tcPr>
            <w:tcW w:type="dxa" w:w="1712"/>
          </w:tcPr>
          <w:p>
            <w:pPr>
              <w:spacing w:after="0" w:line="240" w:lineRule="auto"/>
            </w:pPr>
            <w:r/>
            <w:r>
              <w:rPr>
                <w:sz w:val="15"/>
              </w:rPr>
              <w:t>≤ 6%</w:t>
            </w:r>
          </w:p>
        </w:tc>
        <w:tc>
          <w:tcPr>
            <w:tcW w:type="dxa" w:w="2639"/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color w:val="1F3A5F"/>
                <w:sz w:val="13"/>
              </w:rPr>
              <w:t>shipping_limit_date</w:t>
            </w:r>
            <w:r>
              <w:rPr>
                <w:sz w:val="15"/>
              </w:rPr>
              <w:t xml:space="preserve"> × postagem</w:t>
            </w:r>
          </w:p>
        </w:tc>
      </w:tr>
      <w:tr>
        <w:trPr>
          <w:cantSplit w:val="true"/>
        </w:trPr>
        <w:tc>
          <w:tcPr>
            <w:tcW w:type="dxa" w:w="927"/>
          </w:tcPr>
          <w:p>
            <w:pPr>
              <w:spacing w:after="0" w:line="240" w:lineRule="auto"/>
            </w:pPr>
            <w:r/>
            <w:r>
              <w:rPr>
                <w:sz w:val="15"/>
              </w:rPr>
              <w:t>LogiPredict</w:t>
            </w:r>
          </w:p>
        </w:tc>
        <w:tc>
          <w:tcPr>
            <w:tcW w:type="dxa" w:w="2496"/>
          </w:tcPr>
          <w:p>
            <w:pPr>
              <w:spacing w:after="0" w:line="240" w:lineRule="auto"/>
            </w:pPr>
            <w:r/>
            <w:r>
              <w:rPr>
                <w:sz w:val="15"/>
              </w:rPr>
              <w:t>Falso positivo do aviso ao cliente</w:t>
            </w:r>
          </w:p>
        </w:tc>
        <w:tc>
          <w:tcPr>
            <w:tcW w:type="dxa" w:w="2425"/>
          </w:tcPr>
          <w:p>
            <w:pPr>
              <w:spacing w:after="0" w:line="240" w:lineRule="auto"/>
            </w:pPr>
            <w:r/>
            <w:r>
              <w:rPr>
                <w:sz w:val="15"/>
              </w:rPr>
              <w:t>n/a</w:t>
            </w:r>
          </w:p>
        </w:tc>
        <w:tc>
          <w:tcPr>
            <w:tcW w:type="dxa" w:w="1712"/>
          </w:tcPr>
          <w:p>
            <w:pPr>
              <w:spacing w:after="0" w:line="240" w:lineRule="auto"/>
            </w:pPr>
            <w:r/>
            <w:r>
              <w:rPr>
                <w:sz w:val="15"/>
              </w:rPr>
              <w:t>≤ 20%</w:t>
            </w:r>
          </w:p>
        </w:tc>
        <w:tc>
          <w:tcPr>
            <w:tcW w:type="dxa" w:w="2639"/>
          </w:tcPr>
          <w:p>
            <w:pPr>
              <w:spacing w:after="0" w:line="240" w:lineRule="auto"/>
            </w:pPr>
            <w:r/>
            <w:r>
              <w:rPr>
                <w:sz w:val="15"/>
              </w:rPr>
              <w:t>Avisos × entregas no prazo</w:t>
            </w:r>
          </w:p>
        </w:tc>
      </w:tr>
      <w:tr>
        <w:trPr>
          <w:cantSplit w:val="true"/>
        </w:trPr>
        <w:tc>
          <w:tcPr>
            <w:tcW w:type="dxa" w:w="927"/>
          </w:tcPr>
          <w:p>
            <w:pPr>
              <w:spacing w:after="0" w:line="240" w:lineRule="auto"/>
            </w:pPr>
            <w:r/>
            <w:r>
              <w:rPr>
                <w:sz w:val="15"/>
              </w:rPr>
              <w:t>SentimentDesk</w:t>
            </w:r>
          </w:p>
        </w:tc>
        <w:tc>
          <w:tcPr>
            <w:tcW w:type="dxa" w:w="2496"/>
          </w:tcPr>
          <w:p>
            <w:pPr>
              <w:spacing w:after="0" w:line="240" w:lineRule="auto"/>
            </w:pPr>
            <w:r/>
            <w:r>
              <w:rPr>
                <w:sz w:val="15"/>
              </w:rPr>
              <w:t>Tempo até a 1ª resposta</w:t>
            </w:r>
          </w:p>
        </w:tc>
        <w:tc>
          <w:tcPr>
            <w:tcW w:type="dxa" w:w="2425"/>
          </w:tcPr>
          <w:p>
            <w:pPr>
              <w:spacing w:after="0" w:line="240" w:lineRule="auto"/>
            </w:pPr>
            <w:r/>
            <w:r>
              <w:rPr>
                <w:sz w:val="15"/>
              </w:rPr>
              <w:t>A medir (não existe no dataset)</w:t>
            </w:r>
          </w:p>
        </w:tc>
        <w:tc>
          <w:tcPr>
            <w:tcW w:type="dxa" w:w="1712"/>
          </w:tcPr>
          <w:p>
            <w:pPr>
              <w:spacing w:after="0" w:line="240" w:lineRule="auto"/>
            </w:pPr>
            <w:r/>
            <w:r>
              <w:rPr>
                <w:sz w:val="15"/>
              </w:rPr>
              <w:t>90% em &lt; 24h</w:t>
            </w:r>
          </w:p>
        </w:tc>
        <w:tc>
          <w:tcPr>
            <w:tcW w:type="dxa" w:w="2639"/>
          </w:tcPr>
          <w:p>
            <w:pPr>
              <w:spacing w:after="0" w:line="240" w:lineRule="auto"/>
            </w:pPr>
            <w:r/>
            <w:r>
              <w:rPr>
                <w:sz w:val="15"/>
              </w:rPr>
              <w:t>Log do agente</w:t>
            </w:r>
          </w:p>
        </w:tc>
      </w:tr>
      <w:tr>
        <w:trPr>
          <w:cantSplit w:val="true"/>
        </w:trPr>
        <w:tc>
          <w:tcPr>
            <w:tcW w:type="dxa" w:w="927"/>
          </w:tcPr>
          <w:p>
            <w:pPr>
              <w:spacing w:after="0" w:line="240" w:lineRule="auto"/>
            </w:pPr>
            <w:r/>
            <w:r>
              <w:rPr>
                <w:sz w:val="15"/>
              </w:rPr>
              <w:t>SentimentDesk</w:t>
            </w:r>
          </w:p>
        </w:tc>
        <w:tc>
          <w:tcPr>
            <w:tcW w:type="dxa" w:w="2496"/>
          </w:tcPr>
          <w:p>
            <w:pPr>
              <w:spacing w:after="0" w:line="240" w:lineRule="auto"/>
            </w:pPr>
            <w:r/>
            <w:r>
              <w:rPr>
                <w:sz w:val="15"/>
              </w:rPr>
              <w:t>Classificação correta</w:t>
            </w:r>
          </w:p>
        </w:tc>
        <w:tc>
          <w:tcPr>
            <w:tcW w:type="dxa" w:w="2425"/>
          </w:tcPr>
          <w:p>
            <w:pPr>
              <w:spacing w:after="0" w:line="240" w:lineRule="auto"/>
            </w:pPr>
            <w:r/>
            <w:r>
              <w:rPr>
                <w:sz w:val="15"/>
              </w:rPr>
              <w:t>n/a</w:t>
            </w:r>
          </w:p>
        </w:tc>
        <w:tc>
          <w:tcPr>
            <w:tcW w:type="dxa" w:w="1712"/>
          </w:tcPr>
          <w:p>
            <w:pPr>
              <w:spacing w:after="0" w:line="240" w:lineRule="auto"/>
            </w:pPr>
            <w:r/>
            <w:r>
              <w:rPr>
                <w:sz w:val="15"/>
              </w:rPr>
              <w:t>≥ 85%</w:t>
            </w:r>
          </w:p>
        </w:tc>
        <w:tc>
          <w:tcPr>
            <w:tcW w:type="dxa" w:w="2639"/>
          </w:tcPr>
          <w:p>
            <w:pPr>
              <w:spacing w:after="0" w:line="240" w:lineRule="auto"/>
            </w:pPr>
            <w:r/>
            <w:r>
              <w:rPr>
                <w:sz w:val="15"/>
              </w:rPr>
              <w:t>Auditoria amostral semanal (50 casos)</w:t>
            </w:r>
          </w:p>
        </w:tc>
      </w:tr>
      <w:tr>
        <w:trPr>
          <w:cantSplit w:val="true"/>
        </w:trPr>
        <w:tc>
          <w:tcPr>
            <w:tcW w:type="dxa" w:w="927"/>
          </w:tcPr>
          <w:p>
            <w:pPr>
              <w:spacing w:after="0" w:line="240" w:lineRule="auto"/>
            </w:pPr>
            <w:r/>
            <w:r>
              <w:rPr>
                <w:sz w:val="15"/>
              </w:rPr>
              <w:t>SentimentDesk</w:t>
            </w:r>
          </w:p>
        </w:tc>
        <w:tc>
          <w:tcPr>
            <w:tcW w:type="dxa" w:w="2496"/>
          </w:tcPr>
          <w:p>
            <w:pPr>
              <w:spacing w:after="0" w:line="240" w:lineRule="auto"/>
            </w:pPr>
            <w:r/>
            <w:r>
              <w:rPr>
                <w:sz w:val="15"/>
              </w:rPr>
              <w:t>Casos críticos com analista em &lt; 4h</w:t>
            </w:r>
          </w:p>
        </w:tc>
        <w:tc>
          <w:tcPr>
            <w:tcW w:type="dxa" w:w="2425"/>
          </w:tcPr>
          <w:p>
            <w:pPr>
              <w:spacing w:after="0" w:line="240" w:lineRule="auto"/>
            </w:pPr>
            <w:r/>
            <w:r>
              <w:rPr>
                <w:sz w:val="15"/>
              </w:rPr>
              <w:t>n/a</w:t>
            </w:r>
          </w:p>
        </w:tc>
        <w:tc>
          <w:tcPr>
            <w:tcW w:type="dxa" w:w="1712"/>
          </w:tcPr>
          <w:p>
            <w:pPr>
              <w:spacing w:after="0" w:line="240" w:lineRule="auto"/>
            </w:pPr>
            <w:r/>
            <w:r>
              <w:rPr>
                <w:sz w:val="15"/>
              </w:rPr>
              <w:t>95%</w:t>
            </w:r>
          </w:p>
        </w:tc>
        <w:tc>
          <w:tcPr>
            <w:tcW w:type="dxa" w:w="2639"/>
          </w:tcPr>
          <w:p>
            <w:pPr>
              <w:spacing w:after="0" w:line="240" w:lineRule="auto"/>
            </w:pPr>
            <w:r/>
            <w:r>
              <w:rPr>
                <w:sz w:val="15"/>
              </w:rPr>
              <w:t>Fila de CX</w:t>
            </w:r>
          </w:p>
        </w:tc>
      </w:tr>
      <w:tr>
        <w:trPr>
          <w:cantSplit w:val="true"/>
        </w:trPr>
        <w:tc>
          <w:tcPr>
            <w:tcW w:type="dxa" w:w="927"/>
          </w:tcPr>
          <w:p>
            <w:pPr>
              <w:spacing w:after="0" w:line="240" w:lineRule="auto"/>
            </w:pPr>
            <w:r/>
            <w:r>
              <w:rPr>
                <w:sz w:val="15"/>
              </w:rPr>
              <w:t>WinBack</w:t>
            </w:r>
          </w:p>
        </w:tc>
        <w:tc>
          <w:tcPr>
            <w:tcW w:type="dxa" w:w="2496"/>
          </w:tcPr>
          <w:p>
            <w:pPr>
              <w:spacing w:after="0" w:line="240" w:lineRule="auto"/>
            </w:pPr>
            <w:r/>
            <w:r>
              <w:rPr>
                <w:sz w:val="15"/>
              </w:rPr>
              <w:t>Conversão em 2ª compra (90 dias)</w:t>
            </w:r>
          </w:p>
        </w:tc>
        <w:tc>
          <w:tcPr>
            <w:tcW w:type="dxa" w:w="2425"/>
          </w:tcPr>
          <w:p>
            <w:pPr>
              <w:spacing w:after="0" w:line="240" w:lineRule="auto"/>
            </w:pPr>
            <w:r/>
            <w:r>
              <w:rPr>
                <w:sz w:val="15"/>
              </w:rPr>
              <w:t>1,13%</w:t>
            </w:r>
          </w:p>
        </w:tc>
        <w:tc>
          <w:tcPr>
            <w:tcW w:type="dxa" w:w="1712"/>
          </w:tcPr>
          <w:p>
            <w:pPr>
              <w:spacing w:after="0" w:line="240" w:lineRule="auto"/>
            </w:pPr>
            <w:r/>
            <w:r>
              <w:rPr>
                <w:sz w:val="15"/>
              </w:rPr>
              <w:t>1,63% (+0,5 p.p.)</w:t>
            </w:r>
          </w:p>
        </w:tc>
        <w:tc>
          <w:tcPr>
            <w:tcW w:type="dxa" w:w="2639"/>
          </w:tcPr>
          <w:p>
            <w:pPr>
              <w:spacing w:after="0" w:line="240" w:lineRule="auto"/>
            </w:pPr>
            <w:r/>
            <w:r>
              <w:rPr>
                <w:sz w:val="15"/>
              </w:rPr>
              <w:t>Uplift contra grupo controle de 10%</w:t>
            </w:r>
          </w:p>
        </w:tc>
      </w:tr>
      <w:tr>
        <w:trPr>
          <w:cantSplit w:val="true"/>
        </w:trPr>
        <w:tc>
          <w:tcPr>
            <w:tcW w:type="dxa" w:w="927"/>
          </w:tcPr>
          <w:p>
            <w:pPr>
              <w:spacing w:after="0" w:line="240" w:lineRule="auto"/>
            </w:pPr>
            <w:r/>
            <w:r>
              <w:rPr>
                <w:sz w:val="15"/>
              </w:rPr>
              <w:t>WinBack</w:t>
            </w:r>
          </w:p>
        </w:tc>
        <w:tc>
          <w:tcPr>
            <w:tcW w:type="dxa" w:w="2496"/>
          </w:tcPr>
          <w:p>
            <w:pPr>
              <w:spacing w:after="0" w:line="240" w:lineRule="auto"/>
            </w:pPr>
            <w:r/>
            <w:r>
              <w:rPr>
                <w:sz w:val="15"/>
              </w:rPr>
              <w:t>Opt-out por contato</w:t>
            </w:r>
          </w:p>
        </w:tc>
        <w:tc>
          <w:tcPr>
            <w:tcW w:type="dxa" w:w="2425"/>
          </w:tcPr>
          <w:p>
            <w:pPr>
              <w:spacing w:after="0" w:line="240" w:lineRule="auto"/>
            </w:pPr>
            <w:r/>
            <w:r>
              <w:rPr>
                <w:sz w:val="15"/>
              </w:rPr>
              <w:t>n/a</w:t>
            </w:r>
          </w:p>
        </w:tc>
        <w:tc>
          <w:tcPr>
            <w:tcW w:type="dxa" w:w="1712"/>
          </w:tcPr>
          <w:p>
            <w:pPr>
              <w:spacing w:after="0" w:line="240" w:lineRule="auto"/>
            </w:pPr>
            <w:r/>
            <w:r>
              <w:rPr>
                <w:sz w:val="15"/>
              </w:rPr>
              <w:t>&lt; 1%</w:t>
            </w:r>
          </w:p>
        </w:tc>
        <w:tc>
          <w:tcPr>
            <w:tcW w:type="dxa" w:w="2639"/>
          </w:tcPr>
          <w:p>
            <w:pPr>
              <w:spacing w:after="0" w:line="240" w:lineRule="auto"/>
            </w:pPr>
            <w:r/>
            <w:r>
              <w:rPr>
                <w:sz w:val="15"/>
              </w:rPr>
              <w:t>CRM</w:t>
            </w:r>
          </w:p>
        </w:tc>
      </w:tr>
    </w:tbl>
    <w:p>
      <w:pPr>
        <w:spacing w:after="40"/>
      </w:pPr>
    </w:p>
    <w:p>
      <w:pPr>
        <w:pStyle w:val="Heading2"/>
      </w:pPr>
      <w:r>
        <w:t>9.2 Business case: três cenários</w:t>
      </w:r>
    </w:p>
    <w:p>
      <w:r>
        <w:t xml:space="preserve">Janela: set/2017 a ago/2018 (12 meses), </w:t>
      </w:r>
      <w:r>
        <w:rPr>
          <w:b/>
        </w:rPr>
        <w:t>na escala do dataset público</w:t>
      </w:r>
      <w:r>
        <w:t xml:space="preserve">. Como o dataset é uma amostra da operação, os valores servem para </w:t>
      </w:r>
      <w:r>
        <w:rPr>
          <w:b/>
        </w:rPr>
        <w:t>dimensionar a lógica</w:t>
      </w:r>
      <w:r>
        <w:t>; o cálculo escala linearmente com o volume real.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C9CED6"/>
          <w:left w:val="single" w:sz="4" w:color="C9CED6"/>
          <w:bottom w:val="single" w:sz="4" w:color="C9CED6"/>
          <w:right w:val="single" w:sz="4" w:color="C9CED6"/>
          <w:insideH w:val="single" w:sz="4" w:color="C9CED6"/>
          <w:insideV w:val="single" w:sz="4" w:color="C9CED6"/>
        </w:tblBorders>
        <w:tblCellMar>
          <w:top w:w="68" w:type="dxa"/>
          <w:bottom w:w="68" w:type="dxa"/>
          <w:left w:w="68" w:type="dxa"/>
          <w:right w:w="68" w:type="dxa"/>
        </w:tblCellMar>
      </w:tblPr>
      <w:tblGrid>
        <w:gridCol w:w="2040"/>
        <w:gridCol w:w="2040"/>
        <w:gridCol w:w="2040"/>
        <w:gridCol w:w="2040"/>
        <w:gridCol w:w="2040"/>
      </w:tblGrid>
      <w:tr>
        <w:trPr>
          <w:tblHeader w:val="true"/>
          <w:cantSplit w:val="true"/>
        </w:trPr>
        <w:tc>
          <w:tcPr>
            <w:tcW w:type="dxa" w:w="702"/>
            <w:shd w:val="clear" w:color="auto" w:fill="E8EEF7"/>
          </w:tcPr>
          <w:p>
            <w:pPr>
              <w:spacing w:after="0" w:line="240" w:lineRule="auto"/>
            </w:pPr>
            <w:r/>
            <w:r>
              <w:rPr>
                <w:b/>
                <w:color w:val="1F3A5F"/>
                <w:sz w:val="15"/>
              </w:rPr>
              <w:t>Agente</w:t>
            </w:r>
          </w:p>
        </w:tc>
        <w:tc>
          <w:tcPr>
            <w:tcW w:type="dxa" w:w="3238"/>
            <w:shd w:val="clear" w:color="auto" w:fill="E8EEF7"/>
          </w:tcPr>
          <w:p>
            <w:pPr>
              <w:spacing w:after="0" w:line="240" w:lineRule="auto"/>
            </w:pPr>
            <w:r/>
            <w:r>
              <w:rPr>
                <w:b/>
                <w:color w:val="1F3A5F"/>
                <w:sz w:val="15"/>
              </w:rPr>
              <w:t>Lógica do cálculo</w:t>
            </w:r>
          </w:p>
        </w:tc>
        <w:tc>
          <w:tcPr>
            <w:tcW w:type="dxa" w:w="2374"/>
            <w:shd w:val="clear" w:color="auto" w:fill="E8EEF7"/>
          </w:tcPr>
          <w:p>
            <w:pPr>
              <w:spacing w:after="0" w:line="240" w:lineRule="auto"/>
            </w:pPr>
            <w:r/>
            <w:r>
              <w:rPr>
                <w:b/>
                <w:color w:val="1F3A5F"/>
                <w:sz w:val="15"/>
              </w:rPr>
              <w:t>Conservador</w:t>
            </w:r>
          </w:p>
        </w:tc>
        <w:tc>
          <w:tcPr>
            <w:tcW w:type="dxa" w:w="1889"/>
            <w:shd w:val="clear" w:color="auto" w:fill="E8EEF7"/>
          </w:tcPr>
          <w:p>
            <w:pPr>
              <w:spacing w:after="0" w:line="240" w:lineRule="auto"/>
            </w:pPr>
            <w:r/>
            <w:r>
              <w:rPr>
                <w:b/>
                <w:color w:val="1F3A5F"/>
                <w:sz w:val="15"/>
              </w:rPr>
              <w:t>Base</w:t>
            </w:r>
          </w:p>
        </w:tc>
        <w:tc>
          <w:tcPr>
            <w:tcW w:type="dxa" w:w="1997"/>
            <w:shd w:val="clear" w:color="auto" w:fill="E8EEF7"/>
          </w:tcPr>
          <w:p>
            <w:pPr>
              <w:spacing w:after="0" w:line="240" w:lineRule="auto"/>
            </w:pPr>
            <w:r/>
            <w:r>
              <w:rPr>
                <w:b/>
                <w:color w:val="1F3A5F"/>
                <w:sz w:val="15"/>
              </w:rPr>
              <w:t>Otimista</w:t>
            </w:r>
          </w:p>
        </w:tc>
      </w:tr>
      <w:tr>
        <w:trPr>
          <w:cantSplit w:val="true"/>
        </w:trPr>
        <w:tc>
          <w:tcPr>
            <w:tcW w:type="dxa" w:w="702"/>
          </w:tcPr>
          <w:p>
            <w:pPr>
              <w:spacing w:after="0" w:line="240" w:lineRule="auto"/>
            </w:pPr>
            <w:r/>
            <w:r>
              <w:rPr>
                <w:sz w:val="15"/>
              </w:rPr>
              <w:t>LogiPredict</w:t>
            </w:r>
          </w:p>
        </w:tc>
        <w:tc>
          <w:tcPr>
            <w:tcW w:type="dxa" w:w="3238"/>
          </w:tcPr>
          <w:p>
            <w:pPr>
              <w:spacing w:after="0" w:line="240" w:lineRule="auto"/>
            </w:pPr>
            <w:r/>
            <w:r>
              <w:rPr>
                <w:sz w:val="15"/>
              </w:rPr>
              <w:t>6.689 postagens atrasadas × diferença de atraso (24,4% → 6,5%) × % da diferença eliminada (25/50/75%)</w:t>
            </w:r>
          </w:p>
        </w:tc>
        <w:tc>
          <w:tcPr>
            <w:tcW w:type="dxa" w:w="2374"/>
          </w:tcPr>
          <w:p>
            <w:pPr>
              <w:spacing w:after="0" w:line="240" w:lineRule="auto"/>
            </w:pPr>
            <w:r/>
            <w:r>
              <w:rPr>
                <w:sz w:val="15"/>
              </w:rPr>
              <w:t>335 atrasos evitados · 150 notas 1–2 a menos</w:t>
            </w:r>
          </w:p>
        </w:tc>
        <w:tc>
          <w:tcPr>
            <w:tcW w:type="dxa" w:w="1889"/>
          </w:tcPr>
          <w:p>
            <w:pPr>
              <w:spacing w:after="0" w:line="240" w:lineRule="auto"/>
            </w:pPr>
            <w:r/>
            <w:r>
              <w:rPr>
                <w:b/>
                <w:sz w:val="15"/>
              </w:rPr>
              <w:t>670 atrasos · 300 notas 1–2 a menos</w:t>
            </w:r>
          </w:p>
        </w:tc>
        <w:tc>
          <w:tcPr>
            <w:tcW w:type="dxa" w:w="1997"/>
          </w:tcPr>
          <w:p>
            <w:pPr>
              <w:spacing w:after="0" w:line="240" w:lineRule="auto"/>
            </w:pPr>
            <w:r/>
            <w:r>
              <w:rPr>
                <w:sz w:val="15"/>
              </w:rPr>
              <w:t>1.006 atrasos · 451 notas 1–2 a menos</w:t>
            </w:r>
          </w:p>
        </w:tc>
      </w:tr>
      <w:tr>
        <w:trPr>
          <w:cantSplit w:val="true"/>
        </w:trPr>
        <w:tc>
          <w:tcPr>
            <w:tcW w:type="dxa" w:w="702"/>
          </w:tcPr>
          <w:p>
            <w:pPr>
              <w:spacing w:after="0" w:line="240" w:lineRule="auto"/>
            </w:pPr>
            <w:r/>
            <w:r>
              <w:rPr>
                <w:sz w:val="15"/>
              </w:rPr>
              <w:t>SentimentDesk</w:t>
            </w:r>
          </w:p>
        </w:tc>
        <w:tc>
          <w:tcPr>
            <w:tcW w:type="dxa" w:w="3238"/>
          </w:tcPr>
          <w:p>
            <w:pPr>
              <w:spacing w:after="0" w:line="240" w:lineRule="auto"/>
            </w:pPr>
            <w:r/>
            <w:r>
              <w:rPr>
                <w:sz w:val="15"/>
              </w:rPr>
              <w:t>11.711 avaliações 1–2 × % tratada com o agente (50/70/90%) × 9 min poupados × R$ 45/h</w:t>
            </w:r>
          </w:p>
        </w:tc>
        <w:tc>
          <w:tcPr>
            <w:tcW w:type="dxa" w:w="2374"/>
          </w:tcPr>
          <w:p>
            <w:pPr>
              <w:spacing w:after="0" w:line="240" w:lineRule="auto"/>
            </w:pPr>
            <w:r/>
            <w:r>
              <w:rPr>
                <w:sz w:val="15"/>
              </w:rPr>
              <w:t>878 h · R$ 39,5 mil</w:t>
            </w:r>
          </w:p>
        </w:tc>
        <w:tc>
          <w:tcPr>
            <w:tcW w:type="dxa" w:w="1889"/>
          </w:tcPr>
          <w:p>
            <w:pPr>
              <w:spacing w:after="0" w:line="240" w:lineRule="auto"/>
            </w:pPr>
            <w:r/>
            <w:r>
              <w:rPr>
                <w:b/>
                <w:sz w:val="15"/>
              </w:rPr>
              <w:t>1.229 h · R$ 55,3 mil</w:t>
            </w:r>
          </w:p>
        </w:tc>
        <w:tc>
          <w:tcPr>
            <w:tcW w:type="dxa" w:w="1997"/>
          </w:tcPr>
          <w:p>
            <w:pPr>
              <w:spacing w:after="0" w:line="240" w:lineRule="auto"/>
            </w:pPr>
            <w:r/>
            <w:r>
              <w:rPr>
                <w:sz w:val="15"/>
              </w:rPr>
              <w:t>1.580 h · R$ 71,1 mil</w:t>
            </w:r>
          </w:p>
        </w:tc>
      </w:tr>
      <w:tr>
        <w:trPr>
          <w:cantSplit w:val="true"/>
        </w:trPr>
        <w:tc>
          <w:tcPr>
            <w:tcW w:type="dxa" w:w="702"/>
          </w:tcPr>
          <w:p>
            <w:pPr>
              <w:spacing w:after="0" w:line="240" w:lineRule="auto"/>
            </w:pPr>
            <w:r/>
            <w:r>
              <w:rPr>
                <w:sz w:val="15"/>
              </w:rPr>
              <w:t>WinBack</w:t>
            </w:r>
          </w:p>
        </w:tc>
        <w:tc>
          <w:tcPr>
            <w:tcW w:type="dxa" w:w="3238"/>
          </w:tcPr>
          <w:p>
            <w:pPr>
              <w:spacing w:after="0" w:line="240" w:lineRule="auto"/>
            </w:pPr>
            <w:r/>
            <w:r>
              <w:rPr>
                <w:sz w:val="15"/>
              </w:rPr>
              <w:t>71.693 novos clientes × aumento da conversão em 90 dias (+0,25/+0,5/+1,0 p.p.) × ticket da 2ª compra (R$ 148,35)</w:t>
            </w:r>
          </w:p>
        </w:tc>
        <w:tc>
          <w:tcPr>
            <w:tcW w:type="dxa" w:w="2374"/>
          </w:tcPr>
          <w:p>
            <w:pPr>
              <w:spacing w:after="0" w:line="240" w:lineRule="auto"/>
            </w:pPr>
            <w:r/>
            <w:r>
              <w:rPr>
                <w:sz w:val="15"/>
              </w:rPr>
              <w:t>179 compras · R$ 26,6 mil</w:t>
            </w:r>
          </w:p>
        </w:tc>
        <w:tc>
          <w:tcPr>
            <w:tcW w:type="dxa" w:w="1889"/>
          </w:tcPr>
          <w:p>
            <w:pPr>
              <w:spacing w:after="0" w:line="240" w:lineRule="auto"/>
            </w:pPr>
            <w:r/>
            <w:r>
              <w:rPr>
                <w:b/>
                <w:sz w:val="15"/>
              </w:rPr>
              <w:t>358 compras · R$ 53,2 mil</w:t>
            </w:r>
          </w:p>
        </w:tc>
        <w:tc>
          <w:tcPr>
            <w:tcW w:type="dxa" w:w="1997"/>
          </w:tcPr>
          <w:p>
            <w:pPr>
              <w:spacing w:after="0" w:line="240" w:lineRule="auto"/>
            </w:pPr>
            <w:r/>
            <w:r>
              <w:rPr>
                <w:sz w:val="15"/>
              </w:rPr>
              <w:t>716 compras · R$ 106,4 mil</w:t>
            </w:r>
          </w:p>
        </w:tc>
      </w:tr>
    </w:tbl>
    <w:p>
      <w:pPr>
        <w:spacing w:after="40"/>
      </w:pPr>
    </w:p>
    <w:p>
      <w:r>
        <w:rPr>
          <w:b/>
        </w:rPr>
        <w:t>Premissas explícitas:</w:t>
      </w:r>
      <w:r>
        <w:t xml:space="preserve"> 12 minutos de triagem manual contra 3 minutos com o agente; custo do analista de R$ 45/hora; incrementos de conversão em pontos percentuais absolutos sobre a base de 1,13%. O efeito indireto (cliente com entrega no prazo recompra mais) </w:t>
      </w:r>
      <w:r>
        <w:rPr>
          <w:b/>
        </w:rPr>
        <w:t>não foi somado</w:t>
      </w:r>
      <w:r>
        <w:t>, para manter o cálculo conservador.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F2C6AE"/>
          <w:left w:val="single" w:sz="4" w:color="F2C6AE"/>
          <w:bottom w:val="single" w:sz="4" w:color="F2C6AE"/>
          <w:right w:val="single" w:sz="4" w:color="F2C6AE"/>
          <w:insideH w:val="single" w:sz="4" w:color="F2C6AE"/>
          <w:insideV w:val="single" w:sz="4" w:color="F2C6AE"/>
        </w:tblBorders>
        <w:tblCellMar>
          <w:top w:w="113" w:type="dxa"/>
          <w:bottom w:w="113" w:type="dxa"/>
          <w:left w:w="113" w:type="dxa"/>
          <w:right w:w="113" w:type="dxa"/>
        </w:tblCellMar>
      </w:tblPr>
      <w:tblGrid>
        <w:gridCol w:w="10200"/>
      </w:tblGrid>
      <w:tr>
        <w:tc>
          <w:tcPr>
            <w:tcW w:type="dxa" w:w="10199"/>
            <w:shd w:val="clear" w:color="auto" w:fill="FDF3EC"/>
          </w:tcPr>
          <w:p>
            <w:pPr>
              <w:spacing w:after="60" w:line="240" w:lineRule="auto"/>
            </w:pPr>
            <w:r/>
            <w:r>
              <w:rPr>
                <w:b/>
                <w:sz w:val="19"/>
              </w:rPr>
              <w:t>Leitura executiva.</w:t>
            </w:r>
            <w:r>
              <w:rPr>
                <w:sz w:val="19"/>
              </w:rPr>
              <w:t xml:space="preserve"> O maior retorno não está nos valores isolados. Está na combinação: menos atrasos geram menos avaliações negativas, o que reduz a fila do CX e preserva a chance de segunda compra. Os três agentes atacam elos da mesma corrente.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10. Governança, Riscos e Humano no Loop</w:t>
      </w:r>
    </w:p>
    <w:p>
      <w:pPr>
        <w:pStyle w:val="Heading2"/>
      </w:pPr>
      <w:r>
        <w:t>10.1 Quem decide o quê (RACI simplificado)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C9CED6"/>
          <w:left w:val="single" w:sz="4" w:color="C9CED6"/>
          <w:bottom w:val="single" w:sz="4" w:color="C9CED6"/>
          <w:right w:val="single" w:sz="4" w:color="C9CED6"/>
          <w:insideH w:val="single" w:sz="4" w:color="C9CED6"/>
          <w:insideV w:val="single" w:sz="4" w:color="C9CED6"/>
        </w:tblBorders>
        <w:tblCellMar>
          <w:top w:w="68" w:type="dxa"/>
          <w:bottom w:w="68" w:type="dxa"/>
          <w:left w:w="68" w:type="dxa"/>
          <w:right w:w="68" w:type="dxa"/>
        </w:tblCellMar>
      </w:tblPr>
      <w:tblGrid>
        <w:gridCol w:w="2040"/>
        <w:gridCol w:w="2040"/>
        <w:gridCol w:w="2040"/>
        <w:gridCol w:w="2040"/>
        <w:gridCol w:w="2040"/>
      </w:tblGrid>
      <w:tr>
        <w:trPr>
          <w:tblHeader w:val="true"/>
          <w:cantSplit w:val="true"/>
        </w:trPr>
        <w:tc>
          <w:tcPr>
            <w:tcW w:type="dxa" w:w="3370"/>
            <w:shd w:val="clear" w:color="auto" w:fill="E8EEF7"/>
          </w:tcPr>
          <w:p>
            <w:pPr>
              <w:spacing w:after="0" w:line="240" w:lineRule="auto"/>
            </w:pPr>
            <w:r/>
            <w:r>
              <w:rPr>
                <w:b/>
                <w:color w:val="1F3A5F"/>
                <w:sz w:val="15"/>
              </w:rPr>
              <w:t>Decisão</w:t>
            </w:r>
          </w:p>
        </w:tc>
        <w:tc>
          <w:tcPr>
            <w:tcW w:type="dxa" w:w="798"/>
            <w:shd w:val="clear" w:color="auto" w:fill="E8EEF7"/>
          </w:tcPr>
          <w:p>
            <w:pPr>
              <w:spacing w:after="0" w:line="240" w:lineRule="auto"/>
            </w:pPr>
            <w:r/>
            <w:r>
              <w:rPr>
                <w:b/>
                <w:color w:val="1F3A5F"/>
                <w:sz w:val="15"/>
              </w:rPr>
              <w:t>Agente</w:t>
            </w:r>
          </w:p>
        </w:tc>
        <w:tc>
          <w:tcPr>
            <w:tcW w:type="dxa" w:w="1242"/>
            <w:shd w:val="clear" w:color="auto" w:fill="E8EEF7"/>
          </w:tcPr>
          <w:p>
            <w:pPr>
              <w:spacing w:after="0" w:line="240" w:lineRule="auto"/>
            </w:pPr>
            <w:r/>
            <w:r>
              <w:rPr>
                <w:b/>
                <w:color w:val="1F3A5F"/>
                <w:sz w:val="15"/>
              </w:rPr>
              <w:t>Analista</w:t>
            </w:r>
          </w:p>
        </w:tc>
        <w:tc>
          <w:tcPr>
            <w:tcW w:type="dxa" w:w="1951"/>
            <w:shd w:val="clear" w:color="auto" w:fill="E8EEF7"/>
          </w:tcPr>
          <w:p>
            <w:pPr>
              <w:spacing w:after="0" w:line="240" w:lineRule="auto"/>
            </w:pPr>
            <w:r/>
            <w:r>
              <w:rPr>
                <w:b/>
                <w:color w:val="1F3A5F"/>
                <w:sz w:val="15"/>
              </w:rPr>
              <w:t>Gestor</w:t>
            </w:r>
          </w:p>
        </w:tc>
        <w:tc>
          <w:tcPr>
            <w:tcW w:type="dxa" w:w="2838"/>
            <w:shd w:val="clear" w:color="auto" w:fill="E8EEF7"/>
          </w:tcPr>
          <w:p>
            <w:pPr>
              <w:spacing w:after="0" w:line="240" w:lineRule="auto"/>
            </w:pPr>
            <w:r/>
            <w:r>
              <w:rPr>
                <w:b/>
                <w:color w:val="1F3A5F"/>
                <w:sz w:val="15"/>
              </w:rPr>
              <w:t>Observação</w:t>
            </w:r>
          </w:p>
        </w:tc>
      </w:tr>
      <w:tr>
        <w:trPr>
          <w:cantSplit w:val="true"/>
        </w:trPr>
        <w:tc>
          <w:tcPr>
            <w:tcW w:type="dxa" w:w="3370"/>
          </w:tcPr>
          <w:p>
            <w:pPr>
              <w:spacing w:after="0" w:line="240" w:lineRule="auto"/>
            </w:pPr>
            <w:r/>
            <w:r>
              <w:rPr>
                <w:sz w:val="15"/>
              </w:rPr>
              <w:t>Classificar avaliação / calcular risco</w:t>
            </w:r>
          </w:p>
        </w:tc>
        <w:tc>
          <w:tcPr>
            <w:tcW w:type="dxa" w:w="798"/>
          </w:tcPr>
          <w:p>
            <w:pPr>
              <w:spacing w:after="0" w:line="240" w:lineRule="auto"/>
            </w:pPr>
            <w:r/>
            <w:r>
              <w:rPr>
                <w:b/>
                <w:sz w:val="15"/>
              </w:rPr>
              <w:t>Executa</w:t>
            </w:r>
          </w:p>
        </w:tc>
        <w:tc>
          <w:tcPr>
            <w:tcW w:type="dxa" w:w="1242"/>
          </w:tcPr>
          <w:p>
            <w:pPr>
              <w:spacing w:after="0" w:line="240" w:lineRule="auto"/>
            </w:pPr>
            <w:r/>
            <w:r>
              <w:rPr>
                <w:sz w:val="15"/>
              </w:rPr>
              <w:t>Audita amostra</w:t>
            </w:r>
          </w:p>
        </w:tc>
        <w:tc>
          <w:tcPr>
            <w:tcW w:type="dxa" w:w="1951"/>
          </w:tcPr>
          <w:p>
            <w:pPr>
              <w:spacing w:after="0" w:line="240" w:lineRule="auto"/>
            </w:pPr>
            <w:r/>
            <w:r>
              <w:rPr>
                <w:sz w:val="15"/>
              </w:rPr>
              <w:t>Informado</w:t>
            </w:r>
          </w:p>
        </w:tc>
        <w:tc>
          <w:tcPr>
            <w:tcW w:type="dxa" w:w="2838"/>
          </w:tcPr>
          <w:p>
            <w:pPr>
              <w:spacing w:after="0" w:line="240" w:lineRule="auto"/>
            </w:pPr>
            <w:r/>
            <w:r>
              <w:rPr>
                <w:sz w:val="15"/>
              </w:rPr>
              <w:t>Automático com monitoramento</w:t>
            </w:r>
          </w:p>
        </w:tc>
      </w:tr>
      <w:tr>
        <w:trPr>
          <w:cantSplit w:val="true"/>
        </w:trPr>
        <w:tc>
          <w:tcPr>
            <w:tcW w:type="dxa" w:w="3370"/>
          </w:tcPr>
          <w:p>
            <w:pPr>
              <w:spacing w:after="0" w:line="240" w:lineRule="auto"/>
            </w:pPr>
            <w:r/>
            <w:r>
              <w:rPr>
                <w:sz w:val="15"/>
              </w:rPr>
              <w:t>Lembrete ao seller</w:t>
            </w:r>
          </w:p>
        </w:tc>
        <w:tc>
          <w:tcPr>
            <w:tcW w:type="dxa" w:w="798"/>
          </w:tcPr>
          <w:p>
            <w:pPr>
              <w:spacing w:after="0" w:line="240" w:lineRule="auto"/>
            </w:pPr>
            <w:r/>
            <w:r>
              <w:rPr>
                <w:b/>
                <w:sz w:val="15"/>
              </w:rPr>
              <w:t>Executa</w:t>
            </w:r>
          </w:p>
        </w:tc>
        <w:tc>
          <w:tcPr>
            <w:tcW w:type="dxa" w:w="1242"/>
          </w:tcPr>
          <w:p>
            <w:pPr>
              <w:spacing w:after="0" w:line="240" w:lineRule="auto"/>
            </w:pPr>
            <w:r/>
            <w:r>
              <w:rPr>
                <w:sz w:val="15"/>
              </w:rPr>
              <w:t>Informado</w:t>
            </w:r>
          </w:p>
        </w:tc>
        <w:tc>
          <w:tcPr>
            <w:tcW w:type="dxa" w:w="1951"/>
          </w:tcPr>
          <w:p>
            <w:pPr>
              <w:spacing w:after="0" w:line="240" w:lineRule="auto"/>
            </w:pPr>
            <w:r/>
            <w:r>
              <w:rPr>
                <w:sz w:val="15"/>
              </w:rPr>
              <w:t>n/a</w:t>
            </w:r>
          </w:p>
        </w:tc>
        <w:tc>
          <w:tcPr>
            <w:tcW w:type="dxa" w:w="2838"/>
          </w:tcPr>
          <w:p>
            <w:pPr>
              <w:spacing w:after="0" w:line="240" w:lineRule="auto"/>
            </w:pPr>
            <w:r/>
            <w:r>
              <w:rPr>
                <w:sz w:val="15"/>
              </w:rPr>
              <w:t>Template aprovado</w:t>
            </w:r>
          </w:p>
        </w:tc>
      </w:tr>
      <w:tr>
        <w:trPr>
          <w:cantSplit w:val="true"/>
        </w:trPr>
        <w:tc>
          <w:tcPr>
            <w:tcW w:type="dxa" w:w="3370"/>
          </w:tcPr>
          <w:p>
            <w:pPr>
              <w:spacing w:after="0" w:line="240" w:lineRule="auto"/>
            </w:pPr>
            <w:r/>
            <w:r>
              <w:rPr>
                <w:sz w:val="15"/>
              </w:rPr>
              <w:t>Aviso ao cliente com nova data</w:t>
            </w:r>
          </w:p>
        </w:tc>
        <w:tc>
          <w:tcPr>
            <w:tcW w:type="dxa" w:w="798"/>
          </w:tcPr>
          <w:p>
            <w:pPr>
              <w:spacing w:after="0" w:line="240" w:lineRule="auto"/>
            </w:pPr>
            <w:r/>
            <w:r>
              <w:rPr>
                <w:b/>
                <w:sz w:val="15"/>
              </w:rPr>
              <w:t>Executa</w:t>
            </w:r>
          </w:p>
        </w:tc>
        <w:tc>
          <w:tcPr>
            <w:tcW w:type="dxa" w:w="1242"/>
          </w:tcPr>
          <w:p>
            <w:pPr>
              <w:spacing w:after="0" w:line="240" w:lineRule="auto"/>
            </w:pPr>
            <w:r/>
            <w:r>
              <w:rPr>
                <w:sz w:val="15"/>
              </w:rPr>
              <w:t>Informado</w:t>
            </w:r>
          </w:p>
        </w:tc>
        <w:tc>
          <w:tcPr>
            <w:tcW w:type="dxa" w:w="1951"/>
          </w:tcPr>
          <w:p>
            <w:pPr>
              <w:spacing w:after="0" w:line="240" w:lineRule="auto"/>
            </w:pPr>
            <w:r/>
            <w:r>
              <w:rPr>
                <w:sz w:val="15"/>
              </w:rPr>
              <w:t>Aprova o template</w:t>
            </w:r>
          </w:p>
        </w:tc>
        <w:tc>
          <w:tcPr>
            <w:tcW w:type="dxa" w:w="2838"/>
          </w:tcPr>
          <w:p>
            <w:pPr>
              <w:spacing w:after="0" w:line="240" w:lineRule="auto"/>
            </w:pPr>
            <w:r/>
            <w:r>
              <w:rPr>
                <w:sz w:val="15"/>
              </w:rPr>
              <w:t>Só com projeção de estouro</w:t>
            </w:r>
          </w:p>
        </w:tc>
      </w:tr>
      <w:tr>
        <w:trPr>
          <w:cantSplit w:val="true"/>
        </w:trPr>
        <w:tc>
          <w:tcPr>
            <w:tcW w:type="dxa" w:w="3370"/>
          </w:tcPr>
          <w:p>
            <w:pPr>
              <w:spacing w:after="0" w:line="240" w:lineRule="auto"/>
            </w:pPr>
            <w:r/>
            <w:r>
              <w:rPr>
                <w:sz w:val="15"/>
              </w:rPr>
              <w:t>Resposta padrão a avaliação</w:t>
            </w:r>
          </w:p>
        </w:tc>
        <w:tc>
          <w:tcPr>
            <w:tcW w:type="dxa" w:w="798"/>
          </w:tcPr>
          <w:p>
            <w:pPr>
              <w:spacing w:after="0" w:line="240" w:lineRule="auto"/>
            </w:pPr>
            <w:r/>
            <w:r>
              <w:rPr>
                <w:b/>
                <w:sz w:val="15"/>
              </w:rPr>
              <w:t>Executa</w:t>
            </w:r>
          </w:p>
        </w:tc>
        <w:tc>
          <w:tcPr>
            <w:tcW w:type="dxa" w:w="1242"/>
          </w:tcPr>
          <w:p>
            <w:pPr>
              <w:spacing w:after="0" w:line="240" w:lineRule="auto"/>
            </w:pPr>
            <w:r/>
            <w:r>
              <w:rPr>
                <w:sz w:val="15"/>
              </w:rPr>
              <w:t>Revisa amostra</w:t>
            </w:r>
          </w:p>
        </w:tc>
        <w:tc>
          <w:tcPr>
            <w:tcW w:type="dxa" w:w="1951"/>
          </w:tcPr>
          <w:p>
            <w:pPr>
              <w:spacing w:after="0" w:line="240" w:lineRule="auto"/>
            </w:pPr>
            <w:r/>
            <w:r>
              <w:rPr>
                <w:sz w:val="15"/>
              </w:rPr>
              <w:t>Aprova os templates</w:t>
            </w:r>
          </w:p>
        </w:tc>
        <w:tc>
          <w:tcPr>
            <w:tcW w:type="dxa" w:w="2838"/>
          </w:tcPr>
          <w:p>
            <w:pPr>
              <w:spacing w:after="0" w:line="240" w:lineRule="auto"/>
            </w:pPr>
            <w:r/>
            <w:r>
              <w:rPr>
                <w:sz w:val="15"/>
              </w:rPr>
              <w:t>Casos críticos nunca automáticos</w:t>
            </w:r>
          </w:p>
        </w:tc>
      </w:tr>
      <w:tr>
        <w:trPr>
          <w:cantSplit w:val="true"/>
        </w:trPr>
        <w:tc>
          <w:tcPr>
            <w:tcW w:type="dxa" w:w="3370"/>
          </w:tcPr>
          <w:p>
            <w:pPr>
              <w:spacing w:after="0" w:line="240" w:lineRule="auto"/>
            </w:pPr>
            <w:r/>
            <w:r>
              <w:rPr>
                <w:sz w:val="15"/>
              </w:rPr>
              <w:t>Resposta a caso crítico e compensação</w:t>
            </w:r>
          </w:p>
        </w:tc>
        <w:tc>
          <w:tcPr>
            <w:tcW w:type="dxa" w:w="798"/>
          </w:tcPr>
          <w:p>
            <w:pPr>
              <w:spacing w:after="0" w:line="240" w:lineRule="auto"/>
            </w:pPr>
            <w:r/>
            <w:r>
              <w:rPr>
                <w:sz w:val="15"/>
              </w:rPr>
              <w:t>Rascunha</w:t>
            </w:r>
          </w:p>
        </w:tc>
        <w:tc>
          <w:tcPr>
            <w:tcW w:type="dxa" w:w="1242"/>
          </w:tcPr>
          <w:p>
            <w:pPr>
              <w:spacing w:after="0" w:line="240" w:lineRule="auto"/>
            </w:pPr>
            <w:r/>
            <w:r>
              <w:rPr>
                <w:b/>
                <w:sz w:val="15"/>
              </w:rPr>
              <w:t>Decide</w:t>
            </w:r>
          </w:p>
        </w:tc>
        <w:tc>
          <w:tcPr>
            <w:tcW w:type="dxa" w:w="1951"/>
          </w:tcPr>
          <w:p>
            <w:pPr>
              <w:spacing w:after="0" w:line="240" w:lineRule="auto"/>
            </w:pPr>
            <w:r/>
            <w:r>
              <w:rPr>
                <w:sz w:val="15"/>
              </w:rPr>
              <w:t>Alçada acima do limite</w:t>
            </w:r>
          </w:p>
        </w:tc>
        <w:tc>
          <w:tcPr>
            <w:tcW w:type="dxa" w:w="2838"/>
          </w:tcPr>
          <w:p>
            <w:pPr>
              <w:spacing w:after="0" w:line="240" w:lineRule="auto"/>
            </w:pPr>
            <w:r/>
            <w:r>
              <w:rPr>
                <w:sz w:val="15"/>
              </w:rPr>
              <w:t>Trilha de auditoria</w:t>
            </w:r>
          </w:p>
        </w:tc>
      </w:tr>
      <w:tr>
        <w:trPr>
          <w:cantSplit w:val="true"/>
        </w:trPr>
        <w:tc>
          <w:tcPr>
            <w:tcW w:type="dxa" w:w="3370"/>
          </w:tcPr>
          <w:p>
            <w:pPr>
              <w:spacing w:after="0" w:line="240" w:lineRule="auto"/>
            </w:pPr>
            <w:r/>
            <w:r>
              <w:rPr>
                <w:sz w:val="15"/>
              </w:rPr>
              <w:t>Tratativa com a transportadora</w:t>
            </w:r>
          </w:p>
        </w:tc>
        <w:tc>
          <w:tcPr>
            <w:tcW w:type="dxa" w:w="798"/>
          </w:tcPr>
          <w:p>
            <w:pPr>
              <w:spacing w:after="0" w:line="240" w:lineRule="auto"/>
            </w:pPr>
            <w:r/>
            <w:r>
              <w:rPr>
                <w:sz w:val="15"/>
              </w:rPr>
              <w:t>Recomenda</w:t>
            </w:r>
          </w:p>
        </w:tc>
        <w:tc>
          <w:tcPr>
            <w:tcW w:type="dxa" w:w="1242"/>
          </w:tcPr>
          <w:p>
            <w:pPr>
              <w:spacing w:after="0" w:line="240" w:lineRule="auto"/>
            </w:pPr>
            <w:r/>
            <w:r>
              <w:rPr>
                <w:b/>
                <w:sz w:val="15"/>
              </w:rPr>
              <w:t>Decide</w:t>
            </w:r>
          </w:p>
        </w:tc>
        <w:tc>
          <w:tcPr>
            <w:tcW w:type="dxa" w:w="1951"/>
          </w:tcPr>
          <w:p>
            <w:pPr>
              <w:spacing w:after="0" w:line="240" w:lineRule="auto"/>
            </w:pPr>
            <w:r/>
            <w:r>
              <w:rPr>
                <w:sz w:val="15"/>
              </w:rPr>
              <w:t>Informado</w:t>
            </w:r>
          </w:p>
        </w:tc>
        <w:tc>
          <w:tcPr>
            <w:tcW w:type="dxa" w:w="2838"/>
          </w:tcPr>
          <w:p>
            <w:pPr>
              <w:spacing w:after="0" w:line="240" w:lineRule="auto"/>
            </w:pPr>
            <w:r/>
            <w:r>
              <w:rPr>
                <w:sz w:val="15"/>
              </w:rPr>
              <w:t>n/a</w:t>
            </w:r>
          </w:p>
        </w:tc>
      </w:tr>
      <w:tr>
        <w:trPr>
          <w:cantSplit w:val="true"/>
        </w:trPr>
        <w:tc>
          <w:tcPr>
            <w:tcW w:type="dxa" w:w="3370"/>
          </w:tcPr>
          <w:p>
            <w:pPr>
              <w:spacing w:after="0" w:line="240" w:lineRule="auto"/>
            </w:pPr>
            <w:r/>
            <w:r>
              <w:rPr>
                <w:sz w:val="15"/>
              </w:rPr>
              <w:t>Incentivo ≤ 10%</w:t>
            </w:r>
          </w:p>
        </w:tc>
        <w:tc>
          <w:tcPr>
            <w:tcW w:type="dxa" w:w="798"/>
          </w:tcPr>
          <w:p>
            <w:pPr>
              <w:spacing w:after="0" w:line="240" w:lineRule="auto"/>
            </w:pPr>
            <w:r/>
            <w:r>
              <w:rPr>
                <w:b/>
                <w:sz w:val="15"/>
              </w:rPr>
              <w:t>Executa</w:t>
            </w:r>
          </w:p>
        </w:tc>
        <w:tc>
          <w:tcPr>
            <w:tcW w:type="dxa" w:w="1242"/>
          </w:tcPr>
          <w:p>
            <w:pPr>
              <w:spacing w:after="0" w:line="240" w:lineRule="auto"/>
            </w:pPr>
            <w:r/>
            <w:r>
              <w:rPr>
                <w:sz w:val="15"/>
              </w:rPr>
              <w:t>Informado</w:t>
            </w:r>
          </w:p>
        </w:tc>
        <w:tc>
          <w:tcPr>
            <w:tcW w:type="dxa" w:w="1951"/>
          </w:tcPr>
          <w:p>
            <w:pPr>
              <w:spacing w:after="0" w:line="240" w:lineRule="auto"/>
            </w:pPr>
            <w:r/>
            <w:r>
              <w:rPr>
                <w:sz w:val="15"/>
              </w:rPr>
              <w:t>Define o teto</w:t>
            </w:r>
          </w:p>
        </w:tc>
        <w:tc>
          <w:tcPr>
            <w:tcW w:type="dxa" w:w="2838"/>
          </w:tcPr>
          <w:p>
            <w:pPr>
              <w:spacing w:after="0" w:line="240" w:lineRule="auto"/>
            </w:pPr>
            <w:r/>
            <w:r>
              <w:rPr>
                <w:sz w:val="15"/>
              </w:rPr>
              <w:t>n/a</w:t>
            </w:r>
          </w:p>
        </w:tc>
      </w:tr>
      <w:tr>
        <w:trPr>
          <w:cantSplit w:val="true"/>
        </w:trPr>
        <w:tc>
          <w:tcPr>
            <w:tcW w:type="dxa" w:w="3370"/>
          </w:tcPr>
          <w:p>
            <w:pPr>
              <w:spacing w:after="0" w:line="240" w:lineRule="auto"/>
            </w:pPr>
            <w:r/>
            <w:r>
              <w:rPr>
                <w:sz w:val="15"/>
              </w:rPr>
              <w:t>Incentivo &gt; 10%</w:t>
            </w:r>
          </w:p>
        </w:tc>
        <w:tc>
          <w:tcPr>
            <w:tcW w:type="dxa" w:w="798"/>
          </w:tcPr>
          <w:p>
            <w:pPr>
              <w:spacing w:after="0" w:line="240" w:lineRule="auto"/>
            </w:pPr>
            <w:r/>
            <w:r>
              <w:rPr>
                <w:sz w:val="15"/>
              </w:rPr>
              <w:t>Recomenda</w:t>
            </w:r>
          </w:p>
        </w:tc>
        <w:tc>
          <w:tcPr>
            <w:tcW w:type="dxa" w:w="1242"/>
          </w:tcPr>
          <w:p>
            <w:pPr>
              <w:spacing w:after="0" w:line="240" w:lineRule="auto"/>
            </w:pPr>
            <w:r/>
            <w:r>
              <w:rPr>
                <w:sz w:val="15"/>
              </w:rPr>
              <w:t>n/a</w:t>
            </w:r>
          </w:p>
        </w:tc>
        <w:tc>
          <w:tcPr>
            <w:tcW w:type="dxa" w:w="1951"/>
          </w:tcPr>
          <w:p>
            <w:pPr>
              <w:spacing w:after="0" w:line="240" w:lineRule="auto"/>
            </w:pPr>
            <w:r/>
            <w:r>
              <w:rPr>
                <w:b/>
                <w:sz w:val="15"/>
              </w:rPr>
              <w:t>Decide</w:t>
            </w:r>
          </w:p>
        </w:tc>
        <w:tc>
          <w:tcPr>
            <w:tcW w:type="dxa" w:w="2838"/>
          </w:tcPr>
          <w:p>
            <w:pPr>
              <w:spacing w:after="0" w:line="240" w:lineRule="auto"/>
            </w:pPr>
            <w:r/>
            <w:r>
              <w:rPr>
                <w:sz w:val="15"/>
              </w:rPr>
              <w:t>n/a</w:t>
            </w:r>
          </w:p>
        </w:tc>
      </w:tr>
    </w:tbl>
    <w:p>
      <w:pPr>
        <w:spacing w:after="40"/>
      </w:pPr>
    </w:p>
    <w:p>
      <w:pPr>
        <w:pStyle w:val="Heading2"/>
      </w:pPr>
      <w:r>
        <w:t>10.2 Riscos e controles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C9CED6"/>
          <w:left w:val="single" w:sz="4" w:color="C9CED6"/>
          <w:bottom w:val="single" w:sz="4" w:color="C9CED6"/>
          <w:right w:val="single" w:sz="4" w:color="C9CED6"/>
          <w:insideH w:val="single" w:sz="4" w:color="C9CED6"/>
          <w:insideV w:val="single" w:sz="4" w:color="C9CED6"/>
        </w:tblBorders>
        <w:tblCellMar>
          <w:top w:w="68" w:type="dxa"/>
          <w:bottom w:w="68" w:type="dxa"/>
          <w:left w:w="68" w:type="dxa"/>
          <w:right w:w="68" w:type="dxa"/>
        </w:tblCellMar>
      </w:tblPr>
      <w:tblGrid>
        <w:gridCol w:w="3400"/>
        <w:gridCol w:w="3400"/>
        <w:gridCol w:w="3400"/>
      </w:tblGrid>
      <w:tr>
        <w:trPr>
          <w:tblHeader w:val="true"/>
          <w:cantSplit w:val="true"/>
        </w:trPr>
        <w:tc>
          <w:tcPr>
            <w:tcW w:type="dxa" w:w="2665"/>
            <w:shd w:val="clear" w:color="auto" w:fill="E8EEF7"/>
          </w:tcPr>
          <w:p>
            <w:pPr>
              <w:spacing w:after="0" w:line="240" w:lineRule="auto"/>
            </w:pPr>
            <w:r/>
            <w:r>
              <w:rPr>
                <w:b/>
                <w:color w:val="1F3A5F"/>
                <w:sz w:val="17"/>
              </w:rPr>
              <w:t>Risco</w:t>
            </w:r>
          </w:p>
        </w:tc>
        <w:tc>
          <w:tcPr>
            <w:tcW w:type="dxa" w:w="2021"/>
            <w:shd w:val="clear" w:color="auto" w:fill="E8EEF7"/>
          </w:tcPr>
          <w:p>
            <w:pPr>
              <w:spacing w:after="0" w:line="240" w:lineRule="auto"/>
            </w:pPr>
            <w:r/>
            <w:r>
              <w:rPr>
                <w:b/>
                <w:color w:val="1F3A5F"/>
                <w:sz w:val="17"/>
              </w:rPr>
              <w:t>Onde aparece</w:t>
            </w:r>
          </w:p>
        </w:tc>
        <w:tc>
          <w:tcPr>
            <w:tcW w:type="dxa" w:w="5513"/>
            <w:shd w:val="clear" w:color="auto" w:fill="E8EEF7"/>
          </w:tcPr>
          <w:p>
            <w:pPr>
              <w:spacing w:after="0" w:line="240" w:lineRule="auto"/>
            </w:pPr>
            <w:r/>
            <w:r>
              <w:rPr>
                <w:b/>
                <w:color w:val="1F3A5F"/>
                <w:sz w:val="17"/>
              </w:rPr>
              <w:t>Controle</w:t>
            </w:r>
          </w:p>
        </w:tc>
      </w:tr>
      <w:tr>
        <w:trPr>
          <w:cantSplit w:val="true"/>
        </w:trPr>
        <w:tc>
          <w:tcPr>
            <w:tcW w:type="dxa" w:w="2665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Alarme falso ao cliente</w:t>
            </w:r>
          </w:p>
        </w:tc>
        <w:tc>
          <w:tcPr>
            <w:tcW w:type="dxa" w:w="2021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LogiPredict</w:t>
            </w:r>
          </w:p>
        </w:tc>
        <w:tc>
          <w:tcPr>
            <w:tcW w:type="dxa" w:w="5513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Aviso só quando a projeção mediana estoura o prazo; meta de falso positivo ≤ 20%</w:t>
            </w:r>
          </w:p>
        </w:tc>
      </w:tr>
      <w:tr>
        <w:trPr>
          <w:cantSplit w:val="true"/>
        </w:trPr>
        <w:tc>
          <w:tcPr>
            <w:tcW w:type="dxa" w:w="2665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Classificação errada</w:t>
            </w:r>
          </w:p>
        </w:tc>
        <w:tc>
          <w:tcPr>
            <w:tcW w:type="dxa" w:w="2021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SentimentDesk</w:t>
            </w:r>
          </w:p>
        </w:tc>
        <w:tc>
          <w:tcPr>
            <w:tcW w:type="dxa" w:w="5513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Confiança mínima de 0,8; auditoria semanal; fila humana</w:t>
            </w:r>
          </w:p>
        </w:tc>
      </w:tr>
      <w:tr>
        <w:trPr>
          <w:cantSplit w:val="true"/>
        </w:trPr>
        <w:tc>
          <w:tcPr>
            <w:tcW w:type="dxa" w:w="2665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Promessa indevida</w:t>
            </w:r>
          </w:p>
        </w:tc>
        <w:tc>
          <w:tcPr>
            <w:tcW w:type="dxa" w:w="2021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SentimentDesk, WinBack</w:t>
            </w:r>
          </w:p>
        </w:tc>
        <w:tc>
          <w:tcPr>
            <w:tcW w:type="dxa" w:w="5513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Seção "não faça" nos prompts; templates aprovados por CX e Jurídico</w:t>
            </w:r>
          </w:p>
        </w:tc>
      </w:tr>
      <w:tr>
        <w:trPr>
          <w:cantSplit w:val="true"/>
        </w:trPr>
        <w:tc>
          <w:tcPr>
            <w:tcW w:type="dxa" w:w="2665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Excesso de contato / LGPD</w:t>
            </w:r>
          </w:p>
        </w:tc>
        <w:tc>
          <w:tcPr>
            <w:tcW w:type="dxa" w:w="2021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WinBack</w:t>
            </w:r>
          </w:p>
        </w:tc>
        <w:tc>
          <w:tcPr>
            <w:tcW w:type="dxa" w:w="5513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Opt-in, intervalo de 15 dias, máximo de 2 contatos, opt-out monitorado</w:t>
            </w:r>
          </w:p>
        </w:tc>
      </w:tr>
      <w:tr>
        <w:trPr>
          <w:cantSplit w:val="true"/>
        </w:trPr>
        <w:tc>
          <w:tcPr>
            <w:tcW w:type="dxa" w:w="2665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Viés histórico</w:t>
            </w:r>
          </w:p>
        </w:tc>
        <w:tc>
          <w:tcPr>
            <w:tcW w:type="dxa" w:w="2021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Todos</w:t>
            </w:r>
          </w:p>
        </w:tc>
        <w:tc>
          <w:tcPr>
            <w:tcW w:type="dxa" w:w="5513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Evidências recalculadas com dados atuais antes do piloto</w:t>
            </w:r>
          </w:p>
        </w:tc>
      </w:tr>
      <w:tr>
        <w:trPr>
          <w:cantSplit w:val="true"/>
        </w:trPr>
        <w:tc>
          <w:tcPr>
            <w:tcW w:type="dxa" w:w="2665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Dependência de dados externos</w:t>
            </w:r>
          </w:p>
        </w:tc>
        <w:tc>
          <w:tcPr>
            <w:tcW w:type="dxa" w:w="2021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LogiPredict</w:t>
            </w:r>
          </w:p>
        </w:tc>
        <w:tc>
          <w:tcPr>
            <w:tcW w:type="dxa" w:w="5513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Funciona só com o histórico; rastreio é melhoria, não pré-requisito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11. Roadmap e Próximos Passos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C9CED6"/>
          <w:left w:val="single" w:sz="4" w:color="C9CED6"/>
          <w:bottom w:val="single" w:sz="4" w:color="C9CED6"/>
          <w:right w:val="single" w:sz="4" w:color="C9CED6"/>
          <w:insideH w:val="single" w:sz="4" w:color="C9CED6"/>
          <w:insideV w:val="single" w:sz="4" w:color="C9CED6"/>
        </w:tblBorders>
        <w:tblCellMar>
          <w:top w:w="68" w:type="dxa"/>
          <w:bottom w:w="68" w:type="dxa"/>
          <w:left w:w="68" w:type="dxa"/>
          <w:right w:w="68" w:type="dxa"/>
        </w:tblCellMar>
      </w:tblPr>
      <w:tblGrid>
        <w:gridCol w:w="2550"/>
        <w:gridCol w:w="2550"/>
        <w:gridCol w:w="2550"/>
        <w:gridCol w:w="2550"/>
      </w:tblGrid>
      <w:tr>
        <w:trPr>
          <w:tblHeader w:val="true"/>
          <w:cantSplit w:val="true"/>
        </w:trPr>
        <w:tc>
          <w:tcPr>
            <w:tcW w:type="dxa" w:w="1020"/>
            <w:shd w:val="clear" w:color="auto" w:fill="E8EEF7"/>
          </w:tcPr>
          <w:p>
            <w:pPr>
              <w:spacing w:after="0" w:line="240" w:lineRule="auto"/>
            </w:pPr>
            <w:r/>
            <w:r>
              <w:rPr>
                <w:b/>
                <w:color w:val="1F3A5F"/>
                <w:sz w:val="17"/>
              </w:rPr>
              <w:t>Onda</w:t>
            </w:r>
          </w:p>
        </w:tc>
        <w:tc>
          <w:tcPr>
            <w:tcW w:type="dxa" w:w="3944"/>
            <w:shd w:val="clear" w:color="auto" w:fill="E8EEF7"/>
          </w:tcPr>
          <w:p>
            <w:pPr>
              <w:spacing w:after="0" w:line="240" w:lineRule="auto"/>
            </w:pPr>
            <w:r/>
            <w:r>
              <w:rPr>
                <w:b/>
                <w:color w:val="1F3A5F"/>
                <w:sz w:val="17"/>
              </w:rPr>
              <w:t>Agentes</w:t>
            </w:r>
          </w:p>
        </w:tc>
        <w:tc>
          <w:tcPr>
            <w:tcW w:type="dxa" w:w="1156"/>
            <w:shd w:val="clear" w:color="auto" w:fill="E8EEF7"/>
          </w:tcPr>
          <w:p>
            <w:pPr>
              <w:spacing w:after="0" w:line="240" w:lineRule="auto"/>
            </w:pPr>
            <w:r/>
            <w:r>
              <w:rPr>
                <w:b/>
                <w:color w:val="1F3A5F"/>
                <w:sz w:val="17"/>
              </w:rPr>
              <w:t>Período</w:t>
            </w:r>
          </w:p>
        </w:tc>
        <w:tc>
          <w:tcPr>
            <w:tcW w:type="dxa" w:w="4080"/>
            <w:shd w:val="clear" w:color="auto" w:fill="E8EEF7"/>
          </w:tcPr>
          <w:p>
            <w:pPr>
              <w:spacing w:after="0" w:line="240" w:lineRule="auto"/>
            </w:pPr>
            <w:r/>
            <w:r>
              <w:rPr>
                <w:b/>
                <w:color w:val="1F3A5F"/>
                <w:sz w:val="17"/>
              </w:rPr>
              <w:t>Critério para avançar</w:t>
            </w:r>
          </w:p>
        </w:tc>
      </w:tr>
      <w:tr>
        <w:trPr>
          <w:cantSplit w:val="true"/>
        </w:trPr>
        <w:tc>
          <w:tcPr>
            <w:tcW w:type="dxa" w:w="1020"/>
          </w:tcPr>
          <w:p>
            <w:pPr>
              <w:spacing w:after="0" w:line="240" w:lineRule="auto"/>
            </w:pPr>
            <w:r/>
            <w:r>
              <w:rPr>
                <w:b/>
                <w:sz w:val="17"/>
              </w:rPr>
              <w:t>Wave 1 · piloto</w:t>
            </w:r>
          </w:p>
        </w:tc>
        <w:tc>
          <w:tcPr>
            <w:tcW w:type="dxa" w:w="3944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LogiPredict + SentimentDesk</w:t>
            </w:r>
          </w:p>
        </w:tc>
        <w:tc>
          <w:tcPr>
            <w:tcW w:type="dxa" w:w="1156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Meses 1–3</w:t>
            </w:r>
          </w:p>
        </w:tc>
        <w:tc>
          <w:tcPr>
            <w:tcW w:type="dxa" w:w="4080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Falso positivo ≤ 20%; classificação ≥ 85%; 90% de respostas em &lt; 24h</w:t>
            </w:r>
          </w:p>
        </w:tc>
      </w:tr>
      <w:tr>
        <w:trPr>
          <w:cantSplit w:val="true"/>
        </w:trPr>
        <w:tc>
          <w:tcPr>
            <w:tcW w:type="dxa" w:w="1020"/>
          </w:tcPr>
          <w:p>
            <w:pPr>
              <w:spacing w:after="0" w:line="240" w:lineRule="auto"/>
            </w:pPr>
            <w:r/>
            <w:r>
              <w:rPr>
                <w:b/>
                <w:sz w:val="17"/>
              </w:rPr>
              <w:t>Wave 2</w:t>
            </w:r>
          </w:p>
        </w:tc>
        <w:tc>
          <w:tcPr>
            <w:tcW w:type="dxa" w:w="3944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WinBack</w:t>
            </w:r>
          </w:p>
        </w:tc>
        <w:tc>
          <w:tcPr>
            <w:tcW w:type="dxa" w:w="1156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Meses 4–6</w:t>
            </w:r>
          </w:p>
        </w:tc>
        <w:tc>
          <w:tcPr>
            <w:tcW w:type="dxa" w:w="4080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Opt-in e grupo controle prontos; sinal de pausa do SentimentDesk em produção</w:t>
            </w:r>
          </w:p>
        </w:tc>
      </w:tr>
      <w:tr>
        <w:trPr>
          <w:cantSplit w:val="true"/>
        </w:trPr>
        <w:tc>
          <w:tcPr>
            <w:tcW w:type="dxa" w:w="1020"/>
          </w:tcPr>
          <w:p>
            <w:pPr>
              <w:spacing w:after="0" w:line="240" w:lineRule="auto"/>
            </w:pPr>
            <w:r/>
            <w:r>
              <w:rPr>
                <w:b/>
                <w:sz w:val="17"/>
              </w:rPr>
              <w:t>Wave 3</w:t>
            </w:r>
          </w:p>
        </w:tc>
        <w:tc>
          <w:tcPr>
            <w:tcW w:type="dxa" w:w="3944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SellerCare (coaching com dados dos agentes) e SmartFreight</w:t>
            </w:r>
          </w:p>
        </w:tc>
        <w:tc>
          <w:tcPr>
            <w:tcW w:type="dxa" w:w="1156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Meses 7–9</w:t>
            </w:r>
          </w:p>
        </w:tc>
        <w:tc>
          <w:tcPr>
            <w:tcW w:type="dxa" w:w="4080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Uplift comprovado nas Waves 1 e 2</w:t>
            </w:r>
          </w:p>
        </w:tc>
      </w:tr>
      <w:tr>
        <w:trPr>
          <w:cantSplit w:val="true"/>
        </w:trPr>
        <w:tc>
          <w:tcPr>
            <w:tcW w:type="dxa" w:w="1020"/>
          </w:tcPr>
          <w:p>
            <w:pPr>
              <w:spacing w:after="0" w:line="240" w:lineRule="auto"/>
            </w:pPr>
            <w:r/>
            <w:r>
              <w:rPr>
                <w:b/>
                <w:sz w:val="17"/>
              </w:rPr>
              <w:t>Orquestração</w:t>
            </w:r>
          </w:p>
        </w:tc>
        <w:tc>
          <w:tcPr>
            <w:tcW w:type="dxa" w:w="3944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Maestro</w:t>
            </w:r>
          </w:p>
        </w:tc>
        <w:tc>
          <w:tcPr>
            <w:tcW w:type="dxa" w:w="1156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Fase 4 do projeto</w:t>
            </w:r>
          </w:p>
        </w:tc>
        <w:tc>
          <w:tcPr>
            <w:tcW w:type="dxa" w:w="4080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Três especialistas estáveis em produção</w:t>
            </w:r>
          </w:p>
        </w:tc>
      </w:tr>
    </w:tbl>
    <w:p>
      <w:pPr>
        <w:spacing w:after="40"/>
      </w:pPr>
    </w:p>
    <w:p>
      <w:r>
        <w:rPr>
          <w:b/>
        </w:rPr>
        <w:t>Próximos passos (Fase 3, protótipo):</w:t>
      </w:r>
    </w:p>
    <w:p>
      <w:pPr>
        <w:pStyle w:val="ListNumber"/>
        <w:spacing w:after="40"/>
      </w:pPr>
      <w:r>
        <w:t xml:space="preserve">Prototipar o SentimentDesk e o LogiPredict em ferramenta </w:t>
      </w:r>
      <w:r>
        <w:rPr>
          <w:b/>
        </w:rPr>
        <w:t>low-code</w:t>
      </w:r>
      <w:r>
        <w:t>, com os casos reais deste relatório como base de teste.</w:t>
      </w:r>
    </w:p>
    <w:p>
      <w:pPr>
        <w:pStyle w:val="ListNumber"/>
        <w:spacing w:after="40"/>
      </w:pPr>
      <w:r>
        <w:t>Medir a acurácia do SentimentDesk contra 30 a 50 avaliações rotuladas pelo grupo.</w:t>
      </w:r>
    </w:p>
    <w:p>
      <w:pPr>
        <w:pStyle w:val="ListNumber"/>
        <w:spacing w:after="40"/>
      </w:pPr>
      <w:r>
        <w:t>Calibrar os pesos do score do LogiPredict com o histórico completo (falso positivo × falso negativo).</w:t>
      </w:r>
    </w:p>
    <w:p>
      <w:pPr>
        <w:pStyle w:val="Heading1"/>
      </w:pPr>
      <w:r>
        <w:t>12. Recomendação Executiva</w:t>
      </w:r>
    </w:p>
    <w:p>
      <w:r>
        <w:t xml:space="preserve">A Fase 1 mostrou que a Olist tem um problema conectado: atraso gera avaliação negativa, e avaliação negativa coincide com menor recompra. A Fase 2 transforma esse diagnóstico em operação. São </w:t>
      </w:r>
      <w:r>
        <w:rPr>
          <w:b/>
        </w:rPr>
        <w:t>três agentes especializados</w:t>
      </w:r>
      <w:r>
        <w:t xml:space="preserve">, cada um com </w:t>
      </w:r>
      <w:r>
        <w:rPr>
          <w:b/>
        </w:rPr>
        <w:t>um papel</w:t>
      </w:r>
      <w:r>
        <w:t xml:space="preserve">, </w:t>
      </w:r>
      <w:r>
        <w:rPr>
          <w:b/>
        </w:rPr>
        <w:t>gatilhos claros</w:t>
      </w:r>
      <w:r>
        <w:t xml:space="preserve">, </w:t>
      </w:r>
      <w:r>
        <w:rPr>
          <w:b/>
        </w:rPr>
        <w:t>lista fechada de ações</w:t>
      </w:r>
      <w:r>
        <w:t xml:space="preserve"> e </w:t>
      </w:r>
      <w:r>
        <w:rPr>
          <w:b/>
        </w:rPr>
        <w:t>pessoas decidindo o que tem impacto financeiro ou reputacional</w:t>
      </w:r>
      <w:r>
        <w:t>.</w:t>
      </w:r>
    </w:p>
    <w:p>
      <w:r>
        <w:rPr>
          <w:b/>
        </w:rPr>
        <w:t>Pedimos a aprovação do piloto da Wave 1 (LogiPredict + SentimentDesk) por 90 dias</w:t>
      </w:r>
      <w:r>
        <w:t>, com rotas do Nordeste como foco logístico, grupo controle e as metas da Seção 9.1 como critério de continuidade. Os dois agentes usam dados que a Olist já possui, não executam ações irreversíveis e produzem resultado mensurável dentro do próprio piloto.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F2C6AE"/>
          <w:left w:val="single" w:sz="4" w:color="F2C6AE"/>
          <w:bottom w:val="single" w:sz="4" w:color="F2C6AE"/>
          <w:right w:val="single" w:sz="4" w:color="F2C6AE"/>
          <w:insideH w:val="single" w:sz="4" w:color="F2C6AE"/>
          <w:insideV w:val="single" w:sz="4" w:color="F2C6AE"/>
        </w:tblBorders>
        <w:tblCellMar>
          <w:top w:w="113" w:type="dxa"/>
          <w:bottom w:w="113" w:type="dxa"/>
          <w:left w:w="113" w:type="dxa"/>
          <w:right w:w="113" w:type="dxa"/>
        </w:tblCellMar>
      </w:tblPr>
      <w:tblGrid>
        <w:gridCol w:w="10200"/>
      </w:tblGrid>
      <w:tr>
        <w:tc>
          <w:tcPr>
            <w:tcW w:type="dxa" w:w="10199"/>
            <w:shd w:val="clear" w:color="auto" w:fill="FDF3EC"/>
          </w:tcPr>
          <w:p>
            <w:pPr>
              <w:spacing w:after="60" w:line="240" w:lineRule="auto"/>
            </w:pPr>
            <w:r/>
            <w:r>
              <w:rPr>
                <w:b/>
                <w:sz w:val="19"/>
              </w:rPr>
              <w:t>Mensagem para a diretoria.</w:t>
            </w:r>
            <w:r>
              <w:rPr>
                <w:sz w:val="19"/>
              </w:rPr>
              <w:t xml:space="preserve"> Não propomos mais agentes; propomos agentes melhores. Começar pelo prazo de entrega é atacar a origem do problema, e cada passo seguinte só avança com resultado medido.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Apêndice A: Rastreabilidade dos Requisitos da Fase 2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C9CED6"/>
          <w:left w:val="single" w:sz="4" w:color="C9CED6"/>
          <w:bottom w:val="single" w:sz="4" w:color="C9CED6"/>
          <w:right w:val="single" w:sz="4" w:color="C9CED6"/>
          <w:insideH w:val="single" w:sz="4" w:color="C9CED6"/>
          <w:insideV w:val="single" w:sz="4" w:color="C9CED6"/>
        </w:tblBorders>
        <w:tblCellMar>
          <w:top w:w="68" w:type="dxa"/>
          <w:bottom w:w="68" w:type="dxa"/>
          <w:left w:w="68" w:type="dxa"/>
          <w:right w:w="68" w:type="dxa"/>
        </w:tblCellMar>
      </w:tblPr>
      <w:tblGrid>
        <w:gridCol w:w="5100"/>
        <w:gridCol w:w="5100"/>
      </w:tblGrid>
      <w:tr>
        <w:trPr>
          <w:tblHeader w:val="true"/>
          <w:cantSplit w:val="true"/>
        </w:trPr>
        <w:tc>
          <w:tcPr>
            <w:tcW w:type="dxa" w:w="5513"/>
            <w:shd w:val="clear" w:color="auto" w:fill="E8EEF7"/>
          </w:tcPr>
          <w:p>
            <w:pPr>
              <w:spacing w:after="0" w:line="240" w:lineRule="auto"/>
            </w:pPr>
            <w:r/>
            <w:r>
              <w:rPr>
                <w:b/>
                <w:color w:val="1F3A5F"/>
                <w:sz w:val="17"/>
              </w:rPr>
              <w:t>Requisito do enunciado</w:t>
            </w:r>
          </w:p>
        </w:tc>
        <w:tc>
          <w:tcPr>
            <w:tcW w:type="dxa" w:w="4686"/>
            <w:shd w:val="clear" w:color="auto" w:fill="E8EEF7"/>
          </w:tcPr>
          <w:p>
            <w:pPr>
              <w:spacing w:after="0" w:line="240" w:lineRule="auto"/>
            </w:pPr>
            <w:r/>
            <w:r>
              <w:rPr>
                <w:b/>
                <w:color w:val="1F3A5F"/>
                <w:sz w:val="17"/>
              </w:rPr>
              <w:t>Onde está</w:t>
            </w:r>
          </w:p>
        </w:tc>
      </w:tr>
      <w:tr>
        <w:trPr>
          <w:cantSplit w:val="true"/>
        </w:trPr>
        <w:tc>
          <w:tcPr>
            <w:tcW w:type="dxa" w:w="5513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1. Evolução do relatório da Fase 1 (sem recomeçar do zero)</w:t>
            </w:r>
          </w:p>
        </w:tc>
        <w:tc>
          <w:tcPr>
            <w:tcW w:type="dxa" w:w="4686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Seção 2 + estrutura herdada da Fase 1</w:t>
            </w:r>
          </w:p>
        </w:tc>
      </w:tr>
      <w:tr>
        <w:trPr>
          <w:cantSplit w:val="true"/>
        </w:trPr>
        <w:tc>
          <w:tcPr>
            <w:tcW w:type="dxa" w:w="5513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2. Pelo menos 3 agentes detalhados</w:t>
            </w:r>
          </w:p>
        </w:tc>
        <w:tc>
          <w:tcPr>
            <w:tcW w:type="dxa" w:w="4686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Seção 6 (LogiPredict, SentimentDesk, WinBack)</w:t>
            </w:r>
          </w:p>
        </w:tc>
      </w:tr>
      <w:tr>
        <w:trPr>
          <w:cantSplit w:val="true"/>
        </w:trPr>
        <w:tc>
          <w:tcPr>
            <w:tcW w:type="dxa" w:w="5513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2a. Objetivo do agente</w:t>
            </w:r>
          </w:p>
        </w:tc>
        <w:tc>
          <w:tcPr>
            <w:tcW w:type="dxa" w:w="4686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6.1a, 6.2a, 6.3a</w:t>
            </w:r>
          </w:p>
        </w:tc>
      </w:tr>
      <w:tr>
        <w:trPr>
          <w:cantSplit w:val="true"/>
        </w:trPr>
        <w:tc>
          <w:tcPr>
            <w:tcW w:type="dxa" w:w="5513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2b. Problema resolvido (dor, impacto atual, consequências)</w:t>
            </w:r>
          </w:p>
        </w:tc>
        <w:tc>
          <w:tcPr>
            <w:tcW w:type="dxa" w:w="4686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6.1b, 6.2b, 6.3b + Seção 3</w:t>
            </w:r>
          </w:p>
        </w:tc>
      </w:tr>
      <w:tr>
        <w:trPr>
          <w:cantSplit w:val="true"/>
        </w:trPr>
        <w:tc>
          <w:tcPr>
            <w:tcW w:type="dxa" w:w="5513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2c. Usuários envolvidos</w:t>
            </w:r>
          </w:p>
        </w:tc>
        <w:tc>
          <w:tcPr>
            <w:tcW w:type="dxa" w:w="4686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6.1c, 6.2c, 6.3c + 5.1</w:t>
            </w:r>
          </w:p>
        </w:tc>
      </w:tr>
      <w:tr>
        <w:trPr>
          <w:cantSplit w:val="true"/>
        </w:trPr>
        <w:tc>
          <w:tcPr>
            <w:tcW w:type="dxa" w:w="5513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2d. Dados utilizados (tabelas, informações, dados externos)</w:t>
            </w:r>
          </w:p>
        </w:tc>
        <w:tc>
          <w:tcPr>
            <w:tcW w:type="dxa" w:w="4686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6.1d, 6.2d, 6.3d</w:t>
            </w:r>
          </w:p>
        </w:tc>
      </w:tr>
      <w:tr>
        <w:trPr>
          <w:cantSplit w:val="true"/>
        </w:trPr>
        <w:tc>
          <w:tcPr>
            <w:tcW w:type="dxa" w:w="5513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2e. Entradas e saídas</w:t>
            </w:r>
          </w:p>
        </w:tc>
        <w:tc>
          <w:tcPr>
            <w:tcW w:type="dxa" w:w="4686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6.1e, 6.2e, 6.3e</w:t>
            </w:r>
          </w:p>
        </w:tc>
      </w:tr>
      <w:tr>
        <w:trPr>
          <w:cantSplit w:val="true"/>
        </w:trPr>
        <w:tc>
          <w:tcPr>
            <w:tcW w:type="dxa" w:w="5513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2f. Indicadores impactados</w:t>
            </w:r>
          </w:p>
        </w:tc>
        <w:tc>
          <w:tcPr>
            <w:tcW w:type="dxa" w:w="4686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6.1f, 6.2f, 6.3f + 9.1</w:t>
            </w:r>
          </w:p>
        </w:tc>
      </w:tr>
      <w:tr>
        <w:trPr>
          <w:cantSplit w:val="true"/>
        </w:trPr>
        <w:tc>
          <w:tcPr>
            <w:tcW w:type="dxa" w:w="5513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3. Fluxos com gatilhos, entradas, decisões, ações, interação humana e saída</w:t>
            </w:r>
          </w:p>
        </w:tc>
        <w:tc>
          <w:tcPr>
            <w:tcW w:type="dxa" w:w="4686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Seção 7 (3 fluxos + jornada multiagente + exceções)</w:t>
            </w:r>
          </w:p>
        </w:tc>
      </w:tr>
      <w:tr>
        <w:trPr>
          <w:cantSplit w:val="true"/>
        </w:trPr>
        <w:tc>
          <w:tcPr>
            <w:tcW w:type="dxa" w:w="5513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4. Prompts com objetivo, contexto, instrução e resultado esperado</w:t>
            </w:r>
          </w:p>
        </w:tc>
        <w:tc>
          <w:tcPr>
            <w:tcW w:type="dxa" w:w="4686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 xml:space="preserve">Seção 8 + </w:t>
            </w:r>
            <w:r>
              <w:rPr>
                <w:rFonts w:ascii="Consolas" w:hAnsi="Consolas"/>
                <w:color w:val="1F3A5F"/>
                <w:sz w:val="15"/>
              </w:rPr>
              <w:t>prompts/PROMPTS_V2.md</w:t>
            </w:r>
          </w:p>
        </w:tc>
      </w:tr>
      <w:tr>
        <w:trPr>
          <w:cantSplit w:val="true"/>
        </w:trPr>
        <w:tc>
          <w:tcPr>
            <w:tcW w:type="dxa" w:w="5513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5. Vídeo executivo (link no relatório)</w:t>
            </w:r>
          </w:p>
        </w:tc>
        <w:tc>
          <w:tcPr>
            <w:tcW w:type="dxa" w:w="4686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Sumário Executivo (Seção 1) e capa</w:t>
            </w:r>
          </w:p>
        </w:tc>
      </w:tr>
      <w:tr>
        <w:trPr>
          <w:cantSplit w:val="true"/>
        </w:trPr>
        <w:tc>
          <w:tcPr>
            <w:tcW w:type="dxa" w:w="5513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Sempre explicar problema, benefício, impacto, usuários e riscos</w:t>
            </w:r>
          </w:p>
        </w:tc>
        <w:tc>
          <w:tcPr>
            <w:tcW w:type="dxa" w:w="4686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Seções 6, 9 e 10</w:t>
            </w:r>
          </w:p>
        </w:tc>
      </w:tr>
    </w:tbl>
    <w:p>
      <w:pPr>
        <w:spacing w:after="40"/>
      </w:pPr>
    </w:p>
    <w:p>
      <w:pPr>
        <w:pStyle w:val="Heading1"/>
      </w:pPr>
      <w:r>
        <w:t>Apêndice B: Fontes e Artefatos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C9CED6"/>
          <w:left w:val="single" w:sz="4" w:color="C9CED6"/>
          <w:bottom w:val="single" w:sz="4" w:color="C9CED6"/>
          <w:right w:val="single" w:sz="4" w:color="C9CED6"/>
          <w:insideH w:val="single" w:sz="4" w:color="C9CED6"/>
          <w:insideV w:val="single" w:sz="4" w:color="C9CED6"/>
        </w:tblBorders>
        <w:tblCellMar>
          <w:top w:w="68" w:type="dxa"/>
          <w:bottom w:w="68" w:type="dxa"/>
          <w:left w:w="68" w:type="dxa"/>
          <w:right w:w="68" w:type="dxa"/>
        </w:tblCellMar>
      </w:tblPr>
      <w:tblGrid>
        <w:gridCol w:w="5100"/>
        <w:gridCol w:w="5100"/>
      </w:tblGrid>
      <w:tr>
        <w:trPr>
          <w:tblHeader w:val="true"/>
          <w:cantSplit w:val="true"/>
        </w:trPr>
        <w:tc>
          <w:tcPr>
            <w:tcW w:type="dxa" w:w="4585"/>
            <w:shd w:val="clear" w:color="auto" w:fill="E8EEF7"/>
          </w:tcPr>
          <w:p>
            <w:pPr>
              <w:spacing w:after="0" w:line="240" w:lineRule="auto"/>
            </w:pPr>
            <w:r/>
            <w:r>
              <w:rPr>
                <w:b/>
                <w:color w:val="1F3A5F"/>
                <w:sz w:val="17"/>
              </w:rPr>
              <w:t>Artefato</w:t>
            </w:r>
          </w:p>
        </w:tc>
        <w:tc>
          <w:tcPr>
            <w:tcW w:type="dxa" w:w="5614"/>
            <w:shd w:val="clear" w:color="auto" w:fill="E8EEF7"/>
          </w:tcPr>
          <w:p>
            <w:pPr>
              <w:spacing w:after="0" w:line="240" w:lineRule="auto"/>
            </w:pPr>
            <w:r/>
            <w:r>
              <w:rPr>
                <w:b/>
                <w:color w:val="1F3A5F"/>
                <w:sz w:val="17"/>
              </w:rPr>
              <w:t>Conteúdo</w:t>
            </w:r>
          </w:p>
        </w:tc>
      </w:tr>
      <w:tr>
        <w:trPr>
          <w:cantSplit w:val="true"/>
        </w:trPr>
        <w:tc>
          <w:tcPr>
            <w:tcW w:type="dxa" w:w="4585"/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color w:val="1F3A5F"/>
                <w:sz w:val="15"/>
              </w:rPr>
              <w:t>notebooks/08_fase2_evidencias_business_case.ipynb</w:t>
            </w:r>
          </w:p>
        </w:tc>
        <w:tc>
          <w:tcPr>
            <w:tcW w:type="dxa" w:w="5614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Cadeia de evidência, priorização, business case, casos reais</w:t>
            </w:r>
          </w:p>
        </w:tc>
      </w:tr>
      <w:tr>
        <w:trPr>
          <w:cantSplit w:val="true"/>
        </w:trPr>
        <w:tc>
          <w:tcPr>
            <w:tcW w:type="dxa" w:w="4585"/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color w:val="1F3A5F"/>
                <w:sz w:val="15"/>
              </w:rPr>
              <w:t>docs/fase2/dados/numeros_fase2.json</w:t>
            </w:r>
          </w:p>
        </w:tc>
        <w:tc>
          <w:tcPr>
            <w:tcW w:type="dxa" w:w="5614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Fonte única de números (valor, definição, tabela de origem)</w:t>
            </w:r>
          </w:p>
        </w:tc>
      </w:tr>
      <w:tr>
        <w:trPr>
          <w:cantSplit w:val="true"/>
        </w:trPr>
        <w:tc>
          <w:tcPr>
            <w:tcW w:type="dxa" w:w="4585"/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color w:val="1F3A5F"/>
                <w:sz w:val="15"/>
              </w:rPr>
              <w:t>docs/fase2/prompts/PROMPTS_V2.md</w:t>
            </w:r>
          </w:p>
        </w:tc>
        <w:tc>
          <w:tcPr>
            <w:tcW w:type="dxa" w:w="5614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Prompts completos e 10 exemplos com casos reais</w:t>
            </w:r>
          </w:p>
        </w:tc>
      </w:tr>
      <w:tr>
        <w:trPr>
          <w:cantSplit w:val="true"/>
        </w:trPr>
        <w:tc>
          <w:tcPr>
            <w:tcW w:type="dxa" w:w="4585"/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color w:val="1F3A5F"/>
                <w:sz w:val="15"/>
              </w:rPr>
              <w:t>docs/fase2/fluxos/</w:t>
            </w:r>
          </w:p>
        </w:tc>
        <w:tc>
          <w:tcPr>
            <w:tcW w:type="dxa" w:w="5614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Fluxos em PNG e o script que os gera</w:t>
            </w:r>
          </w:p>
        </w:tc>
      </w:tr>
      <w:tr>
        <w:trPr>
          <w:cantSplit w:val="true"/>
        </w:trPr>
        <w:tc>
          <w:tcPr>
            <w:tcW w:type="dxa" w:w="4585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Notebooks 01–07 e Relatório da Fase 1</w:t>
            </w:r>
          </w:p>
        </w:tc>
        <w:tc>
          <w:tcPr>
            <w:tcW w:type="dxa" w:w="5614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 xml:space="preserve">Diagnóstico original (preservado em </w:t>
            </w:r>
            <w:r>
              <w:rPr>
                <w:rFonts w:ascii="Consolas" w:hAnsi="Consolas"/>
                <w:color w:val="1F3A5F"/>
                <w:sz w:val="15"/>
              </w:rPr>
              <w:t>docs/Relatorio_Executivo_Fase1_Olist_FINAL.pdf</w:t>
            </w:r>
            <w:r>
              <w:rPr>
                <w:sz w:val="17"/>
              </w:rPr>
              <w:t>)</w:t>
            </w:r>
          </w:p>
        </w:tc>
      </w:tr>
      <w:tr>
        <w:trPr>
          <w:cantSplit w:val="true"/>
        </w:trPr>
        <w:tc>
          <w:tcPr>
            <w:tcW w:type="dxa" w:w="4585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Dataset</w:t>
            </w:r>
          </w:p>
        </w:tc>
        <w:tc>
          <w:tcPr>
            <w:tcW w:type="dxa" w:w="5614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Brazilian E-Commerce Public Dataset by Olist (Kaggle), 2016–2018</w:t>
            </w:r>
          </w:p>
        </w:tc>
      </w:tr>
    </w:tbl>
    <w:p>
      <w:pPr>
        <w:spacing w:after="40"/>
      </w:pPr>
    </w:p>
    <w:sectPr w:rsidR="00FC693F" w:rsidRPr="0006063C" w:rsidSect="00034616">
      <w:pgSz w:w="12240" w:h="15840"/>
      <w:pgMar w:top="794" w:right="1020" w:bottom="73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2514E"/>
        <w:sz w:val="16"/>
      </w:rPr>
      <w:t xml:space="preserve">Olist Intelligent Marketplace · Relatório Executivo   |   </w:t>
    </w: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52514E"/>
        <w:sz w:val="16"/>
      </w:rPr>
      <w:t>FIAP · Tech Challenge Agentic AI · Fase 2   ·   RASCUNHO, NÃO SUBMETER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Calibri" w:hAnsi="Calibri" w:eastAsia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1F3A5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A78D6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20"/>
      <w:outlineLvl w:val="2"/>
    </w:pPr>
    <w:rPr>
      <w:rFonts w:asciiTheme="majorHAnsi" w:eastAsiaTheme="majorEastAsia" w:hAnsiTheme="majorHAnsi" w:cstheme="majorBidi" w:ascii="Calibri" w:hAnsi="Calibri"/>
      <w:b/>
      <w:bCs/>
      <w:color w:val="1F3A5F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github.com/jorgelpiva/tech-challenge-fiap-agentes-ia" TargetMode="External"/><Relationship Id="rId12" Type="http://schemas.openxmlformats.org/officeDocument/2006/relationships/hyperlink" Target="https://drive.google.com/file/d/1t1Yk40IJMqkFO4Q3YDFspaHaz7X0K7UJ/view?usp=sharing" TargetMode="External"/><Relationship Id="rId13" Type="http://schemas.openxmlformats.org/officeDocument/2006/relationships/image" Target="media/image1.png"/><Relationship Id="rId14" Type="http://schemas.openxmlformats.org/officeDocument/2006/relationships/image" Target="media/image2.png"/><Relationship Id="rId15" Type="http://schemas.openxmlformats.org/officeDocument/2006/relationships/image" Target="media/image3.png"/><Relationship Id="rId16" Type="http://schemas.openxmlformats.org/officeDocument/2006/relationships/image" Target="media/image4.png"/><Relationship Id="rId17" Type="http://schemas.openxmlformats.org/officeDocument/2006/relationships/image" Target="media/image5.png"/><Relationship Id="rId18" Type="http://schemas.openxmlformats.org/officeDocument/2006/relationships/image" Target="media/image6.png"/><Relationship Id="rId19" Type="http://schemas.openxmlformats.org/officeDocument/2006/relationships/image" Target="media/image7.png"/><Relationship Id="rId20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