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Entregáveis da Fase 2: onde encontrar cada item</w:t>
      </w:r>
    </w:p>
    <w:p>
      <w:pPr>
        <w:spacing w:after="80"/>
      </w:pPr>
      <w:r>
        <w:rPr>
          <w:b w:val="0"/>
          <w:i w:val="0"/>
          <w:color w:val="52514E"/>
          <w:sz w:val="19"/>
        </w:rPr>
        <w:t xml:space="preserve">Documento de apoio ao grupo. Para cada entregável do enunciado: a seção e a </w:t>
      </w:r>
      <w:r>
        <w:rPr>
          <w:b/>
          <w:i w:val="0"/>
          <w:color w:val="52514E"/>
          <w:sz w:val="19"/>
        </w:rPr>
        <w:t>página</w:t>
      </w:r>
      <w:r>
        <w:rPr>
          <w:b w:val="0"/>
          <w:i w:val="0"/>
          <w:color w:val="52514E"/>
          <w:sz w:val="19"/>
        </w:rPr>
        <w:t xml:space="preserve"> no relatório (fase2/Relatorio_Executivo_Fase2_Olist_FINAL.pdf, 29 páginas) e o </w:t>
      </w:r>
      <w:r>
        <w:rPr>
          <w:b/>
          <w:i w:val="0"/>
          <w:color w:val="52514E"/>
          <w:sz w:val="19"/>
        </w:rPr>
        <w:t>arquivo</w:t>
      </w:r>
      <w:r>
        <w:rPr>
          <w:b w:val="0"/>
          <w:i w:val="0"/>
          <w:color w:val="52514E"/>
          <w:sz w:val="19"/>
        </w:rPr>
        <w:t xml:space="preserve"> no repositório.</w:t>
      </w:r>
    </w:p>
    <w:p>
      <w:pPr>
        <w:pStyle w:val="Heading2"/>
      </w:pPr>
      <w:r>
        <w:t>1. Entregáveis do enunciado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871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Entregável</w:t>
            </w:r>
          </w:p>
        </w:tc>
        <w:tc>
          <w:tcPr>
            <w:tcW w:type="dxa" w:w="2608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O que o enunciado pede</w:t>
            </w:r>
          </w:p>
        </w:tc>
        <w:tc>
          <w:tcPr>
            <w:tcW w:type="dxa" w:w="2438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Onde no relatório</w:t>
            </w:r>
          </w:p>
        </w:tc>
        <w:tc>
          <w:tcPr>
            <w:tcW w:type="dxa" w:w="3231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Arquivo(s) no repositório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/>
            <w:r>
              <w:rPr>
                <w:b/>
                <w:sz w:val="16"/>
              </w:rPr>
              <w:t>1. Evolução do Relatório Executivo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Evoluir o relatório da Fase 1 (sem recomeçar), demonstrar evolução, 15–30 págs.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Histórico do Documento · pág. 2</w:t>
              <w:br/>
              <w:t>Marcas "atualizado/novo" em cada seção · pág. 3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5"/>
              </w:rPr>
              <w:t>fase2/Relatorio_Executivo_Fase2_Olist_RASCUNHO.pdf</w:t>
              <w:br/>
              <w:t>fase2/RELATORIO_EXECUTIVO_FASE2.md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/>
            <w:r>
              <w:rPr>
                <w:b/>
                <w:sz w:val="16"/>
              </w:rPr>
              <w:t>2. Detalhamento dos Casos de Uso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≥ 3 agentes com a) objetivo, b) problema, c) usuários, d) dados, e) entradas/saídas, f) indicadores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8.1 LogiPredict · pág. 11</w:t>
              <w:br/>
              <w:t>8.2 SentimentDesk · pág. 12</w:t>
              <w:br/>
              <w:t>8.3 WinBack · pág. 13</w:t>
              <w:br/>
              <w:t>5.3 Priorização (por que estes 3) · pág. 7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5"/>
              </w:rPr>
              <w:t>fase2/RELATORIO_EXECUTIVO_FASE2.md (Seção 8)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/>
            <w:r>
              <w:rPr>
                <w:b/>
                <w:sz w:val="16"/>
              </w:rPr>
              <w:t>3. Jornada de Funcionamento dos Agentes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Fluxos com gatilhos, entradas, decisões, ações, interação humana e saída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9.1 a 9.3 Fluxos · pág. 15</w:t>
              <w:br/>
              <w:t>9.4 Jornada multiagente · pág. 18</w:t>
              <w:br/>
              <w:t>9.6 Exceções · pág. 19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5"/>
              </w:rPr>
              <w:t>fase2/fluxos/fluxo_logipredict.png</w:t>
              <w:br/>
              <w:t>fase2/fluxos/fluxo_sentimentdesk.png</w:t>
              <w:br/>
              <w:t>fase2/fluxos/fluxo_winback.png</w:t>
              <w:br/>
              <w:t>fase2/fluxos/jornada_multiagente.png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/>
            <w:r>
              <w:rPr>
                <w:b/>
                <w:sz w:val="16"/>
              </w:rPr>
              <w:t>4. Estruturação Inicial de Prompts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a) objetivo, b) contexto, c) instrução principal, d) resultado esperado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10.1 a 10.3 Prompts com exemplo real · pág. 20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5"/>
              </w:rPr>
              <w:t>fase2/prompts/PROMPTS_V2.md</w:t>
              <w:br/>
              <w:t>fase2/prompts/VALIDACAO_LUCAS.md</w:t>
              <w:br/>
              <w:t>fase2/prompts/exemplos/casos_reais.json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/>
            <w:r>
              <w:rPr>
                <w:b/>
                <w:sz w:val="16"/>
              </w:rPr>
              <w:t>5. Vídeo Executivo (≤ 5 min)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Evolução, agentes, fluxos, funcionamento e exemplos de interação; link no relatório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Link na capa e no Sumário · pág. 3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5"/>
              </w:rPr>
              <w:t>fase2/video/ROTEIRO_VIDEO_FASE2.md</w:t>
              <w:br/>
              <w:t>fase2/video/Apresentacao_Fase2_Olist.pptx</w:t>
              <w:br/>
              <w:t>fase2/config_relatorio.json (LINK_VIDEO)</w:t>
            </w:r>
          </w:p>
        </w:tc>
      </w:tr>
    </w:tbl>
    <w:p>
      <w:pPr>
        <w:spacing w:after="40"/>
      </w:pPr>
    </w:p>
    <w:p>
      <w:pPr>
        <w:pStyle w:val="Heading2"/>
      </w:pPr>
      <w:r>
        <w:t>2. Itens de apoio (diferenciais)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835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7"/>
              </w:rPr>
              <w:t>Item</w:t>
            </w:r>
          </w:p>
        </w:tc>
        <w:tc>
          <w:tcPr>
            <w:tcW w:type="dxa" w:w="2835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7"/>
              </w:rPr>
              <w:t>Onde no relatório</w:t>
            </w:r>
          </w:p>
        </w:tc>
        <w:tc>
          <w:tcPr>
            <w:tcW w:type="dxa" w:w="4479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7"/>
              </w:rPr>
              <w:t>Arquivo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Cadeia de evidência (racional dos achados)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4.5 Da evidência à decisão · pág. 5</w:t>
            </w:r>
          </w:p>
        </w:tc>
        <w:tc>
          <w:tcPr>
            <w:tcW w:type="dxa" w:w="4479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notebooks/08_fase2_evidencias_business_case.ipynb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Fonte única de números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15. Fontes do Projeto · pág. 28</w:t>
            </w:r>
          </w:p>
        </w:tc>
        <w:tc>
          <w:tcPr>
            <w:tcW w:type="dxa" w:w="4479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fase2/NUMEROS_OFICIAIS.md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Business case e metas do piloto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13.3 Business case · pág. 26</w:t>
            </w:r>
          </w:p>
        </w:tc>
        <w:tc>
          <w:tcPr>
            <w:tcW w:type="dxa" w:w="4479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notebooks/08_fase2_evidencias_business_case.ipynb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Memória de cálculo (conta passo a passo)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13.4 Memória de cálculo · pág. 26</w:t>
            </w:r>
          </w:p>
        </w:tc>
        <w:tc>
          <w:tcPr>
            <w:tcW w:type="dxa" w:w="4479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fase2/RELATORIO_EXECUTIVO_FASE2.md (Seção 13.4)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Governança e humano no loop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11.4 Quem decide · pág. 23</w:t>
            </w:r>
          </w:p>
        </w:tc>
        <w:tc>
          <w:tcPr>
            <w:tcW w:type="dxa" w:w="4479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fase2/RELATORIO_EXECUTIVO_FASE2.md (Seção 11)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Validação dos prompts (22 cenários)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10. Prompts Estruturados · pág. 20</w:t>
            </w:r>
          </w:p>
        </w:tc>
        <w:tc>
          <w:tcPr>
            <w:tcW w:type="dxa" w:w="4479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fase2/prompts/VALIDACAO_LUCAS.md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Rastreabilidade dos requisitos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Apêndice A · pág. 2</w:t>
            </w:r>
          </w:p>
        </w:tc>
        <w:tc>
          <w:tcPr>
            <w:tcW w:type="dxa" w:w="4479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fase2/RELATORIO_EXECUTIVO_FASE2.md (Apêndice A)</w:t>
            </w:r>
          </w:p>
        </w:tc>
      </w:tr>
    </w:tbl>
    <w:p>
      <w:pPr>
        <w:spacing w:after="40"/>
      </w:pPr>
    </w:p>
    <w:p>
      <w:pPr>
        <w:pStyle w:val="Heading2"/>
      </w:pPr>
      <w:r>
        <w:t>3. Árvore de arquivos da Fase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4F4F2"/>
          </w:tcPr>
          <w:p>
            <w:pPr>
              <w:spacing w:after="0"/>
            </w:pPr>
            <w:r/>
            <w:r>
              <w:rPr>
                <w:rFonts w:ascii="Consolas" w:hAnsi="Consolas"/>
                <w:sz w:val="13"/>
              </w:rPr>
              <w:t>tech-challenge-fiap-agentes-ia/</w:t>
            </w:r>
          </w:p>
          <w:p>
            <w:pPr>
              <w:spacing w:after="0"/>
            </w:pPr>
            <w:r>
              <w:rPr>
                <w:rFonts w:ascii="Consolas" w:hAnsi="Consolas"/>
                <w:sz w:val="13"/>
              </w:rPr>
              <w:t>├── fase1/                                  Fase 1 entregue (não alterar)</w:t>
            </w:r>
          </w:p>
          <w:p>
            <w:pPr>
              <w:spacing w:after="0"/>
            </w:pPr>
            <w:r>
              <w:rPr>
                <w:rFonts w:ascii="Consolas" w:hAnsi="Consolas"/>
                <w:sz w:val="13"/>
              </w:rPr>
              <w:t>├── fase2/</w:t>
            </w:r>
          </w:p>
          <w:p>
            <w:pPr>
              <w:spacing w:after="0"/>
            </w:pPr>
            <w:r>
              <w:rPr>
                <w:rFonts w:ascii="Consolas" w:hAnsi="Consolas"/>
                <w:sz w:val="13"/>
              </w:rPr>
              <w:t>│   ├── POSTECH - Tech Challenge - Fase 2.pdf          Enunciado oficial da Fase 2</w:t>
            </w:r>
          </w:p>
          <w:p>
            <w:pPr>
              <w:spacing w:after="0"/>
            </w:pPr>
            <w:r>
              <w:rPr>
                <w:rFonts w:ascii="Consolas" w:hAnsi="Consolas"/>
                <w:sz w:val="13"/>
              </w:rPr>
              <w:t>│   ├── EVOLUCAO_FASE2.md                              Guia do grupo: entregáveis, decisões, divisão da revisão</w:t>
            </w:r>
          </w:p>
          <w:p>
            <w:pPr>
              <w:spacing w:after="0"/>
            </w:pPr>
            <w:r>
              <w:rPr>
                <w:rFonts w:ascii="Consolas" w:hAnsi="Consolas"/>
                <w:sz w:val="13"/>
              </w:rPr>
              <w:t>│   ├── PLANO_FASE2.md                                 Plano, backlog e log de sessões</w:t>
            </w:r>
          </w:p>
          <w:p>
            <w:pPr>
              <w:spacing w:after="0"/>
            </w:pPr>
            <w:r>
              <w:rPr>
                <w:rFonts w:ascii="Consolas" w:hAnsi="Consolas"/>
                <w:sz w:val="13"/>
              </w:rPr>
              <w:t>│   ├── Relatorio_Executivo_Fase2_Olist_FINAL.pdf      ENTREGÁVEL 1 · versão final (gerada com o link do vídeo)</w:t>
            </w:r>
          </w:p>
          <w:p>
            <w:pPr>
              <w:spacing w:after="0"/>
            </w:pPr>
            <w:r>
              <w:rPr>
                <w:rFonts w:ascii="Consolas" w:hAnsi="Consolas"/>
                <w:sz w:val="13"/>
              </w:rPr>
              <w:t>│   ├── RELATORIO_EXECUTIVO_FASE2.md                   Fonte do relatório (editar aqui)</w:t>
            </w:r>
          </w:p>
          <w:p>
            <w:pPr>
              <w:spacing w:after="0"/>
            </w:pPr>
            <w:r>
              <w:rPr>
                <w:rFonts w:ascii="Consolas" w:hAnsi="Consolas"/>
                <w:sz w:val="13"/>
              </w:rPr>
              <w:t>│   ├── gerar_relatorio.py                             Gera o .docx/.pdf do relatório</w:t>
            </w:r>
          </w:p>
          <w:p>
            <w:pPr>
              <w:spacing w:after="0"/>
            </w:pPr>
            <w:r>
              <w:rPr>
                <w:rFonts w:ascii="Consolas" w:hAnsi="Consolas"/>
                <w:sz w:val="13"/>
              </w:rPr>
              <w:t>│   ├── config_relatorio.json                          Links (vídeo, GitHub) e equipe</w:t>
            </w:r>
          </w:p>
          <w:p>
            <w:pPr>
              <w:spacing w:after="0"/>
            </w:pPr>
            <w:r>
              <w:rPr>
                <w:rFonts w:ascii="Consolas" w:hAnsi="Consolas"/>
                <w:sz w:val="13"/>
              </w:rPr>
              <w:t>│   ├── Alteracoes_Relatorio_v1_para_v2.docx           O que mudou da v1.0 para a v2.0</w:t>
            </w:r>
          </w:p>
          <w:p>
            <w:pPr>
              <w:spacing w:after="0"/>
            </w:pPr>
            <w:r>
              <w:rPr>
                <w:rFonts w:ascii="Consolas" w:hAnsi="Consolas"/>
                <w:sz w:val="13"/>
              </w:rPr>
              <w:t>│   ├── Entregaveis_Fase2.docx                         Este documento</w:t>
            </w:r>
          </w:p>
          <w:p>
            <w:pPr>
              <w:spacing w:after="0"/>
            </w:pPr>
            <w:r>
              <w:rPr>
                <w:rFonts w:ascii="Consolas" w:hAnsi="Consolas"/>
                <w:sz w:val="13"/>
              </w:rPr>
              <w:t>│   ├── gerar_docs_apoio.py                            Gera os dois documentos de apoio</w:t>
            </w:r>
          </w:p>
          <w:p>
            <w:pPr>
              <w:spacing w:after="0"/>
            </w:pPr>
            <w:r>
              <w:rPr>
                <w:rFonts w:ascii="Consolas" w:hAnsi="Consolas"/>
                <w:sz w:val="13"/>
              </w:rPr>
              <w:t>│   ├── NUMEROS_OFICIAIS.md                            Fonte única de números (gerada pelo notebook 08)</w:t>
            </w:r>
          </w:p>
          <w:p>
            <w:pPr>
              <w:spacing w:after="0"/>
            </w:pPr>
            <w:r>
              <w:rPr>
                <w:rFonts w:ascii="Consolas" w:hAnsi="Consolas"/>
                <w:sz w:val="13"/>
              </w:rPr>
              <w:t>│   ├── dados/numeros_fase2.json                       Os mesmos números em JSON</w:t>
            </w:r>
          </w:p>
          <w:p>
            <w:pPr>
              <w:spacing w:after="0"/>
            </w:pPr>
            <w:r>
              <w:rPr>
                <w:rFonts w:ascii="Consolas" w:hAnsi="Consolas"/>
                <w:sz w:val="13"/>
              </w:rPr>
              <w:t>│   ├── img/                                           Gráficos do relatório (gerados pelo notebook 08)</w:t>
            </w:r>
          </w:p>
          <w:p>
            <w:pPr>
              <w:spacing w:after="0"/>
            </w:pPr>
            <w:r>
              <w:rPr>
                <w:rFonts w:ascii="Consolas" w:hAnsi="Consolas"/>
                <w:sz w:val="13"/>
              </w:rPr>
              <w:t>│   ├── fluxos/                                        ENTREGÁVEL 3 · fluxos PNG + gerar_fluxos.py</w:t>
            </w:r>
          </w:p>
          <w:p>
            <w:pPr>
              <w:spacing w:after="0"/>
            </w:pPr>
            <w:r>
              <w:rPr>
                <w:rFonts w:ascii="Consolas" w:hAnsi="Consolas"/>
                <w:sz w:val="13"/>
              </w:rPr>
              <w:t>│   ├── prompts/PROMPTS_V2.md                          ENTREGÁVEL 4 · prompts completos + 10 casos reais</w:t>
            </w:r>
          </w:p>
          <w:p>
            <w:pPr>
              <w:spacing w:after="0"/>
            </w:pPr>
            <w:r>
              <w:rPr>
                <w:rFonts w:ascii="Consolas" w:hAnsi="Consolas"/>
                <w:sz w:val="13"/>
              </w:rPr>
              <w:t>│   ├── prompts/VALIDACAO_LUCAS.md                     Critérios e 22 cenários de validação dos prompts</w:t>
            </w:r>
          </w:p>
          <w:p>
            <w:pPr>
              <w:spacing w:after="0"/>
            </w:pPr>
            <w:r>
              <w:rPr>
                <w:rFonts w:ascii="Consolas" w:hAnsi="Consolas"/>
                <w:sz w:val="13"/>
              </w:rPr>
              <w:t>│   ├── prompts/exemplos/casos_reais.json              Casos reais usados nos exemplos</w:t>
            </w:r>
          </w:p>
          <w:p>
            <w:pPr>
              <w:spacing w:after="0"/>
            </w:pPr>
            <w:r>
              <w:rPr>
                <w:rFonts w:ascii="Consolas" w:hAnsi="Consolas"/>
                <w:sz w:val="13"/>
              </w:rPr>
              <w:t>│   ├── video/ROTEIRO_VIDEO_FASE2.md                   ENTREGÁVEL 5 · roteiro com falas e tempos</w:t>
            </w:r>
          </w:p>
          <w:p>
            <w:pPr>
              <w:spacing w:after="0"/>
            </w:pPr>
            <w:r>
              <w:rPr>
                <w:rFonts w:ascii="Consolas" w:hAnsi="Consolas"/>
                <w:sz w:val="13"/>
              </w:rPr>
              <w:t>│   ├── video/Apresentacao_Fase2_Olist.pptx            ENTREGÁVEL 5 · slides de apoio (falas nas notas)</w:t>
            </w:r>
          </w:p>
          <w:p>
            <w:pPr>
              <w:spacing w:after="0"/>
            </w:pPr>
            <w:r>
              <w:rPr>
                <w:rFonts w:ascii="Consolas" w:hAnsi="Consolas"/>
                <w:sz w:val="13"/>
              </w:rPr>
              <w:t>│   ├── video/gerar_slides.py                          Aplica ajustes e falas sobre o modelo da apresentação</w:t>
            </w:r>
          </w:p>
          <w:p>
            <w:pPr>
              <w:spacing w:after="0"/>
            </w:pPr>
            <w:r>
              <w:rPr>
                <w:rFonts w:ascii="Consolas" w:hAnsi="Consolas"/>
                <w:sz w:val="13"/>
              </w:rPr>
              <w:t>│   ├── video/ajustes_v5.json                          Ajustes de texto aplicados aos slides</w:t>
            </w:r>
          </w:p>
          <w:p>
            <w:pPr>
              <w:spacing w:after="0"/>
            </w:pPr>
            <w:r>
              <w:rPr>
                <w:rFonts w:ascii="Consolas" w:hAnsi="Consolas"/>
                <w:sz w:val="13"/>
              </w:rPr>
              <w:t>│   └── video/modelos/Apresentacao_Fase2_Olist_V5_BASE.pptx Modelo visual da apresentação</w:t>
            </w:r>
          </w:p>
          <w:p>
            <w:pPr>
              <w:spacing w:after="0"/>
            </w:pPr>
            <w:r>
              <w:rPr>
                <w:rFonts w:ascii="Consolas" w:hAnsi="Consolas"/>
                <w:sz w:val="13"/>
              </w:rPr>
              <w:t>├── notebooks/</w:t>
            </w:r>
          </w:p>
          <w:p>
            <w:pPr>
              <w:spacing w:after="0"/>
            </w:pPr>
            <w:r>
              <w:rPr>
                <w:rFonts w:ascii="Consolas" w:hAnsi="Consolas"/>
                <w:sz w:val="13"/>
              </w:rPr>
              <w:t>│   ├── 08_fase2_evidencias_business_case.ipynb   Evidências, priorização, business case</w:t>
            </w:r>
          </w:p>
          <w:p>
            <w:pPr>
              <w:spacing w:after="0"/>
            </w:pPr>
            <w:r>
              <w:rPr>
                <w:rFonts w:ascii="Consolas" w:hAnsi="Consolas"/>
                <w:sz w:val="13"/>
              </w:rPr>
              <w:t>│   └── build_notebook_08.py                        Gera/executa o notebook 08</w:t>
            </w:r>
          </w:p>
          <w:p>
            <w:pPr>
              <w:spacing w:after="0"/>
            </w:pPr>
            <w:r>
              <w:rPr>
                <w:rFonts w:ascii="Consolas" w:hAnsi="Consolas"/>
                <w:sz w:val="13"/>
              </w:rPr>
              <w:t>└── data/olist/                                     Dataset (fora do Git)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color w:val="52514E"/>
          <w:sz w:val="17"/>
        </w:rPr>
        <w:t>Arquivos marcados como ENTREGÁVEL são os que respondem diretamente ao enunciado. O PDF FINAL aparece na árvore somente depois de gerado (com o link do vídeo).</w:t>
      </w:r>
    </w:p>
    <w:sectPr w:rsidR="00FC693F" w:rsidRPr="0006063C" w:rsidSect="00034616">
      <w:headerReference w:type="default" r:id="rId9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514E"/>
        <w:sz w:val="16"/>
      </w:rPr>
      <w:t>Tech Challenge · Fase 2 · Entregáveis e onde encontrá-los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A78D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