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64E3B"/>
          <w:sz w:val="52"/>
          <w:szCs w:val="52"/>
        </w:rPr>
        <w:t xml:space="preserve">Arquitectura de Facturación Electrónica</w:t>
      </w:r>
    </w:p>
    <w:p>
      <w:pPr>
        <w:spacing w:after="200"/>
        <w:jc w:val="center"/>
      </w:pPr>
      <w:r>
        <w:rPr>
          <w:color w:val="444444"/>
          <w:sz w:val="28"/>
          <w:szCs w:val="28"/>
        </w:rPr>
        <w:t xml:space="preserve">Servicio multi-país e independiente para el ERP Minimarket</w:t>
      </w:r>
    </w:p>
    <w:p>
      <w:pPr>
        <w:jc w:val="center"/>
      </w:pPr>
      <w:r>
        <w:rPr>
          <w:b/>
          <w:bCs/>
          <w:color w:val="10B981"/>
          <w:sz w:val="22"/>
          <w:szCs w:val="22"/>
        </w:rPr>
        <w:t xml:space="preserve">Perú (SUNAT) · Colombia (DIAN) · Chile (SII) · Argentina (ARCA) · México (SAT)</w:t>
      </w:r>
    </w:p>
    <w:p>
      <w:pPr>
        <w:spacing w:before="2400"/>
        <w:jc w:val="center"/>
      </w:pPr>
      <w:r>
        <w:rPr>
          <w:i/>
          <w:iCs/>
          <w:color w:val="444444"/>
          <w:sz w:val="22"/>
          <w:szCs w:val="22"/>
        </w:rPr>
        <w:t xml:space="preserve">Clean Architecture · Domain-Driven Design · Patrón Strategy/Adapter</w:t>
      </w:r>
    </w:p>
    <w:p>
      <w:pPr>
        <w:spacing w:before="200"/>
        <w:jc w:val="center"/>
      </w:pPr>
      <w:r>
        <w:rPr>
          <w:color w:val="444444"/>
          <w:sz w:val="20"/>
          <w:szCs w:val="20"/>
        </w:rPr>
        <w:t xml:space="preserve">Documento de arquitectura · Julio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40" w:line="276"/>
      </w:pPr>
      <w:r>
        <w:t xml:space="preserve">Este documento define la arquitectura de un servicio de facturación electrónica desacoplado del ERP Minimarket, capaz de operar hoy en Perú (SUNAT) e incorporar mañana Colombia (DIAN), Chile (SII), Argentina (ARCA) y México (SAT) sin modificar ni la lógica del ERP ni la de los países ya implementados.</w:t>
      </w:r>
    </w:p>
    <w:p>
      <w:pPr>
        <w:spacing w:after="140" w:line="276"/>
      </w:pPr>
      <w:r>
        <w:t xml:space="preserve">La pieza central es un contrato común —una interfaz con cuatro operaciones: emitir factura, emitir nota de crédito, anular y consultar estado— implementado una sola vez por país mediante el patrón Strategy/Adapter. El ERP habla un único lenguaje canónico y nunca conoce las particularidades de cada autoridad fiscal. Agregar un país se reduce a escribir una clase nueva y registrarla en configuración, respetando el principio Abierto/Cerrado.</w:t>
      </w:r>
    </w:p>
    <w:p>
      <w:pPr>
        <w:spacing w:after="140" w:line="276"/>
      </w:pPr>
      <w:r>
        <w:t xml:space="preserve">El diseño aplica Clean Architecture (dominio puro en el centro, adaptadores en el borde) y DDD (modelo canónico como lenguaje ubicuo). Se acompaña de un scaffolding de código PHP ya generado en el repositorio, alineado uno a uno con lo aquí descrito.</w:t>
      </w:r>
    </w:p>
    <w:p>
      <w:pPr>
        <w:pStyle w:val="Heading1"/>
      </w:pPr>
      <w:r>
        <w:t xml:space="preserve">2. Objetivos y principios de diseño</w:t>
      </w:r>
    </w:p>
    <w:p>
      <w:pPr>
        <w:pStyle w:val="Heading2"/>
      </w:pPr>
      <w:r>
        <w:t xml:space="preserve">2.1 Objetivos</w:t>
      </w:r>
    </w:p>
    <w:p>
      <w:pPr>
        <w:pStyle w:val="ListParagraph"/>
        <w:numPr>
          <w:ilvl w:val="0"/>
          <w:numId w:val="2"/>
        </w:numPr>
        <w:spacing w:after="60"/>
      </w:pPr>
      <w:r>
        <w:rPr>
          <w:b/>
          <w:bCs/>
        </w:rPr>
        <w:t xml:space="preserve">Independencia del ERP</w:t>
      </w:r>
      <w:r>
        <w:t xml:space="preserve">: la facturación es un servicio aparte, consumido por REST; el ERP no depende de ninguna autoridad fiscal.</w:t>
      </w:r>
    </w:p>
    <w:p>
      <w:pPr>
        <w:pStyle w:val="ListParagraph"/>
        <w:numPr>
          <w:ilvl w:val="0"/>
          <w:numId w:val="2"/>
        </w:numPr>
        <w:spacing w:after="60"/>
      </w:pPr>
      <w:r>
        <w:rPr>
          <w:b/>
          <w:bCs/>
        </w:rPr>
        <w:t xml:space="preserve">Escalabilidad por país</w:t>
      </w:r>
      <w:r>
        <w:t xml:space="preserve">: incorporar un país no obliga a tocar código existente.</w:t>
      </w:r>
    </w:p>
    <w:p>
      <w:pPr>
        <w:pStyle w:val="ListParagraph"/>
        <w:numPr>
          <w:ilvl w:val="0"/>
          <w:numId w:val="2"/>
        </w:numPr>
        <w:spacing w:after="60"/>
      </w:pPr>
      <w:r>
        <w:rPr>
          <w:b/>
          <w:bCs/>
        </w:rPr>
        <w:t xml:space="preserve">Resiliencia</w:t>
      </w:r>
      <w:r>
        <w:t xml:space="preserve">: reintentos, idempotencia y auditoría ante fallos de red o de las autoridades.</w:t>
      </w:r>
    </w:p>
    <w:p>
      <w:pPr>
        <w:pStyle w:val="ListParagraph"/>
        <w:numPr>
          <w:ilvl w:val="0"/>
          <w:numId w:val="2"/>
        </w:numPr>
        <w:spacing w:after="60"/>
      </w:pPr>
      <w:r>
        <w:rPr>
          <w:b/>
          <w:bCs/>
        </w:rPr>
        <w:t xml:space="preserve">Cumplimiento legal</w:t>
      </w:r>
      <w:r>
        <w:t xml:space="preserve">: almacenamiento inmutable de XML firmado, respuesta de la autoridad y representación impresa, con retención por el plazo legal.</w:t>
      </w:r>
    </w:p>
    <w:p>
      <w:pPr>
        <w:pStyle w:val="Heading2"/>
      </w:pPr>
      <w:r>
        <w:t xml:space="preserve">2.2 Principios</w:t>
      </w:r>
    </w:p>
    <w:p>
      <w:pPr>
        <w:pStyle w:val="ListParagraph"/>
        <w:numPr>
          <w:ilvl w:val="0"/>
          <w:numId w:val="2"/>
        </w:numPr>
        <w:spacing w:after="60"/>
      </w:pPr>
      <w:r>
        <w:rPr>
          <w:b/>
          <w:bCs/>
        </w:rPr>
        <w:t xml:space="preserve">Clean Architecture</w:t>
      </w:r>
      <w:r>
        <w:t xml:space="preserve">: dependencias apuntan hacia adentro; el dominio no conoce frameworks ni HTTP.</w:t>
      </w:r>
    </w:p>
    <w:p>
      <w:pPr>
        <w:pStyle w:val="ListParagraph"/>
        <w:numPr>
          <w:ilvl w:val="0"/>
          <w:numId w:val="2"/>
        </w:numPr>
        <w:spacing w:after="60"/>
      </w:pPr>
      <w:r>
        <w:rPr>
          <w:b/>
          <w:bCs/>
        </w:rPr>
        <w:t xml:space="preserve">Domain-Driven Design</w:t>
      </w:r>
      <w:r>
        <w:t xml:space="preserve">: el modelo canónico es el lenguaje ubicuo compartido por ERP y servicio.</w:t>
      </w:r>
    </w:p>
    <w:p>
      <w:pPr>
        <w:pStyle w:val="ListParagraph"/>
        <w:numPr>
          <w:ilvl w:val="0"/>
          <w:numId w:val="2"/>
        </w:numPr>
        <w:spacing w:after="60"/>
      </w:pPr>
      <w:r>
        <w:rPr>
          <w:b/>
          <w:bCs/>
        </w:rPr>
        <w:t xml:space="preserve">Strategy / Adapter</w:t>
      </w:r>
      <w:r>
        <w:t xml:space="preserve">: cada país es una estrategia intercambiable tras una interfaz común.</w:t>
      </w:r>
    </w:p>
    <w:p>
      <w:pPr>
        <w:pStyle w:val="ListParagraph"/>
        <w:numPr>
          <w:ilvl w:val="0"/>
          <w:numId w:val="2"/>
        </w:numPr>
        <w:spacing w:after="60"/>
      </w:pPr>
      <w:r>
        <w:rPr>
          <w:b/>
          <w:bCs/>
        </w:rPr>
        <w:t xml:space="preserve">Open/Closed Principle</w:t>
      </w:r>
      <w:r>
        <w:t xml:space="preserve">: el sistema se extiende agregando clases, no editando las existentes.</w:t>
      </w:r>
    </w:p>
    <w:p>
      <w:pPr>
        <w:pStyle w:val="ListParagraph"/>
        <w:numPr>
          <w:ilvl w:val="0"/>
          <w:numId w:val="2"/>
        </w:numPr>
        <w:spacing w:after="60"/>
      </w:pPr>
      <w:r>
        <w:rPr>
          <w:b/>
          <w:bCs/>
        </w:rPr>
        <w:t xml:space="preserve">Puertos y adaptadores (Hexagonal)</w:t>
      </w:r>
      <w:r>
        <w:t xml:space="preserve">: persistencia, firma, almacenamiento y transporte son puertos con implementaciones sustituibles.</w:t>
      </w:r>
    </w:p>
    <w:p>
      <w:pPr>
        <w:pStyle w:val="Heading1"/>
      </w:pPr>
      <w:r>
        <w:t xml:space="preserve">3. Visión general de la arquitectura</w:t>
      </w:r>
    </w:p>
    <w:p>
      <w:pPr>
        <w:spacing w:after="140" w:line="276"/>
      </w:pPr>
      <w:r>
        <w:t xml:space="preserve">El sistema se compone de dos procesos independientes: el ERP Minimarket (Laravel) y el Servicio de Facturación. El ERP emite una solicitud canónica por REST; el servicio la enruta al adaptador del país, genera el documento local, lo firma, lo transmite a la autoridad (o su intermediario), interpreta la respuesta y almacena los artefactos legales.</w:t>
      </w:r>
    </w:p>
    <w:p>
      <w:pPr>
        <w:pStyle w:val="Heading2"/>
      </w:pPr>
      <w:r>
        <w:t xml:space="preserve">3.1 Diagrama de contexto</w:t>
      </w:r>
    </w:p>
    <w:p>
      <w:pPr>
        <w:shd w:fill="F3F4F6" w:val="clear"/>
        <w:spacing w:after="0" w:line="240"/>
      </w:pPr>
      <w:r>
        <w:rPr>
          <w:rFonts w:ascii="Consolas" w:cs="Consolas" w:eastAsia="Consolas" w:hAnsi="Consolas"/>
          <w:color w:val="1F2937"/>
          <w:sz w:val="18"/>
          <w:szCs w:val="18"/>
        </w:rPr>
        <w:t xml:space="preserve">┌─────────────────────┐     REST /api/v1      ┌──────────────────────────────┐</w:t>
      </w:r>
    </w:p>
    <w:p>
      <w:pPr>
        <w:shd w:fill="F3F4F6" w:val="clear"/>
        <w:spacing w:after="0" w:line="240"/>
      </w:pPr>
      <w:r>
        <w:rPr>
          <w:rFonts w:ascii="Consolas" w:cs="Consolas" w:eastAsia="Consolas" w:hAnsi="Consolas"/>
          <w:color w:val="1F2937"/>
          <w:sz w:val="18"/>
          <w:szCs w:val="18"/>
        </w:rPr>
        <w:t xml:space="preserve">│   ERP Minimarket    │ ───────────────────►  │   Servicio de Facturación    │</w:t>
      </w:r>
    </w:p>
    <w:p>
      <w:pPr>
        <w:shd w:fill="F3F4F6" w:val="clear"/>
        <w:spacing w:after="0" w:line="240"/>
      </w:pPr>
      <w:r>
        <w:rPr>
          <w:rFonts w:ascii="Consolas" w:cs="Consolas" w:eastAsia="Consolas" w:hAnsi="Consolas"/>
          <w:color w:val="1F2937"/>
          <w:sz w:val="18"/>
          <w:szCs w:val="18"/>
        </w:rPr>
        <w:t xml:space="preserve">│  (POS, Ventas,      │   Idempotency-Key     │                              │</w:t>
      </w:r>
    </w:p>
    <w:p>
      <w:pPr>
        <w:shd w:fill="F3F4F6" w:val="clear"/>
        <w:spacing w:after="0" w:line="240"/>
      </w:pPr>
      <w:r>
        <w:rPr>
          <w:rFonts w:ascii="Consolas" w:cs="Consolas" w:eastAsia="Consolas" w:hAnsi="Consolas"/>
          <w:color w:val="1F2937"/>
          <w:sz w:val="18"/>
          <w:szCs w:val="18"/>
        </w:rPr>
        <w:t xml:space="preserve">│   Devoluciones)     │ ◄───────────────────  │  Application (casos de uso)  │</w:t>
      </w:r>
    </w:p>
    <w:p>
      <w:pPr>
        <w:shd w:fill="F3F4F6" w:val="clear"/>
        <w:spacing w:after="0" w:line="240"/>
      </w:pPr>
      <w:r>
        <w:rPr>
          <w:rFonts w:ascii="Consolas" w:cs="Consolas" w:eastAsia="Consolas" w:hAnsi="Consolas"/>
          <w:color w:val="1F2937"/>
          <w:sz w:val="18"/>
          <w:szCs w:val="18"/>
        </w:rPr>
        <w:t xml:space="preserve">│                     │   estado + archivos   │  Domain (modelo canónico)    │</w:t>
      </w:r>
    </w:p>
    <w:p>
      <w:pPr>
        <w:shd w:fill="F3F4F6" w:val="clear"/>
        <w:spacing w:after="0" w:line="240"/>
      </w:pPr>
      <w:r>
        <w:rPr>
          <w:rFonts w:ascii="Consolas" w:cs="Consolas" w:eastAsia="Consolas" w:hAnsi="Consolas"/>
          <w:color w:val="1F2937"/>
          <w:sz w:val="18"/>
          <w:szCs w:val="18"/>
        </w:rPr>
        <w:t xml:space="preserve">│  BillingClient      │                       │  Infrastructure (adapters)   │</w:t>
      </w:r>
    </w:p>
    <w:p>
      <w:pPr>
        <w:shd w:fill="F3F4F6" w:val="clear"/>
        <w:spacing w:after="0" w:line="240"/>
      </w:pPr>
      <w:r>
        <w:rPr>
          <w:rFonts w:ascii="Consolas" w:cs="Consolas" w:eastAsia="Consolas" w:hAnsi="Consolas"/>
          <w:color w:val="1F2937"/>
          <w:sz w:val="18"/>
          <w:szCs w:val="18"/>
        </w:rPr>
        <w:t xml:space="preserve">└─────────────────────┘                       └───────────────┬──────────────┘</w:t>
      </w:r>
    </w:p>
    <w:p>
      <w:pPr>
        <w:shd w:fill="F3F4F6" w:val="clear"/>
        <w:spacing w:after="0" w:line="240"/>
      </w:pPr>
      <w:r>
        <w:rPr>
          <w:rFonts w:ascii="Consolas" w:cs="Consolas" w:eastAsia="Consolas" w:hAnsi="Consolas"/>
          <w:color w:val="1F2937"/>
          <w:sz w:val="18"/>
          <w:szCs w:val="18"/>
        </w:rPr>
        <w:t xml:space="preserve">                                                               │ Strategy</w:t>
      </w:r>
    </w:p>
    <w:p>
      <w:pPr>
        <w:shd w:fill="F3F4F6" w:val="clear"/>
        <w:spacing w:after="0" w:line="240"/>
      </w:pPr>
      <w:r>
        <w:rPr>
          <w:rFonts w:ascii="Consolas" w:cs="Consolas" w:eastAsia="Consolas" w:hAnsi="Consolas"/>
          <w:color w:val="1F2937"/>
          <w:sz w:val="18"/>
          <w:szCs w:val="18"/>
        </w:rPr>
        <w:t xml:space="preserve">                        ┌──────────────┬──────────────┬────────┴─────┬──────────────┐</w:t>
      </w:r>
    </w:p>
    <w:p>
      <w:pPr>
        <w:shd w:fill="F3F4F6" w:val="clear"/>
        <w:spacing w:after="0" w:line="240"/>
      </w:pPr>
      <w:r>
        <w:rPr>
          <w:rFonts w:ascii="Consolas" w:cs="Consolas" w:eastAsia="Consolas" w:hAnsi="Consolas"/>
          <w:color w:val="1F2937"/>
          <w:sz w:val="18"/>
          <w:szCs w:val="18"/>
        </w:rPr>
        <w:t xml:space="preserve">                        ▼              ▼              ▼              ▼              ▼</w:t>
      </w:r>
    </w:p>
    <w:p>
      <w:pPr>
        <w:shd w:fill="F3F4F6" w:val="clear"/>
        <w:spacing w:after="0" w:line="240"/>
      </w:pPr>
      <w:r>
        <w:rPr>
          <w:rFonts w:ascii="Consolas" w:cs="Consolas" w:eastAsia="Consolas" w:hAnsi="Consolas"/>
          <w:color w:val="1F2937"/>
          <w:sz w:val="18"/>
          <w:szCs w:val="18"/>
        </w:rPr>
        <w:t xml:space="preserve">                     SUNAT(PE)      DIAN(CO)       SII(CL)       ARCA(AR)       SAT(MX)</w:t>
      </w:r>
    </w:p>
    <w:p>
      <w:pPr>
        <w:shd w:fill="F3F4F6" w:val="clear"/>
        <w:spacing w:after="0" w:line="240"/>
      </w:pPr>
      <w:r>
        <w:rPr>
          <w:rFonts w:ascii="Consolas" w:cs="Consolas" w:eastAsia="Consolas" w:hAnsi="Consolas"/>
          <w:color w:val="1F2937"/>
          <w:sz w:val="18"/>
          <w:szCs w:val="18"/>
        </w:rPr>
        <w:t xml:space="preserve">                     UBL 2.1        UBL 2.1        DTE           WSFEv1         CFDI 4.0</w:t>
      </w:r>
    </w:p>
    <w:p>
      <w:pPr>
        <w:pStyle w:val="Heading2"/>
      </w:pPr>
      <w:r>
        <w:t xml:space="preserve">3.2 Capas (Clean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c>
          <w:tcPr>
            <w:tcW w:type="dxa" w:w="19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Capa</w:t>
            </w:r>
          </w:p>
        </w:tc>
        <w:tc>
          <w:tcPr>
            <w:tcW w:type="dxa" w:w="30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Contenido</w:t>
            </w:r>
          </w:p>
        </w:tc>
        <w:tc>
          <w:tcPr>
            <w:tcW w:type="dxa" w:w="44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Regla</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Domain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Modelo canónico, puertos (interfaces), excepciones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No conoce framework, HTTP ni países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Casos de uso + FiscalGatewayFactory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Orquesta; depende sólo del dominio</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Adaptadores por país, firma, persistencia, storage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Implementa los puertos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Interface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API REST que consume el ERP</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Traduce HTTP ↔ casos de uso</w:t>
            </w:r>
          </w:p>
        </w:tc>
      </w:tr>
    </w:tbl>
    <w:p>
      <w:pPr>
        <w:pStyle w:val="Heading1"/>
      </w:pPr>
      <w:r>
        <w:t xml:space="preserve">4. El contrato común (Strategy/Adapter)</w:t>
      </w:r>
    </w:p>
    <w:p>
      <w:pPr>
        <w:spacing w:after="140" w:line="276"/>
      </w:pPr>
      <w:r>
        <w:t xml:space="preserve">El núcleo de la extensibilidad es la interfaz FiscalGateway. Cada país la implementa una vez. Los casos de uso dependen de la interfaz, nunca de una implementación concreta.</w:t>
      </w:r>
    </w:p>
    <w:p>
      <w:pPr>
        <w:shd w:fill="F3F4F6" w:val="clear"/>
        <w:spacing w:after="0" w:line="240"/>
      </w:pPr>
      <w:r>
        <w:rPr>
          <w:rFonts w:ascii="Consolas" w:cs="Consolas" w:eastAsia="Consolas" w:hAnsi="Consolas"/>
          <w:color w:val="1F2937"/>
          <w:sz w:val="18"/>
          <w:szCs w:val="18"/>
        </w:rPr>
        <w:t xml:space="preserve">interface FiscalGateway {</w:t>
      </w:r>
    </w:p>
    <w:p>
      <w:pPr>
        <w:shd w:fill="F3F4F6" w:val="clear"/>
        <w:spacing w:after="0" w:line="240"/>
      </w:pPr>
      <w:r>
        <w:rPr>
          <w:rFonts w:ascii="Consolas" w:cs="Consolas" w:eastAsia="Consolas" w:hAnsi="Consolas"/>
          <w:color w:val="1F2937"/>
          <w:sz w:val="18"/>
          <w:szCs w:val="18"/>
        </w:rPr>
        <w:t xml:space="preserve">    public function emitirFactura(CanonicalDocument $doc): EmissionResult;</w:t>
      </w:r>
    </w:p>
    <w:p>
      <w:pPr>
        <w:shd w:fill="F3F4F6" w:val="clear"/>
        <w:spacing w:after="0" w:line="240"/>
      </w:pPr>
      <w:r>
        <w:rPr>
          <w:rFonts w:ascii="Consolas" w:cs="Consolas" w:eastAsia="Consolas" w:hAnsi="Consolas"/>
          <w:color w:val="1F2937"/>
          <w:sz w:val="18"/>
          <w:szCs w:val="18"/>
        </w:rPr>
        <w:t xml:space="preserve">    public function emitirNotaCredito(CanonicalDocument $nc): EmissionResult;</w:t>
      </w:r>
    </w:p>
    <w:p>
      <w:pPr>
        <w:shd w:fill="F3F4F6" w:val="clear"/>
        <w:spacing w:after="0" w:line="240"/>
      </w:pPr>
      <w:r>
        <w:rPr>
          <w:rFonts w:ascii="Consolas" w:cs="Consolas" w:eastAsia="Consolas" w:hAnsi="Consolas"/>
          <w:color w:val="1F2937"/>
          <w:sz w:val="18"/>
          <w:szCs w:val="18"/>
        </w:rPr>
        <w:t xml:space="preserve">    public function anularFactura(DocumentReference $ref, string $reason): AnnulmentResult;</w:t>
      </w:r>
    </w:p>
    <w:p>
      <w:pPr>
        <w:shd w:fill="F3F4F6" w:val="clear"/>
        <w:spacing w:after="0" w:line="240"/>
      </w:pPr>
      <w:r>
        <w:rPr>
          <w:rFonts w:ascii="Consolas" w:cs="Consolas" w:eastAsia="Consolas" w:hAnsi="Consolas"/>
          <w:color w:val="1F2937"/>
          <w:sz w:val="18"/>
          <w:szCs w:val="18"/>
        </w:rPr>
        <w:t xml:space="preserve">    public function consultarEstado(DocumentReference $ref): StatusResult;</w:t>
      </w:r>
    </w:p>
    <w:p>
      <w:pPr>
        <w:shd w:fill="F3F4F6" w:val="clear"/>
        <w:spacing w:after="0" w:line="240"/>
      </w:pPr>
      <w:r>
        <w:rPr>
          <w:rFonts w:ascii="Consolas" w:cs="Consolas" w:eastAsia="Consolas" w:hAnsi="Consolas"/>
          <w:color w:val="1F2937"/>
          <w:sz w:val="18"/>
          <w:szCs w:val="18"/>
        </w:rPr>
        <w:t xml:space="preserve">    public function country(): CountryCode;</w:t>
      </w:r>
    </w:p>
    <w:p>
      <w:pPr>
        <w:shd w:fill="F3F4F6" w:val="clear"/>
        <w:spacing w:after="0" w:line="240"/>
      </w:pPr>
      <w:r>
        <w:rPr>
          <w:rFonts w:ascii="Consolas" w:cs="Consolas" w:eastAsia="Consolas" w:hAnsi="Consolas"/>
          <w:color w:val="1F2937"/>
          <w:sz w:val="18"/>
          <w:szCs w:val="18"/>
        </w:rPr>
        <w:t xml:space="preserve">}</w:t>
      </w:r>
    </w:p>
    <w:p>
      <w:pPr>
        <w:spacing w:after="140" w:line="276"/>
      </w:pPr>
      <w:r>
        <w:rPr>
          <w:i/>
          <w:iCs/>
        </w:rPr>
        <w:t xml:space="preserve">Un FiscalGatewayFactory resuelve la estrategia correcta a partir del código de país. La resolución es dato, no condicionales dispersos: se registra en config/facturacion.php.</w:t>
      </w:r>
    </w:p>
    <w:p>
      <w:pPr>
        <w:pStyle w:val="Heading1"/>
      </w:pPr>
      <w:r>
        <w:t xml:space="preserve">5. Modelo canónico de datos</w:t>
      </w:r>
    </w:p>
    <w:p>
      <w:pPr>
        <w:spacing w:after="140" w:line="276"/>
      </w:pPr>
      <w:r>
        <w:t xml:space="preserve">El ERP y el dominio sólo conocen el modelo canónico, agnóstico de país. Cada adaptador traduce este modelo al formato local (UBL 2.1, DTE, CFDI 4.0, WSFEv1). Así, agregar un país no cambia el modelo ni 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Objeto</w:t>
            </w:r>
          </w:p>
        </w:tc>
        <w:tc>
          <w:tcPr>
            <w:tcW w:type="dxa" w:w="67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Rol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CanonicalDocument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Comprobante completo: emisor, receptor, líneas, impuestos, totales, referencias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Party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Emisor/receptor con tipo y número de documento (RUC/NIT/RUT/CUIT/RFC)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DocumentLine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Línea de detalle con cantidad, precio e impuestos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Money / Tax</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Value objects inmutables para montos e impuestos (IGV/IVA/IEPS)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DocumentReference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Referencia a un comprobante previo (notas de crédito, consultas)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countryExtras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Campos exclusivos de un país sin contaminar el modelo (ej. usoCFDI MX)</w:t>
            </w:r>
          </w:p>
        </w:tc>
      </w:tr>
    </w:tbl>
    <w:p>
      <w:pPr>
        <w:pStyle w:val="Heading1"/>
      </w:pPr>
      <w:r>
        <w:t xml:space="preserve">6. Estructura de carpetas</w:t>
      </w:r>
    </w:p>
    <w:p>
      <w:pPr>
        <w:shd w:fill="F3F4F6" w:val="clear"/>
        <w:spacing w:after="0" w:line="240"/>
      </w:pPr>
      <w:r>
        <w:rPr>
          <w:rFonts w:ascii="Consolas" w:cs="Consolas" w:eastAsia="Consolas" w:hAnsi="Consolas"/>
          <w:color w:val="1F2937"/>
          <w:sz w:val="18"/>
          <w:szCs w:val="18"/>
        </w:rPr>
        <w:t xml:space="preserve">services/facturacion/</w:t>
      </w:r>
    </w:p>
    <w:p>
      <w:pPr>
        <w:shd w:fill="F3F4F6" w:val="clear"/>
        <w:spacing w:after="0" w:line="240"/>
      </w:pPr>
      <w:r>
        <w:rPr>
          <w:rFonts w:ascii="Consolas" w:cs="Consolas" w:eastAsia="Consolas" w:hAnsi="Consolas"/>
          <w:color w:val="1F2937"/>
          <w:sz w:val="18"/>
          <w:szCs w:val="18"/>
        </w:rPr>
        <w:t xml:space="preserve">├── composer.json                 (namespace Facturacion\)</w:t>
      </w:r>
    </w:p>
    <w:p>
      <w:pPr>
        <w:shd w:fill="F3F4F6" w:val="clear"/>
        <w:spacing w:after="0" w:line="240"/>
      </w:pPr>
      <w:r>
        <w:rPr>
          <w:rFonts w:ascii="Consolas" w:cs="Consolas" w:eastAsia="Consolas" w:hAnsi="Consolas"/>
          <w:color w:val="1F2937"/>
          <w:sz w:val="18"/>
          <w:szCs w:val="18"/>
        </w:rPr>
        <w:t xml:space="preserve">├── config/facturacion.php        REGISTRO de países (punto único de extensión)</w:t>
      </w:r>
    </w:p>
    <w:p>
      <w:pPr>
        <w:shd w:fill="F3F4F6" w:val="clear"/>
        <w:spacing w:after="0" w:line="240"/>
      </w:pPr>
      <w:r>
        <w:rPr>
          <w:rFonts w:ascii="Consolas" w:cs="Consolas" w:eastAsia="Consolas" w:hAnsi="Consolas"/>
          <w:color w:val="1F2937"/>
          <w:sz w:val="18"/>
          <w:szCs w:val="18"/>
        </w:rPr>
        <w:t xml:space="preserve">└── src/</w:t>
      </w:r>
    </w:p>
    <w:p>
      <w:pPr>
        <w:shd w:fill="F3F4F6" w:val="clear"/>
        <w:spacing w:after="0" w:line="240"/>
      </w:pPr>
      <w:r>
        <w:rPr>
          <w:rFonts w:ascii="Consolas" w:cs="Consolas" w:eastAsia="Consolas" w:hAnsi="Consolas"/>
          <w:color w:val="1F2937"/>
          <w:sz w:val="18"/>
          <w:szCs w:val="18"/>
        </w:rPr>
        <w:t xml:space="preserve">    ├── Domain/</w:t>
      </w:r>
    </w:p>
    <w:p>
      <w:pPr>
        <w:shd w:fill="F3F4F6" w:val="clear"/>
        <w:spacing w:after="0" w:line="240"/>
      </w:pPr>
      <w:r>
        <w:rPr>
          <w:rFonts w:ascii="Consolas" w:cs="Consolas" w:eastAsia="Consolas" w:hAnsi="Consolas"/>
          <w:color w:val="1F2937"/>
          <w:sz w:val="18"/>
          <w:szCs w:val="18"/>
        </w:rPr>
        <w:t xml:space="preserve">    │   ├── Model/                 CanonicalDocument, Party, Money, Tax, enums…</w:t>
      </w:r>
    </w:p>
    <w:p>
      <w:pPr>
        <w:shd w:fill="F3F4F6" w:val="clear"/>
        <w:spacing w:after="0" w:line="240"/>
      </w:pPr>
      <w:r>
        <w:rPr>
          <w:rFonts w:ascii="Consolas" w:cs="Consolas" w:eastAsia="Consolas" w:hAnsi="Consolas"/>
          <w:color w:val="1F2937"/>
          <w:sz w:val="18"/>
          <w:szCs w:val="18"/>
        </w:rPr>
        <w:t xml:space="preserve">    │   ├── Port/                  FiscalGateway (Strategy), DocumentRepository,</w:t>
      </w:r>
    </w:p>
    <w:p>
      <w:pPr>
        <w:shd w:fill="F3F4F6" w:val="clear"/>
        <w:spacing w:after="0" w:line="240"/>
      </w:pPr>
      <w:r>
        <w:rPr>
          <w:rFonts w:ascii="Consolas" w:cs="Consolas" w:eastAsia="Consolas" w:hAnsi="Consolas"/>
          <w:color w:val="1F2937"/>
          <w:sz w:val="18"/>
          <w:szCs w:val="18"/>
        </w:rPr>
        <w:t xml:space="preserve">    │   │                          XmlSigner, DocumentStorage, AuditLogger</w:t>
      </w:r>
    </w:p>
    <w:p>
      <w:pPr>
        <w:shd w:fill="F3F4F6" w:val="clear"/>
        <w:spacing w:after="0" w:line="240"/>
      </w:pPr>
      <w:r>
        <w:rPr>
          <w:rFonts w:ascii="Consolas" w:cs="Consolas" w:eastAsia="Consolas" w:hAnsi="Consolas"/>
          <w:color w:val="1F2937"/>
          <w:sz w:val="18"/>
          <w:szCs w:val="18"/>
        </w:rPr>
        <w:t xml:space="preserve">    │   ├── Result/                EmissionResult, AnnulmentResult, StatusResult</w:t>
      </w:r>
    </w:p>
    <w:p>
      <w:pPr>
        <w:shd w:fill="F3F4F6" w:val="clear"/>
        <w:spacing w:after="0" w:line="240"/>
      </w:pPr>
      <w:r>
        <w:rPr>
          <w:rFonts w:ascii="Consolas" w:cs="Consolas" w:eastAsia="Consolas" w:hAnsi="Consolas"/>
          <w:color w:val="1F2937"/>
          <w:sz w:val="18"/>
          <w:szCs w:val="18"/>
        </w:rPr>
        <w:t xml:space="preserve">    │   └── Exception/             Validation / BusinessRejection / TransientTransmission</w:t>
      </w:r>
    </w:p>
    <w:p>
      <w:pPr>
        <w:shd w:fill="F3F4F6" w:val="clear"/>
        <w:spacing w:after="0" w:line="240"/>
      </w:pPr>
      <w:r>
        <w:rPr>
          <w:rFonts w:ascii="Consolas" w:cs="Consolas" w:eastAsia="Consolas" w:hAnsi="Consolas"/>
          <w:color w:val="1F2937"/>
          <w:sz w:val="18"/>
          <w:szCs w:val="18"/>
        </w:rPr>
        <w:t xml:space="preserve">    ├── Application/</w:t>
      </w:r>
    </w:p>
    <w:p>
      <w:pPr>
        <w:shd w:fill="F3F4F6" w:val="clear"/>
        <w:spacing w:after="0" w:line="240"/>
      </w:pPr>
      <w:r>
        <w:rPr>
          <w:rFonts w:ascii="Consolas" w:cs="Consolas" w:eastAsia="Consolas" w:hAnsi="Consolas"/>
          <w:color w:val="1F2937"/>
          <w:sz w:val="18"/>
          <w:szCs w:val="18"/>
        </w:rPr>
        <w:t xml:space="preserve">    │   ├── UseCase/               EmitirFactura, EmitirNotaCredito,</w:t>
      </w:r>
    </w:p>
    <w:p>
      <w:pPr>
        <w:shd w:fill="F3F4F6" w:val="clear"/>
        <w:spacing w:after="0" w:line="240"/>
      </w:pPr>
      <w:r>
        <w:rPr>
          <w:rFonts w:ascii="Consolas" w:cs="Consolas" w:eastAsia="Consolas" w:hAnsi="Consolas"/>
          <w:color w:val="1F2937"/>
          <w:sz w:val="18"/>
          <w:szCs w:val="18"/>
        </w:rPr>
        <w:t xml:space="preserve">    │   │                          AnularFactura, ConsultarEstado</w:t>
      </w:r>
    </w:p>
    <w:p>
      <w:pPr>
        <w:shd w:fill="F3F4F6" w:val="clear"/>
        <w:spacing w:after="0" w:line="240"/>
      </w:pPr>
      <w:r>
        <w:rPr>
          <w:rFonts w:ascii="Consolas" w:cs="Consolas" w:eastAsia="Consolas" w:hAnsi="Consolas"/>
          <w:color w:val="1F2937"/>
          <w:sz w:val="18"/>
          <w:szCs w:val="18"/>
        </w:rPr>
        <w:t xml:space="preserve">    │   └── FiscalGatewayFactory.php</w:t>
      </w:r>
    </w:p>
    <w:p>
      <w:pPr>
        <w:shd w:fill="F3F4F6" w:val="clear"/>
        <w:spacing w:after="0" w:line="240"/>
      </w:pPr>
      <w:r>
        <w:rPr>
          <w:rFonts w:ascii="Consolas" w:cs="Consolas" w:eastAsia="Consolas" w:hAnsi="Consolas"/>
          <w:color w:val="1F2937"/>
          <w:sz w:val="18"/>
          <w:szCs w:val="18"/>
        </w:rPr>
        <w:t xml:space="preserve">    ├── Infrastructure/</w:t>
      </w:r>
    </w:p>
    <w:p>
      <w:pPr>
        <w:shd w:fill="F3F4F6" w:val="clear"/>
        <w:spacing w:after="0" w:line="240"/>
      </w:pPr>
      <w:r>
        <w:rPr>
          <w:rFonts w:ascii="Consolas" w:cs="Consolas" w:eastAsia="Consolas" w:hAnsi="Consolas"/>
          <w:color w:val="1F2937"/>
          <w:sz w:val="18"/>
          <w:szCs w:val="18"/>
        </w:rPr>
        <w:t xml:space="preserve">    │   └── Gateway/</w:t>
      </w:r>
    </w:p>
    <w:p>
      <w:pPr>
        <w:shd w:fill="F3F4F6" w:val="clear"/>
        <w:spacing w:after="0" w:line="240"/>
      </w:pPr>
      <w:r>
        <w:rPr>
          <w:rFonts w:ascii="Consolas" w:cs="Consolas" w:eastAsia="Consolas" w:hAnsi="Consolas"/>
          <w:color w:val="1F2937"/>
          <w:sz w:val="18"/>
          <w:szCs w:val="18"/>
        </w:rPr>
        <w:t xml:space="preserve">    │       ├── Peru/              PeruSunatGateway + Ubl21InvoiceBuilder  (Fase 1)</w:t>
      </w:r>
    </w:p>
    <w:p>
      <w:pPr>
        <w:shd w:fill="F3F4F6" w:val="clear"/>
        <w:spacing w:after="0" w:line="240"/>
      </w:pPr>
      <w:r>
        <w:rPr>
          <w:rFonts w:ascii="Consolas" w:cs="Consolas" w:eastAsia="Consolas" w:hAnsi="Consolas"/>
          <w:color w:val="1F2937"/>
          <w:sz w:val="18"/>
          <w:szCs w:val="18"/>
        </w:rPr>
        <w:t xml:space="preserve">    │       ├── Colombia/          ColombiaDianGateway                    (Fase 3)</w:t>
      </w:r>
    </w:p>
    <w:p>
      <w:pPr>
        <w:shd w:fill="F3F4F6" w:val="clear"/>
        <w:spacing w:after="0" w:line="240"/>
      </w:pPr>
      <w:r>
        <w:rPr>
          <w:rFonts w:ascii="Consolas" w:cs="Consolas" w:eastAsia="Consolas" w:hAnsi="Consolas"/>
          <w:color w:val="1F2937"/>
          <w:sz w:val="18"/>
          <w:szCs w:val="18"/>
        </w:rPr>
        <w:t xml:space="preserve">    │       ├── Chile/             ChileSiiGateway + CafFolioManager       (Fase 4)</w:t>
      </w:r>
    </w:p>
    <w:p>
      <w:pPr>
        <w:shd w:fill="F3F4F6" w:val="clear"/>
        <w:spacing w:after="0" w:line="240"/>
      </w:pPr>
      <w:r>
        <w:rPr>
          <w:rFonts w:ascii="Consolas" w:cs="Consolas" w:eastAsia="Consolas" w:hAnsi="Consolas"/>
          <w:color w:val="1F2937"/>
          <w:sz w:val="18"/>
          <w:szCs w:val="18"/>
        </w:rPr>
        <w:t xml:space="preserve">    │       ├── Argentina/         ArgentinaArcaGateway                    (Fase 5)</w:t>
      </w:r>
    </w:p>
    <w:p>
      <w:pPr>
        <w:shd w:fill="F3F4F6" w:val="clear"/>
        <w:spacing w:after="0" w:line="240"/>
      </w:pPr>
      <w:r>
        <w:rPr>
          <w:rFonts w:ascii="Consolas" w:cs="Consolas" w:eastAsia="Consolas" w:hAnsi="Consolas"/>
          <w:color w:val="1F2937"/>
          <w:sz w:val="18"/>
          <w:szCs w:val="18"/>
        </w:rPr>
        <w:t xml:space="preserve">    │       └── Mexico/            MexicoSatGateway                        (Fase 6)</w:t>
      </w:r>
    </w:p>
    <w:p>
      <w:pPr>
        <w:shd w:fill="F3F4F6" w:val="clear"/>
        <w:spacing w:after="0" w:line="240"/>
      </w:pPr>
      <w:r>
        <w:rPr>
          <w:rFonts w:ascii="Consolas" w:cs="Consolas" w:eastAsia="Consolas" w:hAnsi="Consolas"/>
          <w:color w:val="1F2937"/>
          <w:sz w:val="18"/>
          <w:szCs w:val="18"/>
        </w:rPr>
        <w:t xml:space="preserve">    └── Interface/Http/            FacturacionController, DocumentAssembler</w:t>
      </w:r>
    </w:p>
    <w:p>
      <w:pPr>
        <w:shd w:fill="F3F4F6" w:val="clear"/>
        <w:spacing w:after="0" w:line="240"/>
      </w:pPr>
      <w:r>
        <w:rPr>
          <w:rFonts w:ascii="Consolas" w:cs="Consolas" w:eastAsia="Consolas" w:hAnsi="Consolas"/>
          <w:color w:val="1F2937"/>
          <w:sz w:val="18"/>
          <w:szCs w:val="18"/>
        </w:rPr>
        <w:t xml:space="preserve"> </w:t>
      </w:r>
    </w:p>
    <w:p>
      <w:pPr>
        <w:shd w:fill="F3F4F6" w:val="clear"/>
        <w:spacing w:after="0" w:line="240"/>
      </w:pPr>
      <w:r>
        <w:rPr>
          <w:rFonts w:ascii="Consolas" w:cs="Consolas" w:eastAsia="Consolas" w:hAnsi="Consolas"/>
          <w:color w:val="1F2937"/>
          <w:sz w:val="18"/>
          <w:szCs w:val="18"/>
        </w:rPr>
        <w:t xml:space="preserve">app/Services/Billing/             (lado ERP) BillingClient + RestBillingClient</w:t>
      </w:r>
    </w:p>
    <w:p>
      <w:pPr>
        <w:shd w:fill="F3F4F6" w:val="clear"/>
        <w:spacing w:after="0" w:line="240"/>
      </w:pPr>
      <w:r>
        <w:rPr>
          <w:rFonts w:ascii="Consolas" w:cs="Consolas" w:eastAsia="Consolas" w:hAnsi="Consolas"/>
          <w:color w:val="1F2937"/>
          <w:sz w:val="18"/>
          <w:szCs w:val="18"/>
        </w:rPr>
        <w:t xml:space="preserve">config/billing.php                (lado ERP) URL y token del servicio</w:t>
      </w:r>
    </w:p>
    <w:p>
      <w:pPr>
        <w:pStyle w:val="Heading1"/>
      </w:pPr>
      <w:r>
        <w:t xml:space="preserve">7. Modelo de datos (base del servicio)</w:t>
      </w:r>
    </w:p>
    <w:p>
      <w:pPr>
        <w:spacing w:after="140" w:line="276"/>
      </w:pPr>
      <w:r>
        <w:t xml:space="preserve">El servicio mantiene su propia base de datos, separada del ERP, con la máquina de estados del comprobante y su rastro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Tabla</w:t>
            </w:r>
          </w:p>
        </w:tc>
        <w:tc>
          <w:tcPr>
            <w:tcW w:type="dxa" w:w="68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companies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Emisores (multi-tenant): config fiscal por país, credenciales cifradas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fiscal_documents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Comprobante: país, tipo, serie, número, payload canónico, estado, external_id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document_events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Auditoría append-only: transiciones y respuestas de la autoridad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document_files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Rutas de XML firmado, respuesta (CDR/acuse) y PDF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transmission_attempts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Bitácora de intentos de envío (reintentos, códigos, latencias)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country_configs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Endpoints, certificados y credenciales OSE/PAC por país (cifrados)</w:t>
            </w:r>
          </w:p>
        </w:tc>
      </w:tr>
    </w:tbl>
    <w:p>
      <w:pPr>
        <w:spacing w:after="140" w:line="276"/>
      </w:pPr>
      <w:r>
        <w:rPr>
          <w:i/>
          <w:iCs/>
        </w:rPr>
        <w:t xml:space="preserve">external_id guarda el identificador fiscal local: CDR/nombre en PE, CUFE en CO, folio/trackid en CL, CAE en AR, UUID en MX.</w:t>
      </w:r>
    </w:p>
    <w:p>
      <w:pPr>
        <w:pStyle w:val="Heading1"/>
      </w:pPr>
      <w:r>
        <w:t xml:space="preserve">8. Comunicación ERP ↔ servicio</w:t>
      </w:r>
    </w:p>
    <w:p>
      <w:pPr>
        <w:spacing w:after="140" w:line="276"/>
      </w:pPr>
      <w:r>
        <w:t xml:space="preserve">La comunicación es REST síncrona para la solicitud y el acuse inmediato, con procesamiento asíncrono interno para la transmisión a la autoridad (que puede ser lenta o estar caída). El ERP recibe un estado inicial y luego consulta o recibe webhook.</w:t>
      </w:r>
    </w:p>
    <w:p>
      <w:pPr>
        <w:pStyle w:val="Heading2"/>
      </w:pPr>
      <w:r>
        <w:t xml:space="preserve">8.1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Endpoint</w:t>
            </w:r>
          </w:p>
        </w:tc>
        <w:tc>
          <w:tcPr>
            <w:tcW w:type="dxa" w:w="51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Acción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POST /api/v1/documents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Emitir factura o boleta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POST /api/v1/documents/credit-note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Emitir nota de crédito</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POST /api/v1/documents/void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Anular / dar de baja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GET  /api/v1/documents/{id}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Consultar estado</w:t>
            </w:r>
          </w:p>
        </w:tc>
      </w:tr>
    </w:tbl>
    <w:p>
      <w:pPr>
        <w:pStyle w:val="Heading2"/>
      </w:pPr>
      <w:r>
        <w:t xml:space="preserve">8.2 Idempotencia</w:t>
      </w:r>
    </w:p>
    <w:p>
      <w:pPr>
        <w:spacing w:after="140" w:line="276"/>
      </w:pPr>
      <w:r>
        <w:t xml:space="preserve">Cada emisión lleva una cabecera Idempotency-Key. Si el ERP reintenta por un timeout de red, el servicio reconoce la clave y devuelve el resultado ya generado en lugar de emitir dos veces. Esto evita comprobantes duplicados ante la autoridad.</w:t>
      </w:r>
    </w:p>
    <w:p>
      <w:pPr>
        <w:pStyle w:val="Heading2"/>
      </w:pPr>
      <w:r>
        <w:t xml:space="preserve">8.3 REST vs mensajería</w:t>
      </w:r>
    </w:p>
    <w:p>
      <w:pPr>
        <w:spacing w:after="140" w:line="276"/>
      </w:pPr>
      <w:r>
        <w:t xml:space="preserve">Se elige REST para la interacción ERP↔servicio por simplicidad operativa y respuesta inmediata. Internamente, la transmisión a la autoridad se encola (cola con reintentos). La interfaz BillingClient del ERP permite migrar a mensajería (RabbitMQ/SQS) en el futuro sin tocar la lógica de negocio.</w:t>
      </w:r>
    </w:p>
    <w:p>
      <w:pPr>
        <w:pStyle w:val="Heading1"/>
      </w:pPr>
      <w:r>
        <w:t xml:space="preserve">9. Manejo de errores y reintentos</w:t>
      </w:r>
    </w:p>
    <w:p>
      <w:pPr>
        <w:spacing w:after="140" w:line="276"/>
      </w:pPr>
      <w:r>
        <w:t xml:space="preserve">Los errores se clasifican para decidir automáticamente si se reintenta o se corrige. La jerarquía de excepciones del dominio codifica esta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Tipo</w:t>
            </w:r>
          </w:p>
        </w:tc>
        <w:tc>
          <w:tcPr>
            <w:tcW w:type="dxa" w:w="24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¿Reintenta?</w:t>
            </w:r>
          </w:p>
        </w:tc>
        <w:tc>
          <w:tcPr>
            <w:tcW w:type="dxa" w:w="39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Ejemplo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ValidationException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No (falla rápido)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RUC inválido, total no cuadra, falta RegimenFiscal (MX)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BusinessRejectionException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No (corregir)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CDR rechazado, RFC no coincide con el SAT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TransientTransmissionException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Sí (backoff)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Timeout, HTTP 5xx, web service de la autoridad caído</w:t>
            </w:r>
          </w:p>
        </w:tc>
      </w:tr>
    </w:tbl>
    <w:p>
      <w:pPr>
        <w:pStyle w:val="Heading2"/>
      </w:pPr>
      <w:r>
        <w:t xml:space="preserve">9.1 Política de reintentos</w:t>
      </w:r>
    </w:p>
    <w:p>
      <w:pPr>
        <w:pStyle w:val="ListParagraph"/>
        <w:numPr>
          <w:ilvl w:val="0"/>
          <w:numId w:val="2"/>
        </w:numPr>
        <w:spacing w:after="60"/>
      </w:pPr>
      <w:r>
        <w:rPr>
          <w:b/>
          <w:bCs/>
        </w:rPr>
        <w:t xml:space="preserve">Backoff exponencial con jitter</w:t>
      </w:r>
      <w:r>
        <w:t xml:space="preserve">: 4 intentos, retardo base 500 ms (configurable).</w:t>
      </w:r>
    </w:p>
    <w:p>
      <w:pPr>
        <w:pStyle w:val="ListParagraph"/>
        <w:numPr>
          <w:ilvl w:val="0"/>
          <w:numId w:val="2"/>
        </w:numPr>
        <w:spacing w:after="60"/>
      </w:pPr>
      <w:r>
        <w:rPr>
          <w:b/>
          <w:bCs/>
        </w:rPr>
        <w:t xml:space="preserve">Cola con dead-letter</w:t>
      </w:r>
      <w:r>
        <w:t xml:space="preserve">: agotados los intentos, el documento pasa a revisión manual sin perderse.</w:t>
      </w:r>
    </w:p>
    <w:p>
      <w:pPr>
        <w:pStyle w:val="ListParagraph"/>
        <w:numPr>
          <w:ilvl w:val="0"/>
          <w:numId w:val="2"/>
        </w:numPr>
        <w:spacing w:after="60"/>
      </w:pPr>
      <w:r>
        <w:rPr>
          <w:b/>
          <w:bCs/>
        </w:rPr>
        <w:t xml:space="preserve">Circuit breaker por país</w:t>
      </w:r>
      <w:r>
        <w:t xml:space="preserve">: si la autoridad de un país falla repetidamente, se abre el circuito y se pausa el envío para no saturar, sin afectar a otros países.</w:t>
      </w:r>
    </w:p>
    <w:p>
      <w:pPr>
        <w:pStyle w:val="ListParagraph"/>
        <w:numPr>
          <w:ilvl w:val="0"/>
          <w:numId w:val="2"/>
        </w:numPr>
        <w:spacing w:after="60"/>
      </w:pPr>
      <w:r>
        <w:rPr>
          <w:b/>
          <w:bCs/>
        </w:rPr>
        <w:t xml:space="preserve">Idempotencia</w:t>
      </w:r>
      <w:r>
        <w:t xml:space="preserve">: los reintentos nunca duplican comprobantes.</w:t>
      </w:r>
    </w:p>
    <w:p>
      <w:pPr>
        <w:pStyle w:val="Heading1"/>
      </w:pPr>
      <w:r>
        <w:t xml:space="preserve">10. Auditoría</w:t>
      </w:r>
    </w:p>
    <w:p>
      <w:pPr>
        <w:spacing w:after="140" w:line="276"/>
      </w:pPr>
      <w:r>
        <w:t xml:space="preserve">Cada acción relevante se registra en una bitácora append-only mediante el puerto AuditLogger: recepción, generación, firma, transmisión, respuesta, reintentos y errores. Cada evento guarda quién, cuándo, el hash del payload, el número de intento y el código/mensaje de la autoridad. Esto permite reconstruir la trazabilidad completa de un comprobante y responder auditorías fiscales.</w:t>
      </w:r>
    </w:p>
    <w:p>
      <w:pPr>
        <w:pStyle w:val="Heading1"/>
      </w:pPr>
      <w:r>
        <w:t xml:space="preserve">11. Almacenamiento de XML/PDF y retención</w:t>
      </w:r>
    </w:p>
    <w:p>
      <w:pPr>
        <w:spacing w:after="140" w:line="276"/>
      </w:pPr>
      <w:r>
        <w:t xml:space="preserve">El servicio almacena, mediante el puerto DocumentStorage (filesystem, S3, etc.), el XML firmado, la respuesta de la autoridad (CDR/acuse/CAE) y la representación impresa en PDF. El almacenamiento debe ser inmutable (WORM) y conservarse por el plazo legal más exigente de los países soportados (se configura una retención de 6 años como cota superior). Un índice en base de datos vincula cada archivo con su comprobante.</w:t>
      </w:r>
    </w:p>
    <w:p>
      <w:pPr>
        <w:pStyle w:val="Heading1"/>
      </w:pPr>
      <w:r>
        <w:t xml:space="preserve">12. Diferencias por país</w:t>
      </w:r>
    </w:p>
    <w:p>
      <w:pPr>
        <w:spacing w:after="140" w:line="276"/>
      </w:pPr>
      <w:r>
        <w:t xml:space="preserve">La abstracción absorbe diferencias profundas de formato, identificador, modelo de autorización y transporte. Datos verificados a julio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1700"/>
        <w:gridCol w:w="1660"/>
        <w:gridCol w:w="1700"/>
      </w:tblGrid>
      <w:tr>
        <w:tc>
          <w:tcPr>
            <w:tcW w:type="dxa" w:w="1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País</w:t>
            </w:r>
          </w:p>
        </w:tc>
        <w:tc>
          <w:tcPr>
            <w:tcW w:type="dxa" w:w="15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Autoridad</w:t>
            </w:r>
          </w:p>
        </w:tc>
        <w:tc>
          <w:tcPr>
            <w:tcW w:type="dxa" w:w="16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Formato</w:t>
            </w:r>
          </w:p>
        </w:tc>
        <w:tc>
          <w:tcPr>
            <w:tcW w:type="dxa" w:w="17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Identificador</w:t>
            </w:r>
          </w:p>
        </w:tc>
        <w:tc>
          <w:tcPr>
            <w:tcW w:type="dxa" w:w="16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Modelo</w:t>
            </w:r>
          </w:p>
        </w:tc>
        <w:tc>
          <w:tcPr>
            <w:tcW w:type="dxa" w:w="17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Transporte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Perú</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SUNAT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UBL 2.1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CDR / nombre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Post-emisión (OSE/PSE)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SOAP/REST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Colombia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DIAN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UBL 2.1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CUFE / CUDE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Validación previa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SOAP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Chile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SII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DTE propio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Folio (CAF)</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Folios CAF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SOAP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Argentina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ARCA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WSFEv1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CAE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Pre-clearance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SOAP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México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SAT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CFDI 4.0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UUID</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Timbrado PAC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REST/SOAP</w:t>
            </w:r>
          </w:p>
        </w:tc>
      </w:tr>
    </w:tbl>
    <w:p>
      <w:pPr>
        <w:spacing w:after="140" w:line="276"/>
      </w:pPr>
      <w:r>
        <w:rPr>
          <w:i/>
          <w:iCs/>
        </w:rPr>
        <w:t xml:space="preserve">Notas: AFIP pasó a llamarse ARCA en octubre de 2024. En México la única versión vigente es CFDI 4.0. En Chile el contribuyente administra sus folios (CAF), a diferencia del resto.</w:t>
      </w:r>
    </w:p>
    <w:p>
      <w:pPr>
        <w:pStyle w:val="Heading1"/>
      </w:pPr>
      <w:r>
        <w:t xml:space="preserve">13. Cómo agregar un país nuevo</w:t>
      </w:r>
    </w:p>
    <w:p>
      <w:pPr>
        <w:spacing w:after="140" w:line="276"/>
      </w:pPr>
      <w:r>
        <w:t xml:space="preserve">Ejemplo: activar Colombia (DIAN). El procedimiento no modifica ningún código existente.</w:t>
      </w:r>
    </w:p>
    <w:p>
      <w:pPr>
        <w:pStyle w:val="ListParagraph"/>
        <w:numPr>
          <w:ilvl w:val="0"/>
          <w:numId w:val="3"/>
        </w:numPr>
        <w:spacing w:after="60"/>
      </w:pPr>
      <w:r>
        <w:t xml:space="preserve">Crear la clase </w:t>
      </w:r>
      <w:r>
        <w:rPr>
          <w:b/>
          <w:bCs/>
        </w:rPr>
        <w:t xml:space="preserve">ColombiaDianGateway</w:t>
      </w:r>
      <w:r>
        <w:t xml:space="preserve"> en Infrastructure/Gateway/Colombia, que implemente FiscalGateway.</w:t>
      </w:r>
    </w:p>
    <w:p>
      <w:pPr>
        <w:pStyle w:val="ListParagraph"/>
        <w:numPr>
          <w:ilvl w:val="0"/>
          <w:numId w:val="3"/>
        </w:numPr>
        <w:spacing w:after="60"/>
      </w:pPr>
      <w:r>
        <w:t xml:space="preserve">Aislar el XML local en un builder propio (</w:t>
      </w:r>
      <w:r>
        <w:rPr>
          <w:b/>
          <w:bCs/>
        </w:rPr>
        <w:t xml:space="preserve">Ubl21DianBuilder</w:t>
      </w:r>
      <w:r>
        <w:t xml:space="preserve">) con el cálculo del CUFE.</w:t>
      </w:r>
    </w:p>
    <w:p>
      <w:pPr>
        <w:pStyle w:val="ListParagraph"/>
        <w:numPr>
          <w:ilvl w:val="0"/>
          <w:numId w:val="3"/>
        </w:numPr>
        <w:spacing w:after="60"/>
      </w:pPr>
      <w:r>
        <w:t xml:space="preserve">Implementar la firma y el cliente SOAP de la DIAN reutilizando los puertos existentes (XmlSigner, DocumentStorage, AuditLogger).</w:t>
      </w:r>
    </w:p>
    <w:p>
      <w:pPr>
        <w:pStyle w:val="ListParagraph"/>
        <w:numPr>
          <w:ilvl w:val="0"/>
          <w:numId w:val="3"/>
        </w:numPr>
        <w:spacing w:after="60"/>
      </w:pPr>
      <w:r>
        <w:t xml:space="preserve">Registrar el país en </w:t>
      </w:r>
      <w:r>
        <w:rPr>
          <w:b/>
          <w:bCs/>
        </w:rPr>
        <w:t xml:space="preserve">config/facturacion.php</w:t>
      </w:r>
      <w:r>
        <w:t xml:space="preserve"> con enabled =&gt; true.</w:t>
      </w:r>
    </w:p>
    <w:p>
      <w:pPr>
        <w:pStyle w:val="ListParagraph"/>
        <w:numPr>
          <w:ilvl w:val="0"/>
          <w:numId w:val="3"/>
        </w:numPr>
        <w:spacing w:after="60"/>
      </w:pPr>
      <w:r>
        <w:t xml:space="preserve">Nada más: el ERP, los casos de uso y los otros países permanecen intactos.</w:t>
      </w:r>
    </w:p>
    <w:p>
      <w:pPr>
        <w:spacing w:after="140" w:line="276"/>
      </w:pPr>
      <w:r>
        <w:rPr>
          <w:i/>
          <w:iCs/>
        </w:rPr>
        <w:t xml:space="preserve">Este es el principio Abierto/Cerrado en acción: el sistema se extiende agregando una estrategia, no editando las que ya funcionan.</w:t>
      </w:r>
    </w:p>
    <w:p>
      <w:pPr>
        <w:pStyle w:val="Heading1"/>
      </w:pPr>
      <w:r>
        <w:t xml:space="preserve">14. Hoja de ruta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c>
          <w:tcPr>
            <w:tcW w:type="dxa" w:w="13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Fase</w:t>
            </w:r>
          </w:p>
        </w:tc>
        <w:tc>
          <w:tcPr>
            <w:tcW w:type="dxa" w:w="26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Alcance</w:t>
            </w:r>
          </w:p>
        </w:tc>
        <w:tc>
          <w:tcPr>
            <w:tcW w:type="dxa" w:w="546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b/>
                <w:bCs/>
                <w:color w:val="FFFFFF"/>
                <w:sz w:val="19"/>
                <w:szCs w:val="19"/>
              </w:rPr>
              <w:t xml:space="preserve">Detalle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Fundamentos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Modelo canónico, interfaces, contrato REST, cliente del ERP (BillingClient). Ya scaffolded.</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Perú (SUNAT)</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MVP end-to-end: UBL 2.1, firma, envío OSE/SUNAT, CDR, PDF. Mercado inmediato.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Robustez</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Colas, reintentos, circuit breaker, auditoría, panel de estados, webhooks.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Colombia (DIAN)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Valida la abstracción con validación previa + CUFE (UBL 2.1).</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Chile (SII)</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DTE propio + gestor de folios CAF (reto de administración de folios).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Argentina (ARCA)</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Transporte SOAP + CAE: valida un transporte totalmente distinto.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Fase 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México (SAT)</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9"/>
                <w:szCs w:val="19"/>
              </w:rPr>
              <w:t xml:space="preserve">CFDI 4.0 vía PAC, timbrado y UUID, validación estricta de RFC.</w:t>
            </w:r>
          </w:p>
        </w:tc>
      </w:tr>
    </w:tbl>
    <w:p>
      <w:pPr>
        <w:spacing w:after="140" w:line="276"/>
      </w:pPr>
      <w:r>
        <w:rPr>
          <w:i/>
          <w:iCs/>
        </w:rPr>
        <w:t xml:space="preserve">El orden prioriza Perú (necesidad inmediata) y luego cada país agrega un tipo de dificultad distinto —validación previa, folios, SOAP, PAC— que endurece progresivamente la abstracción.</w:t>
      </w:r>
    </w:p>
    <w:p>
      <w:pPr>
        <w:pStyle w:val="Heading1"/>
      </w:pPr>
      <w:r>
        <w:t xml:space="preserve">15. Fuentes (verificación jul-2026)</w:t>
      </w:r>
    </w:p>
    <w:p>
      <w:pPr>
        <w:pStyle w:val="ListParagraph"/>
        <w:numPr>
          <w:ilvl w:val="0"/>
          <w:numId w:val="2"/>
        </w:numPr>
        <w:spacing w:after="60"/>
      </w:pPr>
      <w:r>
        <w:t xml:space="preserve">SUNAT — Comprobantes de Pago Electrónicos (UBL 2.1, OSE/PSE, CDR): cpe.sunat.gob.pe</w:t>
      </w:r>
    </w:p>
    <w:p>
      <w:pPr>
        <w:pStyle w:val="ListParagraph"/>
        <w:numPr>
          <w:ilvl w:val="0"/>
          <w:numId w:val="2"/>
        </w:numPr>
        <w:spacing w:after="60"/>
      </w:pPr>
      <w:r>
        <w:t xml:space="preserve">DIAN — Sistema de Factura Electrónica (UBL 2.1, CUFE, validación previa): dian.gov.co</w:t>
      </w:r>
    </w:p>
    <w:p>
      <w:pPr>
        <w:pStyle w:val="ListParagraph"/>
        <w:numPr>
          <w:ilvl w:val="0"/>
          <w:numId w:val="2"/>
        </w:numPr>
        <w:spacing w:after="60"/>
      </w:pPr>
      <w:r>
        <w:t xml:space="preserve">SII Chile — DTE y folios CAF: sii.cl</w:t>
      </w:r>
    </w:p>
    <w:p>
      <w:pPr>
        <w:pStyle w:val="ListParagraph"/>
        <w:numPr>
          <w:ilvl w:val="0"/>
          <w:numId w:val="2"/>
        </w:numPr>
        <w:spacing w:after="60"/>
      </w:pPr>
      <w:r>
        <w:t xml:space="preserve">ARCA (ex-AFIP) — Web Services de Factura Electrónica (WSFEv1, CAE): afip.gob.ar/fe</w:t>
      </w:r>
    </w:p>
    <w:p>
      <w:pPr>
        <w:pStyle w:val="ListParagraph"/>
        <w:numPr>
          <w:ilvl w:val="0"/>
          <w:numId w:val="2"/>
        </w:numPr>
        <w:spacing w:after="60"/>
      </w:pPr>
      <w:r>
        <w:t xml:space="preserve">SAT México — Servicio de facturación CFDI 4.0 (PAC, UUID): sat.gob.mx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Página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pPr>
    <w:r>
      <w:rPr>
        <w:color w:val="444444"/>
        <w:sz w:val="16"/>
        <w:szCs w:val="16"/>
      </w:rPr>
      <w:t xml:space="preserve">Arquitectura de Facturación Electrónica · ERP Minimarket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64E3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0B981"/>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2026-07-08T01:32:28.341Z</dcterms:created>
  <dcterms:modified xsi:type="dcterms:W3CDTF">2026-07-08T01:32:28.346Z</dcterms:modified>
</cp:coreProperties>
</file>

<file path=docProps/custom.xml><?xml version="1.0" encoding="utf-8"?>
<Properties xmlns="http://schemas.openxmlformats.org/officeDocument/2006/custom-properties" xmlns:vt="http://schemas.openxmlformats.org/officeDocument/2006/docPropsVTypes"/>
</file>